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A3B" w:rsidRPr="00703A3B" w:rsidRDefault="00703A3B" w:rsidP="00703A3B">
      <w:pPr>
        <w:ind w:firstLineChars="845" w:firstLine="2715"/>
        <w:rPr>
          <w:rFonts w:ascii="黑体" w:eastAsia="黑体" w:hint="eastAsia"/>
          <w:b/>
          <w:sz w:val="32"/>
          <w:szCs w:val="32"/>
        </w:rPr>
      </w:pPr>
      <w:r w:rsidRPr="00703A3B">
        <w:rPr>
          <w:rFonts w:ascii="黑体" w:eastAsia="黑体" w:hint="eastAsia"/>
          <w:b/>
          <w:sz w:val="32"/>
          <w:szCs w:val="32"/>
        </w:rPr>
        <w:t>中期仍面临调整压力</w:t>
      </w:r>
    </w:p>
    <w:p w:rsidR="00703A3B" w:rsidRPr="00703A3B" w:rsidRDefault="00703A3B" w:rsidP="00703A3B">
      <w:pPr>
        <w:ind w:firstLineChars="995" w:firstLine="3196"/>
        <w:rPr>
          <w:b/>
          <w:sz w:val="32"/>
          <w:szCs w:val="32"/>
        </w:rPr>
      </w:pPr>
      <w:r w:rsidRPr="00703A3B">
        <w:rPr>
          <w:rFonts w:ascii="黑体" w:eastAsia="黑体" w:hint="eastAsia"/>
          <w:b/>
          <w:sz w:val="32"/>
          <w:szCs w:val="32"/>
        </w:rPr>
        <w:t>方正中期 陈旭</w:t>
      </w:r>
    </w:p>
    <w:p w:rsidR="00703A3B" w:rsidRPr="00703A3B" w:rsidRDefault="00703A3B" w:rsidP="00703A3B">
      <w:pPr>
        <w:autoSpaceDE w:val="0"/>
        <w:autoSpaceDN w:val="0"/>
        <w:adjustRightInd w:val="0"/>
        <w:spacing w:before="100" w:beforeAutospacing="1" w:after="100" w:afterAutospacing="1" w:line="360" w:lineRule="auto"/>
        <w:ind w:rightChars="-50" w:right="-110" w:firstLineChars="150" w:firstLine="422"/>
        <w:jc w:val="both"/>
        <w:rPr>
          <w:b/>
          <w:bCs/>
          <w:kern w:val="36"/>
          <w:sz w:val="28"/>
          <w:szCs w:val="28"/>
        </w:rPr>
      </w:pPr>
      <w:r w:rsidRPr="00703A3B">
        <w:rPr>
          <w:rFonts w:hint="eastAsia"/>
          <w:b/>
          <w:bCs/>
          <w:kern w:val="36"/>
          <w:sz w:val="28"/>
          <w:szCs w:val="28"/>
        </w:rPr>
        <w:t>要点：</w:t>
      </w:r>
    </w:p>
    <w:p w:rsidR="00703A3B" w:rsidRPr="00703A3B" w:rsidRDefault="00703A3B" w:rsidP="00703A3B">
      <w:pPr>
        <w:autoSpaceDE w:val="0"/>
        <w:autoSpaceDN w:val="0"/>
        <w:adjustRightInd w:val="0"/>
        <w:spacing w:before="100" w:beforeAutospacing="1" w:after="100" w:afterAutospacing="1" w:line="360" w:lineRule="auto"/>
        <w:ind w:rightChars="-50" w:right="-110"/>
        <w:jc w:val="both"/>
        <w:rPr>
          <w:rFonts w:ascii="新宋体" w:eastAsia="新宋体" w:hAnsi="新宋体"/>
          <w:sz w:val="21"/>
          <w:szCs w:val="21"/>
        </w:rPr>
      </w:pPr>
      <w:r w:rsidRPr="00703A3B">
        <w:rPr>
          <w:rFonts w:ascii="新宋体" w:eastAsia="新宋体" w:hAnsi="新宋体" w:hint="eastAsia"/>
          <w:sz w:val="21"/>
          <w:szCs w:val="21"/>
        </w:rPr>
        <w:t>1、进入10</w:t>
      </w:r>
      <w:r w:rsidRPr="00703A3B">
        <w:rPr>
          <w:rFonts w:ascii="新宋体" w:eastAsia="新宋体" w:hAnsi="新宋体"/>
          <w:sz w:val="21"/>
          <w:szCs w:val="21"/>
        </w:rPr>
        <w:t>月，</w:t>
      </w:r>
      <w:r w:rsidRPr="00703A3B">
        <w:rPr>
          <w:rFonts w:ascii="新宋体" w:eastAsia="新宋体" w:hAnsi="新宋体" w:hint="eastAsia"/>
          <w:sz w:val="21"/>
          <w:szCs w:val="21"/>
        </w:rPr>
        <w:t>铁矿石期货在9日创历史新低514后，没有继续向下大幅下跌，而在区间514-560震荡调整运行。截至10月31日，I1505收于532元/吨，月涨幅1.33%</w:t>
      </w:r>
      <w:r w:rsidRPr="00703A3B">
        <w:rPr>
          <w:rFonts w:ascii="新宋体" w:eastAsia="新宋体" w:hAnsi="新宋体"/>
          <w:sz w:val="21"/>
          <w:szCs w:val="21"/>
        </w:rPr>
        <w:t>。</w:t>
      </w:r>
    </w:p>
    <w:p w:rsidR="00703A3B" w:rsidRPr="00703A3B" w:rsidRDefault="00703A3B" w:rsidP="00703A3B">
      <w:pPr>
        <w:autoSpaceDE w:val="0"/>
        <w:autoSpaceDN w:val="0"/>
        <w:adjustRightInd w:val="0"/>
        <w:spacing w:before="100" w:beforeAutospacing="1" w:after="100" w:afterAutospacing="1" w:line="360" w:lineRule="auto"/>
        <w:ind w:rightChars="-50" w:right="-110"/>
        <w:jc w:val="both"/>
        <w:rPr>
          <w:rFonts w:ascii="新宋体" w:eastAsia="新宋体" w:hAnsi="新宋体"/>
          <w:sz w:val="21"/>
          <w:szCs w:val="21"/>
        </w:rPr>
      </w:pPr>
      <w:r w:rsidRPr="00703A3B">
        <w:rPr>
          <w:rFonts w:ascii="新宋体" w:eastAsia="新宋体" w:hAnsi="新宋体" w:hint="eastAsia"/>
          <w:sz w:val="21"/>
          <w:szCs w:val="21"/>
        </w:rPr>
        <w:t>2、中国经济增长放缓不仅是一个短期的问题，长期来看，放缓程度可能进一步加深。投资增速下滑带来国内经济下行风险仍存，中央强调以</w:t>
      </w:r>
      <w:proofErr w:type="gramStart"/>
      <w:r w:rsidRPr="00703A3B">
        <w:rPr>
          <w:rFonts w:ascii="新宋体" w:eastAsia="新宋体" w:hAnsi="新宋体" w:hint="eastAsia"/>
          <w:sz w:val="21"/>
          <w:szCs w:val="21"/>
        </w:rPr>
        <w:t>强改革</w:t>
      </w:r>
      <w:proofErr w:type="gramEnd"/>
      <w:r w:rsidRPr="00703A3B">
        <w:rPr>
          <w:rFonts w:ascii="新宋体" w:eastAsia="新宋体" w:hAnsi="新宋体" w:hint="eastAsia"/>
          <w:sz w:val="21"/>
          <w:szCs w:val="21"/>
        </w:rPr>
        <w:t>来代替惯用的“强刺激”，短期内不会出台大规模的刺激计划。</w:t>
      </w:r>
    </w:p>
    <w:p w:rsidR="00703A3B" w:rsidRPr="00703A3B" w:rsidRDefault="00703A3B" w:rsidP="00703A3B">
      <w:pPr>
        <w:autoSpaceDE w:val="0"/>
        <w:autoSpaceDN w:val="0"/>
        <w:adjustRightInd w:val="0"/>
        <w:spacing w:before="100" w:beforeAutospacing="1" w:after="100" w:afterAutospacing="1" w:line="360" w:lineRule="auto"/>
        <w:ind w:rightChars="-50" w:right="-110"/>
        <w:jc w:val="both"/>
        <w:rPr>
          <w:rFonts w:ascii="新宋体" w:eastAsia="新宋体" w:hAnsi="新宋体"/>
          <w:sz w:val="21"/>
          <w:szCs w:val="21"/>
        </w:rPr>
      </w:pPr>
      <w:r w:rsidRPr="00703A3B">
        <w:rPr>
          <w:rFonts w:ascii="新宋体" w:eastAsia="新宋体" w:hAnsi="新宋体" w:hint="eastAsia"/>
          <w:sz w:val="21"/>
          <w:szCs w:val="21"/>
        </w:rPr>
        <w:t>3、</w:t>
      </w:r>
      <w:proofErr w:type="gramStart"/>
      <w:r w:rsidRPr="00703A3B">
        <w:rPr>
          <w:rFonts w:ascii="新宋体" w:eastAsia="新宋体" w:hAnsi="新宋体" w:hint="eastAsia"/>
          <w:sz w:val="21"/>
          <w:szCs w:val="21"/>
        </w:rPr>
        <w:t>矿价越</w:t>
      </w:r>
      <w:proofErr w:type="gramEnd"/>
      <w:r w:rsidRPr="00703A3B">
        <w:rPr>
          <w:rFonts w:ascii="新宋体" w:eastAsia="新宋体" w:hAnsi="新宋体" w:hint="eastAsia"/>
          <w:sz w:val="21"/>
          <w:szCs w:val="21"/>
        </w:rPr>
        <w:t>跌，矿山越扩产。四大矿山三季度铁矿石产量均再创新高，全球铁矿石供应充足，而下游钢铁行业需求不济，铁矿石市场进入到结构型过剩状态明显。</w:t>
      </w:r>
    </w:p>
    <w:p w:rsidR="00703A3B" w:rsidRPr="00703A3B" w:rsidRDefault="00703A3B" w:rsidP="00703A3B">
      <w:pPr>
        <w:autoSpaceDE w:val="0"/>
        <w:autoSpaceDN w:val="0"/>
        <w:adjustRightInd w:val="0"/>
        <w:spacing w:before="100" w:beforeAutospacing="1" w:after="100" w:afterAutospacing="1" w:line="360" w:lineRule="auto"/>
        <w:ind w:rightChars="-50" w:right="-110"/>
        <w:jc w:val="both"/>
        <w:rPr>
          <w:rFonts w:ascii="新宋体" w:eastAsia="新宋体" w:hAnsi="新宋体"/>
          <w:sz w:val="21"/>
          <w:szCs w:val="21"/>
        </w:rPr>
      </w:pPr>
      <w:r w:rsidRPr="00703A3B">
        <w:rPr>
          <w:rFonts w:ascii="新宋体" w:eastAsia="新宋体" w:hAnsi="新宋体" w:hint="eastAsia"/>
          <w:sz w:val="21"/>
          <w:szCs w:val="21"/>
        </w:rPr>
        <w:t>4、铁矿石期货技术图形走势与笔者的预期如同一辙，熊市漫漫，I1505当前仍处于漫漫寻底筑底的过程当中。</w:t>
      </w:r>
    </w:p>
    <w:p w:rsidR="00703A3B" w:rsidRPr="00703A3B" w:rsidRDefault="00703A3B" w:rsidP="00703A3B">
      <w:pPr>
        <w:autoSpaceDE w:val="0"/>
        <w:autoSpaceDN w:val="0"/>
        <w:adjustRightInd w:val="0"/>
        <w:spacing w:before="100" w:beforeAutospacing="1" w:after="100" w:afterAutospacing="1" w:line="360" w:lineRule="auto"/>
        <w:ind w:rightChars="-50" w:right="-110" w:firstLineChars="150" w:firstLine="331"/>
        <w:jc w:val="both"/>
        <w:rPr>
          <w:rFonts w:ascii="新宋体" w:eastAsia="新宋体" w:hAnsi="新宋体"/>
          <w:sz w:val="21"/>
          <w:szCs w:val="21"/>
        </w:rPr>
      </w:pPr>
      <w:r w:rsidRPr="00703A3B">
        <w:rPr>
          <w:rFonts w:hint="eastAsia"/>
          <w:b/>
          <w:bCs/>
          <w:kern w:val="36"/>
        </w:rPr>
        <w:t>后市展望与操作策略</w:t>
      </w:r>
    </w:p>
    <w:p w:rsidR="00703A3B" w:rsidRPr="00703A3B" w:rsidRDefault="00703A3B" w:rsidP="00703A3B">
      <w:pPr>
        <w:autoSpaceDE w:val="0"/>
        <w:autoSpaceDN w:val="0"/>
        <w:adjustRightInd w:val="0"/>
        <w:spacing w:before="100" w:beforeAutospacing="1" w:after="100" w:afterAutospacing="1" w:line="360" w:lineRule="auto"/>
        <w:ind w:rightChars="-50" w:right="-110" w:firstLineChars="200" w:firstLine="420"/>
        <w:rPr>
          <w:rFonts w:ascii="新宋体" w:eastAsia="新宋体" w:hAnsi="新宋体"/>
          <w:sz w:val="21"/>
          <w:szCs w:val="21"/>
        </w:rPr>
      </w:pPr>
      <w:r w:rsidRPr="00703A3B">
        <w:rPr>
          <w:rFonts w:ascii="新宋体" w:eastAsia="新宋体" w:hAnsi="新宋体" w:hint="eastAsia"/>
          <w:sz w:val="21"/>
          <w:szCs w:val="21"/>
        </w:rPr>
        <w:t>总体来</w:t>
      </w:r>
      <w:r w:rsidRPr="00703A3B">
        <w:rPr>
          <w:rFonts w:ascii="新宋体" w:eastAsia="新宋体" w:hAnsi="新宋体"/>
          <w:sz w:val="21"/>
          <w:szCs w:val="21"/>
        </w:rPr>
        <w:t>看，10月</w:t>
      </w:r>
      <w:r w:rsidRPr="00703A3B">
        <w:rPr>
          <w:rFonts w:ascii="新宋体" w:eastAsia="新宋体" w:hAnsi="新宋体" w:hint="eastAsia"/>
          <w:sz w:val="21"/>
          <w:szCs w:val="21"/>
        </w:rPr>
        <w:t>公布的一系列宏观经济数据仍不佳，10月的</w:t>
      </w:r>
      <w:r w:rsidRPr="00703A3B">
        <w:fldChar w:fldCharType="begin"/>
      </w:r>
      <w:r w:rsidRPr="00703A3B">
        <w:instrText>HYPERLINK "http://baike.sososteel.com/doc/view/69421.html" \t "_blank"</w:instrText>
      </w:r>
      <w:r w:rsidRPr="00703A3B">
        <w:fldChar w:fldCharType="separate"/>
      </w:r>
      <w:r w:rsidRPr="00703A3B">
        <w:rPr>
          <w:rFonts w:ascii="新宋体" w:eastAsia="新宋体" w:hAnsi="新宋体"/>
          <w:sz w:val="21"/>
          <w:szCs w:val="21"/>
        </w:rPr>
        <w:t>制造业</w:t>
      </w:r>
      <w:r w:rsidRPr="00703A3B">
        <w:fldChar w:fldCharType="end"/>
      </w:r>
      <w:hyperlink r:id="rId4" w:tgtFrame="_blank" w:history="1">
        <w:r w:rsidRPr="00703A3B">
          <w:rPr>
            <w:rFonts w:ascii="新宋体" w:eastAsia="新宋体" w:hAnsi="新宋体"/>
            <w:sz w:val="21"/>
            <w:szCs w:val="21"/>
          </w:rPr>
          <w:t>PMI</w:t>
        </w:r>
      </w:hyperlink>
      <w:r w:rsidRPr="00703A3B">
        <w:rPr>
          <w:rFonts w:ascii="新宋体" w:eastAsia="新宋体" w:hAnsi="新宋体"/>
          <w:sz w:val="21"/>
          <w:szCs w:val="21"/>
        </w:rPr>
        <w:t>数据依旧不理想，第四季度的头并未给予市场太多信心</w:t>
      </w:r>
      <w:r w:rsidRPr="00703A3B">
        <w:rPr>
          <w:rFonts w:ascii="新宋体" w:eastAsia="新宋体" w:hAnsi="新宋体" w:hint="eastAsia"/>
          <w:sz w:val="21"/>
          <w:szCs w:val="21"/>
        </w:rPr>
        <w:t>。</w:t>
      </w:r>
      <w:r w:rsidRPr="00703A3B">
        <w:rPr>
          <w:rFonts w:ascii="新宋体" w:eastAsia="新宋体" w:hAnsi="新宋体"/>
          <w:sz w:val="21"/>
          <w:szCs w:val="21"/>
        </w:rPr>
        <w:t>房地产虽然以</w:t>
      </w:r>
      <w:proofErr w:type="gramStart"/>
      <w:r w:rsidRPr="00703A3B">
        <w:rPr>
          <w:rFonts w:ascii="新宋体" w:eastAsia="新宋体" w:hAnsi="新宋体"/>
          <w:sz w:val="21"/>
          <w:szCs w:val="21"/>
        </w:rPr>
        <w:t>价换量</w:t>
      </w:r>
      <w:proofErr w:type="gramEnd"/>
      <w:r w:rsidRPr="00703A3B">
        <w:rPr>
          <w:rFonts w:ascii="新宋体" w:eastAsia="新宋体" w:hAnsi="新宋体"/>
          <w:sz w:val="21"/>
          <w:szCs w:val="21"/>
        </w:rPr>
        <w:t>，但是宽松政策之后的市场，需求整体尚可，后期会对整体钢铁市场有所支持</w:t>
      </w:r>
      <w:r w:rsidRPr="00703A3B">
        <w:rPr>
          <w:rFonts w:ascii="新宋体" w:eastAsia="新宋体" w:hAnsi="新宋体" w:hint="eastAsia"/>
          <w:sz w:val="21"/>
          <w:szCs w:val="21"/>
        </w:rPr>
        <w:t>，但</w:t>
      </w:r>
      <w:proofErr w:type="gramStart"/>
      <w:r w:rsidRPr="00703A3B">
        <w:rPr>
          <w:rFonts w:ascii="新宋体" w:eastAsia="新宋体" w:hAnsi="新宋体" w:hint="eastAsia"/>
          <w:sz w:val="21"/>
          <w:szCs w:val="21"/>
        </w:rPr>
        <w:t>但</w:t>
      </w:r>
      <w:proofErr w:type="gramEnd"/>
      <w:r w:rsidRPr="00703A3B">
        <w:rPr>
          <w:rFonts w:ascii="新宋体" w:eastAsia="新宋体" w:hAnsi="新宋体" w:hint="eastAsia"/>
          <w:sz w:val="21"/>
          <w:szCs w:val="21"/>
        </w:rPr>
        <w:t>房地产企业仍面临着库存高资金紧等问题，短期房地产开发投资或延续低速增长。基建投资仍受制于地方财政紧张，全国新开工项目计划投资增速还在下滑，而工业品需求复苏力度依然乏力。</w:t>
      </w:r>
      <w:r w:rsidRPr="00703A3B">
        <w:rPr>
          <w:rFonts w:ascii="新宋体" w:eastAsia="新宋体" w:hAnsi="新宋体"/>
          <w:sz w:val="21"/>
          <w:szCs w:val="21"/>
        </w:rPr>
        <w:t>然而</w:t>
      </w:r>
      <w:r w:rsidRPr="00703A3B">
        <w:rPr>
          <w:rFonts w:ascii="新宋体" w:eastAsia="新宋体" w:hAnsi="新宋体" w:hint="eastAsia"/>
          <w:sz w:val="21"/>
          <w:szCs w:val="21"/>
        </w:rPr>
        <w:t>虽然价格跌</w:t>
      </w:r>
      <w:proofErr w:type="gramStart"/>
      <w:r w:rsidRPr="00703A3B">
        <w:rPr>
          <w:rFonts w:ascii="新宋体" w:eastAsia="新宋体" w:hAnsi="新宋体" w:hint="eastAsia"/>
          <w:sz w:val="21"/>
          <w:szCs w:val="21"/>
        </w:rPr>
        <w:t>跌</w:t>
      </w:r>
      <w:proofErr w:type="gramEnd"/>
      <w:r w:rsidRPr="00703A3B">
        <w:rPr>
          <w:rFonts w:ascii="新宋体" w:eastAsia="新宋体" w:hAnsi="新宋体" w:hint="eastAsia"/>
          <w:sz w:val="21"/>
          <w:szCs w:val="21"/>
        </w:rPr>
        <w:t>不休，而国内外矿山仍在增产，铁矿石市场的</w:t>
      </w:r>
      <w:r w:rsidRPr="00703A3B">
        <w:rPr>
          <w:rFonts w:ascii="新宋体" w:eastAsia="新宋体" w:hAnsi="新宋体"/>
          <w:sz w:val="21"/>
          <w:szCs w:val="21"/>
        </w:rPr>
        <w:t>供需矛盾的问题</w:t>
      </w:r>
      <w:r w:rsidRPr="00703A3B">
        <w:rPr>
          <w:rFonts w:ascii="新宋体" w:eastAsia="新宋体" w:hAnsi="新宋体" w:hint="eastAsia"/>
          <w:sz w:val="21"/>
          <w:szCs w:val="21"/>
        </w:rPr>
        <w:t>已经明显，短期仍</w:t>
      </w:r>
      <w:r w:rsidRPr="00703A3B">
        <w:rPr>
          <w:rFonts w:ascii="新宋体" w:eastAsia="新宋体" w:hAnsi="新宋体"/>
          <w:sz w:val="21"/>
          <w:szCs w:val="21"/>
        </w:rPr>
        <w:t>无法实质解决</w:t>
      </w:r>
      <w:r w:rsidRPr="00703A3B">
        <w:rPr>
          <w:rFonts w:ascii="新宋体" w:eastAsia="新宋体" w:hAnsi="新宋体" w:hint="eastAsia"/>
          <w:sz w:val="21"/>
          <w:szCs w:val="21"/>
        </w:rPr>
        <w:t>。</w:t>
      </w:r>
      <w:r w:rsidRPr="00703A3B">
        <w:rPr>
          <w:rFonts w:ascii="新宋体" w:eastAsia="新宋体" w:hAnsi="新宋体"/>
          <w:sz w:val="21"/>
          <w:szCs w:val="21"/>
        </w:rPr>
        <w:t>现在钢厂为了防止市场下跌风险，都尽量压缩库存因此</w:t>
      </w:r>
      <w:proofErr w:type="gramStart"/>
      <w:r w:rsidRPr="00703A3B">
        <w:rPr>
          <w:rFonts w:ascii="新宋体" w:eastAsia="新宋体" w:hAnsi="新宋体"/>
          <w:sz w:val="21"/>
          <w:szCs w:val="21"/>
        </w:rPr>
        <w:t>少量低采仍旧</w:t>
      </w:r>
      <w:proofErr w:type="gramEnd"/>
      <w:r w:rsidRPr="00703A3B">
        <w:rPr>
          <w:rFonts w:ascii="新宋体" w:eastAsia="新宋体" w:hAnsi="新宋体"/>
          <w:sz w:val="21"/>
          <w:szCs w:val="21"/>
        </w:rPr>
        <w:t>为常态，</w:t>
      </w:r>
      <w:r w:rsidRPr="00703A3B">
        <w:rPr>
          <w:rFonts w:ascii="新宋体" w:eastAsia="新宋体" w:hAnsi="新宋体" w:hint="eastAsia"/>
          <w:sz w:val="21"/>
          <w:szCs w:val="21"/>
        </w:rPr>
        <w:t>加之钢铁行业整体资金紧张局面仍没有改善，</w:t>
      </w:r>
      <w:r w:rsidRPr="00703A3B">
        <w:rPr>
          <w:rFonts w:ascii="新宋体" w:eastAsia="新宋体" w:hAnsi="新宋体"/>
          <w:sz w:val="21"/>
          <w:szCs w:val="21"/>
        </w:rPr>
        <w:t>所以进口矿上涨缺乏条件</w:t>
      </w:r>
      <w:r w:rsidRPr="00703A3B">
        <w:rPr>
          <w:rFonts w:ascii="新宋体" w:eastAsia="新宋体" w:hAnsi="新宋体" w:hint="eastAsia"/>
          <w:sz w:val="21"/>
          <w:szCs w:val="21"/>
        </w:rPr>
        <w:t>，中长期来看矿石仍面临震荡调整的压力。从操作上看，建议投资者不要盲目抄底，短线维持514-560区间调整思路对待。在重要支撑和阻力位控制好</w:t>
      </w:r>
      <w:proofErr w:type="gramStart"/>
      <w:r w:rsidRPr="00703A3B">
        <w:rPr>
          <w:rFonts w:ascii="新宋体" w:eastAsia="新宋体" w:hAnsi="新宋体" w:hint="eastAsia"/>
          <w:sz w:val="21"/>
          <w:szCs w:val="21"/>
        </w:rPr>
        <w:t>仓位</w:t>
      </w:r>
      <w:proofErr w:type="gramEnd"/>
      <w:r w:rsidRPr="00703A3B">
        <w:rPr>
          <w:rFonts w:ascii="新宋体" w:eastAsia="新宋体" w:hAnsi="新宋体" w:hint="eastAsia"/>
          <w:sz w:val="21"/>
          <w:szCs w:val="21"/>
        </w:rPr>
        <w:t>风险，多看少动，以免在调整行情中吞噬利润，踏错节奏。一旦价格向下或向下突破，则顺势跟进。</w:t>
      </w:r>
    </w:p>
    <w:p w:rsidR="00703A3B" w:rsidRPr="00703A3B" w:rsidRDefault="00703A3B" w:rsidP="00703A3B">
      <w:pPr>
        <w:spacing w:before="100" w:beforeAutospacing="1" w:after="100" w:afterAutospacing="1"/>
        <w:ind w:rightChars="-194" w:right="-427"/>
        <w:rPr>
          <w:rFonts w:ascii="新宋体" w:eastAsia="新宋体" w:hAnsi="新宋体"/>
          <w:sz w:val="21"/>
          <w:szCs w:val="21"/>
        </w:rPr>
      </w:pPr>
      <w:r w:rsidRPr="00703A3B">
        <w:rPr>
          <w:rFonts w:ascii="新宋体" w:eastAsia="新宋体" w:hAnsi="新宋体"/>
          <w:sz w:val="21"/>
          <w:szCs w:val="21"/>
        </w:rPr>
        <w:br w:type="page"/>
      </w:r>
      <w:r w:rsidRPr="00703A3B">
        <w:rPr>
          <w:rFonts w:ascii="新宋体" w:eastAsia="新宋体" w:hAnsi="新宋体" w:hint="eastAsia"/>
          <w:b/>
          <w:sz w:val="24"/>
        </w:rPr>
        <w:lastRenderedPageBreak/>
        <w:t>一、行情回顾</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国庆节后，受房地产新政、煤炭“资源税”改革以及APEC会议河北限产等诸多利好消息叠加影响，整个黑色产业链久旱逢甘霖，迎来了久违的反弹，其中铁矿石主力从最低价514反弹，三个交易日反弹力度达7%，13日还一度触及涨停板，技术性反弹格局明显。但好景不长，反弹昙花一现，在宏观以及供需状况没有改善的情况下，主力1501在触及591的10月最高点后再度回归跌势，整个</w:t>
      </w:r>
      <w:proofErr w:type="gramStart"/>
      <w:r w:rsidRPr="00703A3B">
        <w:rPr>
          <w:rFonts w:ascii="新宋体" w:eastAsia="新宋体" w:hAnsi="新宋体" w:hint="eastAsia"/>
          <w:sz w:val="21"/>
          <w:szCs w:val="21"/>
        </w:rPr>
        <w:t>月维持</w:t>
      </w:r>
      <w:proofErr w:type="gramEnd"/>
      <w:r w:rsidRPr="00703A3B">
        <w:rPr>
          <w:rFonts w:ascii="新宋体" w:eastAsia="新宋体" w:hAnsi="新宋体" w:hint="eastAsia"/>
          <w:sz w:val="21"/>
          <w:szCs w:val="21"/>
        </w:rPr>
        <w:t>低位调整震荡。本月中旬完成主力移仓，新主力铁矿石1505走势与1501基本一致。伴随着价格的低位调整，市场分歧不断加大，成交持续放量，资金不断流入，持仓量也再度创出历史新高，10月30日达116万手的历史次高位。10月日均成交90万手，较8月的85.7万手，增加幅度5%，可见市场人气仍爆满。</w:t>
      </w:r>
    </w:p>
    <w:p w:rsidR="00703A3B" w:rsidRPr="00703A3B" w:rsidRDefault="00703A3B" w:rsidP="00703A3B">
      <w:pPr>
        <w:autoSpaceDE w:val="0"/>
        <w:autoSpaceDN w:val="0"/>
        <w:adjustRightInd w:val="0"/>
        <w:spacing w:after="0" w:line="360" w:lineRule="auto"/>
        <w:ind w:leftChars="-129" w:left="-284" w:rightChars="-194" w:right="-427"/>
        <w:rPr>
          <w:noProof/>
        </w:rPr>
      </w:pPr>
      <w:r w:rsidRPr="00703A3B">
        <w:rPr>
          <w:rFonts w:ascii="新宋体" w:eastAsia="新宋体" w:hAnsi="新宋体" w:hint="eastAsia"/>
          <w:sz w:val="21"/>
          <w:szCs w:val="21"/>
        </w:rPr>
        <w:t>图1：2014年10月铁矿石期货指数行情走势回顾</w:t>
      </w:r>
      <w:r w:rsidRPr="00703A3B">
        <w:rPr>
          <w:noProof/>
        </w:rPr>
        <w:drawing>
          <wp:inline distT="0" distB="0" distL="0" distR="0">
            <wp:extent cx="5071730" cy="2498651"/>
            <wp:effectExtent l="19050" t="1905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clrChange>
                        <a:clrFrom>
                          <a:srgbClr val="F5F5F5"/>
                        </a:clrFrom>
                        <a:clrTo>
                          <a:srgbClr val="F5F5F5">
                            <a:alpha val="0"/>
                          </a:srgbClr>
                        </a:clrTo>
                      </a:clrChange>
                    </a:blip>
                    <a:stretch>
                      <a:fillRect/>
                    </a:stretch>
                  </pic:blipFill>
                  <pic:spPr>
                    <a:xfrm>
                      <a:off x="0" y="0"/>
                      <a:ext cx="5104420" cy="2514756"/>
                    </a:xfrm>
                    <a:prstGeom prst="rect">
                      <a:avLst/>
                    </a:prstGeom>
                    <a:ln>
                      <a:solidFill>
                        <a:schemeClr val="bg2">
                          <a:lumMod val="75000"/>
                        </a:schemeClr>
                      </a:solidFill>
                    </a:ln>
                  </pic:spPr>
                </pic:pic>
              </a:graphicData>
            </a:graphic>
          </wp:inline>
        </w:drawing>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t>资料来源：方正中期研究院，文华财经</w:t>
      </w:r>
    </w:p>
    <w:p w:rsidR="00703A3B" w:rsidRPr="00703A3B" w:rsidRDefault="00703A3B" w:rsidP="00703A3B">
      <w:pPr>
        <w:autoSpaceDE w:val="0"/>
        <w:autoSpaceDN w:val="0"/>
        <w:adjustRightInd w:val="0"/>
        <w:spacing w:after="0" w:line="360" w:lineRule="auto"/>
        <w:ind w:rightChars="-194" w:right="-427"/>
        <w:rPr>
          <w:rFonts w:ascii="新宋体" w:eastAsia="新宋体" w:hAnsi="新宋体"/>
          <w:sz w:val="21"/>
          <w:szCs w:val="21"/>
        </w:rPr>
      </w:pP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sz w:val="21"/>
          <w:szCs w:val="21"/>
        </w:rPr>
        <w:t>图</w:t>
      </w:r>
      <w:r w:rsidRPr="00703A3B">
        <w:rPr>
          <w:rFonts w:ascii="新宋体" w:eastAsia="新宋体" w:hAnsi="新宋体" w:hint="eastAsia"/>
          <w:sz w:val="21"/>
          <w:szCs w:val="21"/>
        </w:rPr>
        <w:t>2：铁矿石期货活跃合约收盘价、持仓、成交量走势</w:t>
      </w:r>
    </w:p>
    <w:p w:rsidR="00703A3B" w:rsidRPr="00703A3B" w:rsidRDefault="00703A3B" w:rsidP="00703A3B">
      <w:pPr>
        <w:autoSpaceDE w:val="0"/>
        <w:autoSpaceDN w:val="0"/>
        <w:adjustRightInd w:val="0"/>
        <w:spacing w:after="0" w:line="360" w:lineRule="auto"/>
        <w:ind w:leftChars="-129" w:left="-284" w:rightChars="-194" w:right="-427"/>
        <w:rPr>
          <w:noProof/>
        </w:rPr>
      </w:pPr>
      <w:r w:rsidRPr="00703A3B">
        <w:rPr>
          <w:noProof/>
        </w:rPr>
        <w:lastRenderedPageBreak/>
        <w:drawing>
          <wp:inline distT="0" distB="0" distL="0" distR="0">
            <wp:extent cx="5124893" cy="2583331"/>
            <wp:effectExtent l="19050" t="1905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25605" cy="2583690"/>
                    </a:xfrm>
                    <a:prstGeom prst="rect">
                      <a:avLst/>
                    </a:prstGeom>
                    <a:noFill/>
                    <a:ln>
                      <a:solidFill>
                        <a:schemeClr val="bg2">
                          <a:lumMod val="50000"/>
                        </a:schemeClr>
                      </a:solidFill>
                    </a:ln>
                  </pic:spPr>
                </pic:pic>
              </a:graphicData>
            </a:graphic>
          </wp:inline>
        </w:drawing>
      </w:r>
    </w:p>
    <w:p w:rsidR="00703A3B" w:rsidRPr="00703A3B" w:rsidRDefault="00703A3B" w:rsidP="00703A3B">
      <w:pPr>
        <w:spacing w:after="100" w:afterAutospacing="1"/>
        <w:rPr>
          <w:rFonts w:ascii="新宋体" w:eastAsia="新宋体" w:hAnsi="新宋体"/>
          <w:sz w:val="21"/>
          <w:szCs w:val="21"/>
        </w:rPr>
      </w:pPr>
      <w:r w:rsidRPr="00703A3B">
        <w:rPr>
          <w:rFonts w:ascii="新宋体" w:eastAsia="新宋体" w:hAnsi="新宋体"/>
          <w:sz w:val="21"/>
          <w:szCs w:val="21"/>
        </w:rPr>
        <w:t>数据来源：WIND</w:t>
      </w:r>
      <w:r w:rsidRPr="00703A3B">
        <w:rPr>
          <w:rFonts w:ascii="新宋体" w:eastAsia="新宋体" w:hAnsi="新宋体" w:hint="eastAsia"/>
          <w:sz w:val="21"/>
          <w:szCs w:val="21"/>
        </w:rPr>
        <w:t>、方正中期研究院</w:t>
      </w:r>
    </w:p>
    <w:p w:rsidR="00703A3B" w:rsidRPr="00703A3B" w:rsidRDefault="00703A3B" w:rsidP="00703A3B">
      <w:pPr>
        <w:spacing w:after="0" w:line="240" w:lineRule="auto"/>
        <w:rPr>
          <w:rFonts w:ascii="新宋体" w:eastAsia="新宋体" w:hAnsi="新宋体"/>
          <w:b/>
          <w:sz w:val="28"/>
          <w:szCs w:val="28"/>
        </w:rPr>
      </w:pPr>
      <w:r w:rsidRPr="00703A3B">
        <w:rPr>
          <w:rFonts w:ascii="新宋体" w:eastAsia="新宋体" w:hAnsi="新宋体" w:hint="eastAsia"/>
          <w:b/>
          <w:sz w:val="28"/>
          <w:szCs w:val="28"/>
        </w:rPr>
        <w:t>二、基本面分析</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2"/>
        <w:rPr>
          <w:rFonts w:ascii="新宋体" w:eastAsia="新宋体" w:hAnsi="新宋体"/>
          <w:b/>
          <w:sz w:val="21"/>
          <w:szCs w:val="21"/>
        </w:rPr>
      </w:pPr>
      <w:r w:rsidRPr="00703A3B">
        <w:rPr>
          <w:rFonts w:ascii="新宋体" w:eastAsia="新宋体" w:hAnsi="新宋体" w:hint="eastAsia"/>
          <w:b/>
          <w:sz w:val="21"/>
          <w:szCs w:val="21"/>
        </w:rPr>
        <w:t>（一）</w:t>
      </w:r>
      <w:r w:rsidRPr="00703A3B">
        <w:rPr>
          <w:rFonts w:ascii="新宋体" w:eastAsia="新宋体" w:hAnsi="新宋体"/>
          <w:b/>
          <w:sz w:val="21"/>
          <w:szCs w:val="21"/>
        </w:rPr>
        <w:t>宏观经济</w:t>
      </w:r>
      <w:r w:rsidRPr="00703A3B">
        <w:rPr>
          <w:rFonts w:ascii="新宋体" w:eastAsia="新宋体" w:hAnsi="新宋体" w:hint="eastAsia"/>
          <w:b/>
          <w:sz w:val="21"/>
          <w:szCs w:val="21"/>
        </w:rPr>
        <w:t xml:space="preserve">下行压力依然较大 </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sz w:val="21"/>
          <w:szCs w:val="21"/>
        </w:rPr>
        <w:t xml:space="preserve">　根据国家统计局数据，最新</w:t>
      </w:r>
      <w:r w:rsidRPr="00703A3B">
        <w:rPr>
          <w:rFonts w:ascii="新宋体" w:eastAsia="新宋体" w:hAnsi="新宋体" w:hint="eastAsia"/>
          <w:sz w:val="21"/>
          <w:szCs w:val="21"/>
        </w:rPr>
        <w:t>10月</w:t>
      </w:r>
      <w:r w:rsidRPr="00703A3B">
        <w:rPr>
          <w:rFonts w:ascii="新宋体" w:eastAsia="新宋体" w:hAnsi="新宋体"/>
          <w:sz w:val="21"/>
          <w:szCs w:val="21"/>
        </w:rPr>
        <w:t>公布的</w:t>
      </w:r>
      <w:r w:rsidRPr="00703A3B">
        <w:rPr>
          <w:rFonts w:ascii="新宋体" w:eastAsia="新宋体" w:hAnsi="新宋体" w:hint="eastAsia"/>
          <w:sz w:val="21"/>
          <w:szCs w:val="21"/>
        </w:rPr>
        <w:t>一系列宏观经济</w:t>
      </w:r>
      <w:r w:rsidRPr="00703A3B">
        <w:rPr>
          <w:rFonts w:ascii="新宋体" w:eastAsia="新宋体" w:hAnsi="新宋体"/>
          <w:sz w:val="21"/>
          <w:szCs w:val="21"/>
        </w:rPr>
        <w:t>数据显示，房地产行业</w:t>
      </w:r>
      <w:hyperlink r:id="rId7" w:tgtFrame="_blank" w:history="1">
        <w:r w:rsidRPr="00703A3B">
          <w:rPr>
            <w:rFonts w:ascii="新宋体" w:eastAsia="新宋体" w:hAnsi="新宋体"/>
          </w:rPr>
          <w:t>投资</w:t>
        </w:r>
      </w:hyperlink>
      <w:r w:rsidRPr="00703A3B">
        <w:rPr>
          <w:rFonts w:ascii="新宋体" w:eastAsia="新宋体" w:hAnsi="新宋体"/>
          <w:sz w:val="21"/>
          <w:szCs w:val="21"/>
        </w:rPr>
        <w:t>依旧低迷、</w:t>
      </w:r>
      <w:hyperlink r:id="rId8" w:tgtFrame="_blank" w:history="1">
        <w:r w:rsidRPr="00703A3B">
          <w:rPr>
            <w:rFonts w:ascii="新宋体" w:eastAsia="新宋体" w:hAnsi="新宋体"/>
          </w:rPr>
          <w:t>制造业</w:t>
        </w:r>
      </w:hyperlink>
      <w:r w:rsidRPr="00703A3B">
        <w:rPr>
          <w:rFonts w:ascii="新宋体" w:eastAsia="新宋体" w:hAnsi="新宋体"/>
          <w:sz w:val="21"/>
          <w:szCs w:val="21"/>
        </w:rPr>
        <w:t>投资增速回落较快，加之经济转型</w:t>
      </w:r>
      <w:proofErr w:type="gramStart"/>
      <w:r w:rsidRPr="00703A3B">
        <w:rPr>
          <w:rFonts w:ascii="新宋体" w:eastAsia="新宋体" w:hAnsi="新宋体"/>
          <w:sz w:val="21"/>
          <w:szCs w:val="21"/>
        </w:rPr>
        <w:t>期缺乏</w:t>
      </w:r>
      <w:proofErr w:type="gramEnd"/>
      <w:r w:rsidRPr="00703A3B">
        <w:rPr>
          <w:rFonts w:ascii="新宋体" w:eastAsia="新宋体" w:hAnsi="新宋体"/>
          <w:sz w:val="21"/>
          <w:szCs w:val="21"/>
        </w:rPr>
        <w:t>好的投资机会，致使</w:t>
      </w:r>
      <w:hyperlink r:id="rId9" w:tgtFrame="_blank" w:history="1">
        <w:r w:rsidRPr="00703A3B">
          <w:rPr>
            <w:rFonts w:ascii="新宋体" w:eastAsia="新宋体" w:hAnsi="新宋体"/>
          </w:rPr>
          <w:t>固定资产投资</w:t>
        </w:r>
      </w:hyperlink>
      <w:r w:rsidRPr="00703A3B">
        <w:rPr>
          <w:rFonts w:ascii="新宋体" w:eastAsia="新宋体" w:hAnsi="新宋体"/>
          <w:sz w:val="21"/>
          <w:szCs w:val="21"/>
        </w:rPr>
        <w:t>增速屡创新低（创13年以来最差）</w:t>
      </w:r>
      <w:r w:rsidRPr="00703A3B">
        <w:rPr>
          <w:rFonts w:ascii="新宋体" w:eastAsia="新宋体" w:hAnsi="新宋体" w:hint="eastAsia"/>
          <w:sz w:val="21"/>
          <w:szCs w:val="21"/>
        </w:rPr>
        <w:t>。</w:t>
      </w:r>
      <w:r w:rsidRPr="00703A3B">
        <w:rPr>
          <w:rFonts w:ascii="新宋体" w:eastAsia="新宋体" w:hAnsi="新宋体"/>
          <w:sz w:val="21"/>
          <w:szCs w:val="21"/>
        </w:rPr>
        <w:t>三季度GDP增长7.3%，增速比二季度回落0.2个百分点，创近六年来的季度新低。</w:t>
      </w:r>
      <w:r w:rsidRPr="00703A3B">
        <w:rPr>
          <w:rFonts w:ascii="新宋体" w:eastAsia="新宋体" w:hAnsi="新宋体" w:hint="eastAsia"/>
          <w:sz w:val="21"/>
          <w:szCs w:val="21"/>
        </w:rPr>
        <w:t>统计局三季度</w:t>
      </w:r>
      <w:r w:rsidRPr="00703A3B">
        <w:rPr>
          <w:rFonts w:ascii="新宋体" w:eastAsia="新宋体" w:hAnsi="新宋体"/>
          <w:sz w:val="21"/>
          <w:szCs w:val="21"/>
        </w:rPr>
        <w:t>GDP</w:t>
      </w:r>
      <w:proofErr w:type="gramStart"/>
      <w:r w:rsidRPr="00703A3B">
        <w:rPr>
          <w:rFonts w:ascii="新宋体" w:eastAsia="新宋体" w:hAnsi="新宋体" w:hint="eastAsia"/>
          <w:sz w:val="21"/>
          <w:szCs w:val="21"/>
        </w:rPr>
        <w:t>季调后环</w:t>
      </w:r>
      <w:proofErr w:type="gramEnd"/>
      <w:r w:rsidRPr="00703A3B">
        <w:rPr>
          <w:rFonts w:ascii="新宋体" w:eastAsia="新宋体" w:hAnsi="新宋体" w:hint="eastAsia"/>
          <w:sz w:val="21"/>
          <w:szCs w:val="21"/>
        </w:rPr>
        <w:t>比增速</w:t>
      </w:r>
      <w:r w:rsidRPr="00703A3B">
        <w:rPr>
          <w:rFonts w:ascii="新宋体" w:eastAsia="新宋体" w:hAnsi="新宋体"/>
          <w:sz w:val="21"/>
          <w:szCs w:val="21"/>
        </w:rPr>
        <w:t>1.9%</w:t>
      </w:r>
      <w:r w:rsidRPr="00703A3B">
        <w:rPr>
          <w:rFonts w:ascii="新宋体" w:eastAsia="新宋体" w:hAnsi="新宋体" w:hint="eastAsia"/>
          <w:sz w:val="21"/>
          <w:szCs w:val="21"/>
        </w:rPr>
        <w:t>，较二季度略微回落，但强于一季度。</w:t>
      </w:r>
      <w:r w:rsidRPr="00703A3B">
        <w:rPr>
          <w:rFonts w:ascii="新宋体" w:eastAsia="新宋体" w:hAnsi="新宋体"/>
          <w:sz w:val="21"/>
          <w:szCs w:val="21"/>
        </w:rPr>
        <w:t>GDP</w:t>
      </w:r>
      <w:r w:rsidRPr="00703A3B">
        <w:rPr>
          <w:rFonts w:ascii="新宋体" w:eastAsia="新宋体" w:hAnsi="新宋体" w:hint="eastAsia"/>
          <w:sz w:val="21"/>
          <w:szCs w:val="21"/>
        </w:rPr>
        <w:t>同比增速放缓主要是房地产市场调整带来投资增速显著下滑的拖累，同时也叠加去年同期高基数的影响。工业增加值同比</w:t>
      </w:r>
      <w:proofErr w:type="gramStart"/>
      <w:r w:rsidRPr="00703A3B">
        <w:rPr>
          <w:rFonts w:ascii="新宋体" w:eastAsia="新宋体" w:hAnsi="新宋体" w:hint="eastAsia"/>
          <w:sz w:val="21"/>
          <w:szCs w:val="21"/>
        </w:rPr>
        <w:t>增速超</w:t>
      </w:r>
      <w:proofErr w:type="gramEnd"/>
      <w:r w:rsidRPr="00703A3B">
        <w:rPr>
          <w:rFonts w:ascii="新宋体" w:eastAsia="新宋体" w:hAnsi="新宋体" w:hint="eastAsia"/>
          <w:sz w:val="21"/>
          <w:szCs w:val="21"/>
        </w:rPr>
        <w:t>预期回升。</w:t>
      </w:r>
      <w:r w:rsidRPr="00703A3B">
        <w:rPr>
          <w:rFonts w:ascii="新宋体" w:eastAsia="新宋体" w:hAnsi="新宋体"/>
          <w:sz w:val="21"/>
          <w:szCs w:val="21"/>
        </w:rPr>
        <w:t>9</w:t>
      </w:r>
      <w:r w:rsidRPr="00703A3B">
        <w:rPr>
          <w:rFonts w:ascii="新宋体" w:eastAsia="新宋体" w:hAnsi="新宋体" w:hint="eastAsia"/>
          <w:sz w:val="21"/>
          <w:szCs w:val="21"/>
        </w:rPr>
        <w:t>月工业增加值同比增速</w:t>
      </w:r>
      <w:r w:rsidRPr="00703A3B">
        <w:rPr>
          <w:rFonts w:ascii="新宋体" w:eastAsia="新宋体" w:hAnsi="新宋体"/>
          <w:sz w:val="21"/>
          <w:szCs w:val="21"/>
        </w:rPr>
        <w:t>8.0%</w:t>
      </w:r>
      <w:r w:rsidRPr="00703A3B">
        <w:rPr>
          <w:rFonts w:ascii="新宋体" w:eastAsia="新宋体" w:hAnsi="新宋体" w:hint="eastAsia"/>
          <w:sz w:val="21"/>
          <w:szCs w:val="21"/>
        </w:rPr>
        <w:t>，较</w:t>
      </w:r>
      <w:r w:rsidRPr="00703A3B">
        <w:rPr>
          <w:rFonts w:ascii="新宋体" w:eastAsia="新宋体" w:hAnsi="新宋体"/>
          <w:sz w:val="21"/>
          <w:szCs w:val="21"/>
        </w:rPr>
        <w:t>8</w:t>
      </w:r>
      <w:r w:rsidRPr="00703A3B">
        <w:rPr>
          <w:rFonts w:ascii="新宋体" w:eastAsia="新宋体" w:hAnsi="新宋体" w:hint="eastAsia"/>
          <w:sz w:val="21"/>
          <w:szCs w:val="21"/>
        </w:rPr>
        <w:t>月升</w:t>
      </w:r>
      <w:r w:rsidRPr="00703A3B">
        <w:rPr>
          <w:rFonts w:ascii="新宋体" w:eastAsia="新宋体" w:hAnsi="新宋体"/>
          <w:sz w:val="21"/>
          <w:szCs w:val="21"/>
        </w:rPr>
        <w:t>1.1</w:t>
      </w:r>
      <w:r w:rsidRPr="00703A3B">
        <w:rPr>
          <w:rFonts w:ascii="新宋体" w:eastAsia="新宋体" w:hAnsi="新宋体" w:hint="eastAsia"/>
          <w:sz w:val="21"/>
          <w:szCs w:val="21"/>
        </w:rPr>
        <w:t>个百分点。通胀回落，拉低零售名义同比增速。</w:t>
      </w:r>
      <w:r w:rsidRPr="00703A3B">
        <w:rPr>
          <w:rFonts w:ascii="新宋体" w:eastAsia="新宋体" w:hAnsi="新宋体"/>
          <w:sz w:val="21"/>
          <w:szCs w:val="21"/>
        </w:rPr>
        <w:t>9</w:t>
      </w:r>
      <w:r w:rsidRPr="00703A3B">
        <w:rPr>
          <w:rFonts w:ascii="新宋体" w:eastAsia="新宋体" w:hAnsi="新宋体" w:hint="eastAsia"/>
          <w:sz w:val="21"/>
          <w:szCs w:val="21"/>
        </w:rPr>
        <w:t>月社会消费品零售总额同比增速</w:t>
      </w:r>
      <w:r w:rsidRPr="00703A3B">
        <w:rPr>
          <w:rFonts w:ascii="新宋体" w:eastAsia="新宋体" w:hAnsi="新宋体"/>
          <w:sz w:val="21"/>
          <w:szCs w:val="21"/>
        </w:rPr>
        <w:t>11.6%</w:t>
      </w:r>
      <w:r w:rsidRPr="00703A3B">
        <w:rPr>
          <w:rFonts w:ascii="新宋体" w:eastAsia="新宋体" w:hAnsi="新宋体" w:hint="eastAsia"/>
          <w:sz w:val="21"/>
          <w:szCs w:val="21"/>
        </w:rPr>
        <w:t>，较</w:t>
      </w:r>
      <w:r w:rsidRPr="00703A3B">
        <w:rPr>
          <w:rFonts w:ascii="新宋体" w:eastAsia="新宋体" w:hAnsi="新宋体"/>
          <w:sz w:val="21"/>
          <w:szCs w:val="21"/>
        </w:rPr>
        <w:t>8</w:t>
      </w:r>
      <w:r w:rsidRPr="00703A3B">
        <w:rPr>
          <w:rFonts w:ascii="新宋体" w:eastAsia="新宋体" w:hAnsi="新宋体" w:hint="eastAsia"/>
          <w:sz w:val="21"/>
          <w:szCs w:val="21"/>
        </w:rPr>
        <w:t>月降</w:t>
      </w:r>
      <w:r w:rsidRPr="00703A3B">
        <w:rPr>
          <w:rFonts w:ascii="新宋体" w:eastAsia="新宋体" w:hAnsi="新宋体"/>
          <w:sz w:val="21"/>
          <w:szCs w:val="21"/>
        </w:rPr>
        <w:t>0.3</w:t>
      </w:r>
      <w:r w:rsidRPr="00703A3B">
        <w:rPr>
          <w:rFonts w:ascii="新宋体" w:eastAsia="新宋体" w:hAnsi="新宋体" w:hint="eastAsia"/>
          <w:sz w:val="21"/>
          <w:szCs w:val="21"/>
        </w:rPr>
        <w:t>个百分点。</w:t>
      </w:r>
      <w:r w:rsidRPr="00703A3B">
        <w:rPr>
          <w:rFonts w:ascii="新宋体" w:eastAsia="新宋体" w:hAnsi="新宋体"/>
          <w:sz w:val="21"/>
          <w:szCs w:val="21"/>
        </w:rPr>
        <w:t>9</w:t>
      </w:r>
      <w:r w:rsidRPr="00703A3B">
        <w:rPr>
          <w:rFonts w:ascii="新宋体" w:eastAsia="新宋体" w:hAnsi="新宋体" w:hint="eastAsia"/>
          <w:sz w:val="21"/>
          <w:szCs w:val="21"/>
        </w:rPr>
        <w:t>月</w:t>
      </w:r>
      <w:r w:rsidRPr="00703A3B">
        <w:rPr>
          <w:rFonts w:ascii="新宋体" w:eastAsia="新宋体" w:hAnsi="新宋体"/>
          <w:sz w:val="21"/>
          <w:szCs w:val="21"/>
        </w:rPr>
        <w:t>CPI</w:t>
      </w:r>
      <w:r w:rsidRPr="00703A3B">
        <w:rPr>
          <w:rFonts w:ascii="新宋体" w:eastAsia="新宋体" w:hAnsi="新宋体" w:hint="eastAsia"/>
          <w:sz w:val="21"/>
          <w:szCs w:val="21"/>
        </w:rPr>
        <w:t>通胀率明显回落是拉低零售名义同比增速的主要因素。剔除价格后的零售实际同比增速较</w:t>
      </w:r>
      <w:r w:rsidRPr="00703A3B">
        <w:rPr>
          <w:rFonts w:ascii="新宋体" w:eastAsia="新宋体" w:hAnsi="新宋体"/>
          <w:sz w:val="21"/>
          <w:szCs w:val="21"/>
        </w:rPr>
        <w:t>8</w:t>
      </w:r>
      <w:r w:rsidRPr="00703A3B">
        <w:rPr>
          <w:rFonts w:ascii="新宋体" w:eastAsia="新宋体" w:hAnsi="新宋体" w:hint="eastAsia"/>
          <w:sz w:val="21"/>
          <w:szCs w:val="21"/>
        </w:rPr>
        <w:t>月略有回升，显示消费维持平稳。</w:t>
      </w:r>
      <w:r w:rsidRPr="00703A3B">
        <w:rPr>
          <w:rFonts w:ascii="新宋体" w:eastAsia="新宋体" w:hAnsi="新宋体"/>
          <w:sz w:val="21"/>
          <w:szCs w:val="21"/>
        </w:rPr>
        <w:t>投资、消费增速继续下滑，即使9月出口大增15.3%，也难以弥补内需疲弱对经济的影响。三季度GDP表现不佳对整个黑色系品种形成打压，调结构的背景下，后期即使出台定向刺激措施，也难以惠及传统的制造业，更无法提振黑色产业</w:t>
      </w:r>
      <w:proofErr w:type="gramStart"/>
      <w:r w:rsidRPr="00703A3B">
        <w:rPr>
          <w:rFonts w:ascii="新宋体" w:eastAsia="新宋体" w:hAnsi="新宋体"/>
          <w:sz w:val="21"/>
          <w:szCs w:val="21"/>
        </w:rPr>
        <w:t>链品种</w:t>
      </w:r>
      <w:proofErr w:type="gramEnd"/>
      <w:r w:rsidRPr="00703A3B">
        <w:rPr>
          <w:rFonts w:ascii="新宋体" w:eastAsia="新宋体" w:hAnsi="新宋体"/>
          <w:sz w:val="21"/>
          <w:szCs w:val="21"/>
        </w:rPr>
        <w:t>的价格。不过，市场对经济增速下滑已经形成一定预期，后市</w:t>
      </w:r>
      <w:r w:rsidRPr="00703A3B">
        <w:rPr>
          <w:rFonts w:ascii="新宋体" w:eastAsia="新宋体" w:hAnsi="新宋体" w:hint="eastAsia"/>
          <w:sz w:val="21"/>
          <w:szCs w:val="21"/>
        </w:rPr>
        <w:t>包括铁矿石在内的黑色系的多品种</w:t>
      </w:r>
      <w:r w:rsidRPr="00703A3B">
        <w:rPr>
          <w:rFonts w:ascii="新宋体" w:eastAsia="新宋体" w:hAnsi="新宋体"/>
          <w:sz w:val="21"/>
          <w:szCs w:val="21"/>
        </w:rPr>
        <w:t>将不会有过度的反应。</w:t>
      </w:r>
      <w:r w:rsidRPr="00703A3B">
        <w:rPr>
          <w:rFonts w:ascii="新宋体" w:eastAsia="新宋体" w:hAnsi="新宋体" w:hint="eastAsia"/>
          <w:sz w:val="21"/>
          <w:szCs w:val="21"/>
        </w:rPr>
        <w:t>从政策层面看，政策放松大方向不变。投资放缓仍带来经济增速下行压力，货币政策放松空间较大，包括继续降低银行间市场利率，向银行间市场继续注入流动性等。中国经济增长放缓不仅是一个短期的问题，长</w:t>
      </w:r>
      <w:r w:rsidRPr="00703A3B">
        <w:rPr>
          <w:rFonts w:ascii="新宋体" w:eastAsia="新宋体" w:hAnsi="新宋体" w:hint="eastAsia"/>
          <w:sz w:val="21"/>
          <w:szCs w:val="21"/>
        </w:rPr>
        <w:lastRenderedPageBreak/>
        <w:t>期来看，放缓程度可能进一步加深。投资增速下滑带来国内经济下行风险仍存，中央强调以</w:t>
      </w:r>
      <w:proofErr w:type="gramStart"/>
      <w:r w:rsidRPr="00703A3B">
        <w:rPr>
          <w:rFonts w:ascii="新宋体" w:eastAsia="新宋体" w:hAnsi="新宋体" w:hint="eastAsia"/>
          <w:sz w:val="21"/>
          <w:szCs w:val="21"/>
        </w:rPr>
        <w:t>强改革</w:t>
      </w:r>
      <w:proofErr w:type="gramEnd"/>
      <w:r w:rsidRPr="00703A3B">
        <w:rPr>
          <w:rFonts w:ascii="新宋体" w:eastAsia="新宋体" w:hAnsi="新宋体" w:hint="eastAsia"/>
          <w:sz w:val="21"/>
          <w:szCs w:val="21"/>
        </w:rPr>
        <w:t>来代替惯用的“强刺激”，短期内不会出台大规模的刺激计划。</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另外，</w:t>
      </w:r>
      <w:r w:rsidRPr="00703A3B">
        <w:rPr>
          <w:rFonts w:ascii="新宋体" w:eastAsia="新宋体" w:hAnsi="新宋体"/>
          <w:sz w:val="21"/>
          <w:szCs w:val="21"/>
        </w:rPr>
        <w:t>1-9月份，全国全社会累计用电量达到40975亿千瓦时，同比增长3.9%。9月份当月用电量4570亿千瓦时，同比增长2.7%。中国10月汇丰</w:t>
      </w:r>
      <w:r w:rsidRPr="00703A3B">
        <w:rPr>
          <w:rFonts w:ascii="新宋体" w:eastAsia="新宋体" w:hAnsi="新宋体"/>
          <w:sz w:val="21"/>
          <w:szCs w:val="21"/>
        </w:rPr>
        <w:fldChar w:fldCharType="begin"/>
      </w:r>
      <w:r w:rsidRPr="00703A3B">
        <w:rPr>
          <w:rFonts w:ascii="新宋体" w:eastAsia="新宋体" w:hAnsi="新宋体"/>
          <w:sz w:val="21"/>
          <w:szCs w:val="21"/>
        </w:rPr>
        <w:instrText xml:space="preserve"> HYPERLINK "http://baike.sososteel.com/doc/view/69421.html" \t "_blank" </w:instrText>
      </w:r>
      <w:r w:rsidRPr="00703A3B">
        <w:rPr>
          <w:rFonts w:ascii="新宋体" w:eastAsia="新宋体" w:hAnsi="新宋体"/>
          <w:sz w:val="21"/>
          <w:szCs w:val="21"/>
        </w:rPr>
        <w:fldChar w:fldCharType="separate"/>
      </w:r>
      <w:r w:rsidRPr="00703A3B">
        <w:rPr>
          <w:rFonts w:ascii="新宋体" w:eastAsia="新宋体" w:hAnsi="新宋体"/>
          <w:sz w:val="21"/>
          <w:szCs w:val="21"/>
        </w:rPr>
        <w:t>制造业</w:t>
      </w:r>
      <w:r w:rsidRPr="00703A3B">
        <w:rPr>
          <w:rFonts w:ascii="新宋体" w:eastAsia="新宋体" w:hAnsi="新宋体"/>
          <w:sz w:val="21"/>
          <w:szCs w:val="21"/>
        </w:rPr>
        <w:fldChar w:fldCharType="end"/>
      </w:r>
      <w:hyperlink r:id="rId10" w:tgtFrame="_blank" w:history="1">
        <w:r w:rsidRPr="00703A3B">
          <w:rPr>
            <w:rFonts w:ascii="新宋体" w:eastAsia="新宋体" w:hAnsi="新宋体"/>
            <w:sz w:val="21"/>
            <w:szCs w:val="21"/>
          </w:rPr>
          <w:t>PMI</w:t>
        </w:r>
      </w:hyperlink>
      <w:r w:rsidRPr="00703A3B">
        <w:rPr>
          <w:rFonts w:ascii="新宋体" w:eastAsia="新宋体" w:hAnsi="新宋体"/>
          <w:sz w:val="21"/>
          <w:szCs w:val="21"/>
        </w:rPr>
        <w:t>终值为50.4，预期值50.4，9月终值为50.2%。中国物流与采购联合会、国家统计局1日联合公布数据显示，10月</w:t>
      </w:r>
      <w:r w:rsidRPr="00703A3B">
        <w:rPr>
          <w:rFonts w:ascii="新宋体" w:eastAsia="新宋体" w:hAnsi="新宋体"/>
          <w:sz w:val="21"/>
          <w:szCs w:val="21"/>
        </w:rPr>
        <w:fldChar w:fldCharType="begin"/>
      </w:r>
      <w:r w:rsidRPr="00703A3B">
        <w:rPr>
          <w:rFonts w:ascii="新宋体" w:eastAsia="新宋体" w:hAnsi="新宋体"/>
          <w:sz w:val="21"/>
          <w:szCs w:val="21"/>
        </w:rPr>
        <w:instrText xml:space="preserve"> HYPERLINK "http://baike.sososteel.com/doc/view/69421.html" \t "_blank" </w:instrText>
      </w:r>
      <w:r w:rsidRPr="00703A3B">
        <w:rPr>
          <w:rFonts w:ascii="新宋体" w:eastAsia="新宋体" w:hAnsi="新宋体"/>
          <w:sz w:val="21"/>
          <w:szCs w:val="21"/>
        </w:rPr>
        <w:fldChar w:fldCharType="separate"/>
      </w:r>
      <w:r w:rsidRPr="00703A3B">
        <w:rPr>
          <w:rFonts w:ascii="新宋体" w:eastAsia="新宋体" w:hAnsi="新宋体"/>
          <w:sz w:val="21"/>
          <w:szCs w:val="21"/>
        </w:rPr>
        <w:t>制造业</w:t>
      </w:r>
      <w:r w:rsidRPr="00703A3B">
        <w:rPr>
          <w:rFonts w:ascii="新宋体" w:eastAsia="新宋体" w:hAnsi="新宋体"/>
          <w:sz w:val="21"/>
          <w:szCs w:val="21"/>
        </w:rPr>
        <w:fldChar w:fldCharType="end"/>
      </w:r>
      <w:r w:rsidRPr="00703A3B">
        <w:rPr>
          <w:rFonts w:ascii="新宋体" w:eastAsia="新宋体" w:hAnsi="新宋体"/>
          <w:sz w:val="21"/>
          <w:szCs w:val="21"/>
        </w:rPr>
        <w:t>PMI为50.8%，较上月回落0.3个百分点。这一数据不仅创下近五个月新低，并且也逊于预期。鉴于10月汇丰制造业PMI初值呈现回升势头，且发电量等数据表现活跃，此前市场普遍预期10月官方PMI也会回升。显示经济增长仍有一定下行压力。并且值得注意的是，进入四季度以来，资金紧张的矛盾明显加剧。中国物流与采购联合会指出，在调查的企业中，反映资金紧张的企业数量占总数的48.8%，为今年以来的最高值，较上月上升2.1个百分点，升幅明显扩大。</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bCs/>
          <w:sz w:val="21"/>
          <w:szCs w:val="21"/>
        </w:rPr>
      </w:pPr>
      <w:r w:rsidRPr="00703A3B">
        <w:rPr>
          <w:rFonts w:ascii="新宋体" w:eastAsia="新宋体" w:hAnsi="新宋体" w:hint="eastAsia"/>
          <w:bCs/>
          <w:sz w:val="21"/>
          <w:szCs w:val="21"/>
        </w:rPr>
        <w:t>图3：我国PMI与汇丰PMI走势</w:t>
      </w:r>
      <w:r>
        <w:rPr>
          <w:rFonts w:ascii="新宋体" w:eastAsia="新宋体" w:hAnsi="新宋体" w:hint="eastAsia"/>
          <w:bCs/>
          <w:sz w:val="21"/>
          <w:szCs w:val="21"/>
        </w:rPr>
        <w:t xml:space="preserve">              </w:t>
      </w:r>
      <w:r w:rsidRPr="00703A3B">
        <w:rPr>
          <w:rFonts w:ascii="新宋体" w:eastAsia="新宋体" w:hAnsi="新宋体" w:hint="eastAsia"/>
          <w:bCs/>
          <w:sz w:val="21"/>
          <w:szCs w:val="21"/>
        </w:rPr>
        <w:t xml:space="preserve">  图4：我国社会发电量及同比走势</w:t>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bCs/>
          <w:sz w:val="21"/>
          <w:szCs w:val="21"/>
        </w:rPr>
      </w:pPr>
      <w:r w:rsidRPr="00703A3B">
        <w:rPr>
          <w:noProof/>
        </w:rPr>
        <w:drawing>
          <wp:inline distT="0" distB="0" distL="0" distR="0">
            <wp:extent cx="2562446" cy="2275367"/>
            <wp:effectExtent l="19050" t="0" r="9304"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7985" cy="2280285"/>
                    </a:xfrm>
                    <a:prstGeom prst="rect">
                      <a:avLst/>
                    </a:prstGeom>
                    <a:noFill/>
                  </pic:spPr>
                </pic:pic>
              </a:graphicData>
            </a:graphic>
          </wp:inline>
        </w:drawing>
      </w:r>
      <w:r>
        <w:rPr>
          <w:rFonts w:ascii="新宋体" w:eastAsia="新宋体" w:hAnsi="新宋体" w:hint="eastAsia"/>
          <w:bCs/>
          <w:sz w:val="21"/>
          <w:szCs w:val="21"/>
        </w:rPr>
        <w:t xml:space="preserve">   </w:t>
      </w:r>
      <w:r w:rsidRPr="00703A3B">
        <w:rPr>
          <w:noProof/>
        </w:rPr>
        <w:drawing>
          <wp:inline distT="0" distB="0" distL="0" distR="0">
            <wp:extent cx="2585454" cy="2275366"/>
            <wp:effectExtent l="19050" t="0" r="5346"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6807" cy="2276557"/>
                    </a:xfrm>
                    <a:prstGeom prst="rect">
                      <a:avLst/>
                    </a:prstGeom>
                    <a:noFill/>
                  </pic:spPr>
                </pic:pic>
              </a:graphicData>
            </a:graphic>
          </wp:inline>
        </w:drawing>
      </w:r>
    </w:p>
    <w:p w:rsidR="00703A3B" w:rsidRPr="00703A3B" w:rsidRDefault="00703A3B" w:rsidP="00703A3B">
      <w:pPr>
        <w:autoSpaceDE w:val="0"/>
        <w:autoSpaceDN w:val="0"/>
        <w:adjustRightInd w:val="0"/>
        <w:spacing w:after="0" w:line="360" w:lineRule="auto"/>
        <w:ind w:leftChars="-129" w:left="-284" w:rightChars="-194" w:right="-427"/>
        <w:jc w:val="center"/>
        <w:rPr>
          <w:rFonts w:ascii="新宋体" w:eastAsia="新宋体" w:hAnsi="新宋体"/>
          <w:sz w:val="21"/>
          <w:szCs w:val="21"/>
        </w:rPr>
      </w:pPr>
      <w:r w:rsidRPr="00703A3B">
        <w:rPr>
          <w:rFonts w:ascii="新宋体" w:eastAsia="新宋体" w:hAnsi="新宋体"/>
          <w:sz w:val="21"/>
          <w:szCs w:val="21"/>
        </w:rPr>
        <w:t>数据来源：WIND</w:t>
      </w:r>
      <w:r w:rsidRPr="00703A3B">
        <w:rPr>
          <w:rFonts w:ascii="新宋体" w:eastAsia="新宋体" w:hAnsi="新宋体" w:hint="eastAsia"/>
          <w:sz w:val="21"/>
          <w:szCs w:val="21"/>
        </w:rPr>
        <w:t>、方正中期研究</w:t>
      </w:r>
    </w:p>
    <w:p w:rsidR="00703A3B" w:rsidRPr="00703A3B" w:rsidRDefault="00703A3B" w:rsidP="00703A3B">
      <w:pPr>
        <w:autoSpaceDE w:val="0"/>
        <w:autoSpaceDN w:val="0"/>
        <w:adjustRightInd w:val="0"/>
        <w:spacing w:before="100" w:beforeAutospacing="1" w:after="0" w:line="360" w:lineRule="auto"/>
        <w:ind w:leftChars="-129" w:left="-284" w:rightChars="-194" w:right="-427" w:firstLineChars="450" w:firstLine="945"/>
        <w:rPr>
          <w:rFonts w:ascii="新宋体" w:eastAsia="新宋体" w:hAnsi="新宋体"/>
          <w:bCs/>
          <w:sz w:val="21"/>
          <w:szCs w:val="21"/>
        </w:rPr>
      </w:pPr>
      <w:r w:rsidRPr="00703A3B">
        <w:rPr>
          <w:rFonts w:ascii="新宋体" w:eastAsia="新宋体" w:hAnsi="新宋体" w:hint="eastAsia"/>
          <w:sz w:val="21"/>
          <w:szCs w:val="21"/>
        </w:rPr>
        <w:t>图5：我国进出口贸易同比数据</w:t>
      </w:r>
      <w:r>
        <w:rPr>
          <w:rFonts w:ascii="新宋体" w:eastAsia="新宋体" w:hAnsi="新宋体" w:hint="eastAsia"/>
          <w:sz w:val="21"/>
          <w:szCs w:val="21"/>
        </w:rPr>
        <w:t xml:space="preserve">               </w:t>
      </w:r>
      <w:r w:rsidRPr="00703A3B">
        <w:rPr>
          <w:rFonts w:ascii="新宋体" w:eastAsia="新宋体" w:hAnsi="新宋体" w:hint="eastAsia"/>
          <w:sz w:val="21"/>
          <w:szCs w:val="21"/>
        </w:rPr>
        <w:t xml:space="preserve">   </w:t>
      </w:r>
      <w:r w:rsidRPr="00703A3B">
        <w:rPr>
          <w:rFonts w:ascii="新宋体" w:eastAsia="新宋体" w:hAnsi="新宋体" w:hint="eastAsia"/>
          <w:bCs/>
          <w:sz w:val="21"/>
          <w:szCs w:val="21"/>
        </w:rPr>
        <w:t>图6：我国CPI与PPI走势</w:t>
      </w:r>
    </w:p>
    <w:p w:rsidR="00703A3B" w:rsidRPr="00703A3B" w:rsidRDefault="00703A3B" w:rsidP="00703A3B">
      <w:pPr>
        <w:autoSpaceDE w:val="0"/>
        <w:autoSpaceDN w:val="0"/>
        <w:adjustRightInd w:val="0"/>
        <w:spacing w:after="0" w:line="360" w:lineRule="auto"/>
        <w:ind w:rightChars="-194" w:right="-427"/>
        <w:rPr>
          <w:rFonts w:ascii="新宋体" w:eastAsia="新宋体" w:hAnsi="新宋体"/>
          <w:sz w:val="21"/>
          <w:szCs w:val="21"/>
        </w:rPr>
      </w:pPr>
      <w:r w:rsidRPr="00703A3B">
        <w:rPr>
          <w:rFonts w:ascii="新宋体" w:eastAsia="新宋体" w:hAnsi="新宋体"/>
          <w:noProof/>
          <w:sz w:val="21"/>
          <w:szCs w:val="21"/>
        </w:rPr>
        <w:lastRenderedPageBreak/>
        <w:drawing>
          <wp:inline distT="0" distB="0" distL="0" distR="0">
            <wp:extent cx="2770667" cy="1892596"/>
            <wp:effectExtent l="1905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6756" cy="1896755"/>
                    </a:xfrm>
                    <a:prstGeom prst="rect">
                      <a:avLst/>
                    </a:prstGeom>
                    <a:noFill/>
                  </pic:spPr>
                </pic:pic>
              </a:graphicData>
            </a:graphic>
          </wp:inline>
        </w:drawing>
      </w:r>
      <w:r w:rsidRPr="00703A3B">
        <w:rPr>
          <w:rFonts w:ascii="新宋体" w:eastAsia="新宋体" w:hAnsi="新宋体"/>
          <w:noProof/>
          <w:sz w:val="21"/>
          <w:szCs w:val="21"/>
        </w:rPr>
        <w:drawing>
          <wp:inline distT="0" distB="0" distL="0" distR="0">
            <wp:extent cx="2532763" cy="1892596"/>
            <wp:effectExtent l="19050" t="0" r="887"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8574" cy="1896938"/>
                    </a:xfrm>
                    <a:prstGeom prst="rect">
                      <a:avLst/>
                    </a:prstGeom>
                    <a:noFill/>
                  </pic:spPr>
                </pic:pic>
              </a:graphicData>
            </a:graphic>
          </wp:inline>
        </w:drawing>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sz w:val="21"/>
          <w:szCs w:val="21"/>
        </w:rPr>
        <w:t>数据来源：WIND</w:t>
      </w:r>
      <w:r w:rsidRPr="00703A3B">
        <w:rPr>
          <w:rFonts w:ascii="新宋体" w:eastAsia="新宋体" w:hAnsi="新宋体" w:hint="eastAsia"/>
          <w:sz w:val="21"/>
          <w:szCs w:val="21"/>
        </w:rPr>
        <w:t>、方正中期研究</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2"/>
        <w:rPr>
          <w:rFonts w:ascii="新宋体" w:eastAsia="新宋体" w:hAnsi="新宋体"/>
          <w:b/>
          <w:sz w:val="21"/>
          <w:szCs w:val="21"/>
        </w:rPr>
      </w:pPr>
      <w:r w:rsidRPr="00703A3B">
        <w:rPr>
          <w:rFonts w:ascii="新宋体" w:eastAsia="新宋体" w:hAnsi="新宋体" w:hint="eastAsia"/>
          <w:b/>
          <w:sz w:val="21"/>
          <w:szCs w:val="21"/>
        </w:rPr>
        <w:t>2、钢铁行业资金面依然紧张</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sz w:val="21"/>
          <w:szCs w:val="21"/>
        </w:rPr>
        <w:t>中国物流与采购联合会钢铁物流专业委员会发布最新报告称，10月份央行公开市场操作对</w:t>
      </w:r>
      <w:r w:rsidRPr="00703A3B">
        <w:rPr>
          <w:rFonts w:ascii="新宋体" w:eastAsia="新宋体" w:hAnsi="新宋体" w:hint="eastAsia"/>
          <w:sz w:val="21"/>
          <w:szCs w:val="21"/>
        </w:rPr>
        <w:fldChar w:fldCharType="begin"/>
      </w:r>
      <w:r w:rsidRPr="00703A3B">
        <w:rPr>
          <w:rFonts w:ascii="新宋体" w:eastAsia="新宋体" w:hAnsi="新宋体" w:hint="eastAsia"/>
          <w:sz w:val="21"/>
          <w:szCs w:val="21"/>
        </w:rPr>
        <w:instrText xml:space="preserve"> HYPERLINK "http://baike.sososteel.com/doc/view/69427.html" \t "_blank" </w:instrText>
      </w:r>
      <w:r w:rsidRPr="00703A3B">
        <w:rPr>
          <w:rFonts w:ascii="新宋体" w:eastAsia="新宋体" w:hAnsi="新宋体" w:hint="eastAsia"/>
          <w:sz w:val="21"/>
          <w:szCs w:val="21"/>
        </w:rPr>
        <w:fldChar w:fldCharType="separate"/>
      </w:r>
      <w:r w:rsidRPr="00703A3B">
        <w:rPr>
          <w:rFonts w:ascii="新宋体" w:eastAsia="新宋体" w:hAnsi="新宋体"/>
          <w:sz w:val="21"/>
          <w:szCs w:val="21"/>
        </w:rPr>
        <w:t>流动性</w:t>
      </w:r>
      <w:r w:rsidRPr="00703A3B">
        <w:rPr>
          <w:rFonts w:ascii="新宋体" w:eastAsia="新宋体" w:hAnsi="新宋体" w:hint="eastAsia"/>
          <w:sz w:val="21"/>
          <w:szCs w:val="21"/>
        </w:rPr>
        <w:fldChar w:fldCharType="end"/>
      </w:r>
      <w:r w:rsidRPr="00703A3B">
        <w:rPr>
          <w:rFonts w:ascii="新宋体" w:eastAsia="新宋体" w:hAnsi="新宋体"/>
          <w:sz w:val="21"/>
          <w:szCs w:val="21"/>
        </w:rPr>
        <w:t>影响弱化，10月第一周央行在公开市场净投放资金260亿元，此后三周均在公开市场零投放、零回笼。今年以来央行三次下调正回购操作</w:t>
      </w:r>
      <w:r w:rsidRPr="00703A3B">
        <w:rPr>
          <w:rFonts w:ascii="新宋体" w:eastAsia="新宋体" w:hAnsi="新宋体" w:hint="eastAsia"/>
          <w:sz w:val="21"/>
          <w:szCs w:val="21"/>
        </w:rPr>
        <w:fldChar w:fldCharType="begin"/>
      </w:r>
      <w:r w:rsidRPr="00703A3B">
        <w:rPr>
          <w:rFonts w:ascii="新宋体" w:eastAsia="新宋体" w:hAnsi="新宋体" w:hint="eastAsia"/>
          <w:sz w:val="21"/>
          <w:szCs w:val="21"/>
        </w:rPr>
        <w:instrText xml:space="preserve"> HYPERLINK "http://baike.sososteel.com/doc/view/67013.html" \t "_blank" </w:instrText>
      </w:r>
      <w:r w:rsidRPr="00703A3B">
        <w:rPr>
          <w:rFonts w:ascii="新宋体" w:eastAsia="新宋体" w:hAnsi="新宋体" w:hint="eastAsia"/>
          <w:sz w:val="21"/>
          <w:szCs w:val="21"/>
        </w:rPr>
        <w:fldChar w:fldCharType="separate"/>
      </w:r>
      <w:r w:rsidRPr="00703A3B">
        <w:rPr>
          <w:rFonts w:ascii="新宋体" w:eastAsia="新宋体" w:hAnsi="新宋体"/>
          <w:sz w:val="21"/>
          <w:szCs w:val="21"/>
        </w:rPr>
        <w:t>利率</w:t>
      </w:r>
      <w:r w:rsidRPr="00703A3B">
        <w:rPr>
          <w:rFonts w:ascii="新宋体" w:eastAsia="新宋体" w:hAnsi="新宋体" w:hint="eastAsia"/>
          <w:sz w:val="21"/>
          <w:szCs w:val="21"/>
        </w:rPr>
        <w:fldChar w:fldCharType="end"/>
      </w:r>
      <w:r w:rsidRPr="00703A3B">
        <w:rPr>
          <w:rFonts w:ascii="新宋体" w:eastAsia="新宋体" w:hAnsi="新宋体"/>
          <w:sz w:val="21"/>
          <w:szCs w:val="21"/>
        </w:rPr>
        <w:t>，引导货币市场利率明显下行。据相关机构监测，10月30日沪大额银行承兑汇票贴现率为4‰，较9月30日回落14.89%，创下2013年6月初以来的新低。央行数据显示，9月新增人民币贷款8572亿元，远高于此前7500亿元的市场预期值,前三季度人民币贷款增加7.68</w:t>
      </w:r>
      <w:proofErr w:type="gramStart"/>
      <w:r w:rsidRPr="00703A3B">
        <w:rPr>
          <w:rFonts w:ascii="新宋体" w:eastAsia="新宋体" w:hAnsi="新宋体"/>
          <w:sz w:val="21"/>
          <w:szCs w:val="21"/>
        </w:rPr>
        <w:t>万亿</w:t>
      </w:r>
      <w:proofErr w:type="gramEnd"/>
      <w:r w:rsidRPr="00703A3B">
        <w:rPr>
          <w:rFonts w:ascii="新宋体" w:eastAsia="新宋体" w:hAnsi="新宋体"/>
          <w:sz w:val="21"/>
          <w:szCs w:val="21"/>
        </w:rPr>
        <w:t>元，同比多增4045亿元。不过，存款增速的放缓在一定程度上制约了银行部门放贷的规模和速度，2014年前三季度社会</w:t>
      </w:r>
      <w:r w:rsidRPr="00703A3B">
        <w:rPr>
          <w:rFonts w:ascii="新宋体" w:eastAsia="新宋体" w:hAnsi="新宋体" w:hint="eastAsia"/>
          <w:sz w:val="21"/>
          <w:szCs w:val="21"/>
        </w:rPr>
        <w:fldChar w:fldCharType="begin"/>
      </w:r>
      <w:r w:rsidRPr="00703A3B">
        <w:rPr>
          <w:rFonts w:ascii="新宋体" w:eastAsia="新宋体" w:hAnsi="新宋体" w:hint="eastAsia"/>
          <w:sz w:val="21"/>
          <w:szCs w:val="21"/>
        </w:rPr>
        <w:instrText xml:space="preserve"> HYPERLINK "http://baike.sososteel.com/doc/view/67016.html" \t "_blank" </w:instrText>
      </w:r>
      <w:r w:rsidRPr="00703A3B">
        <w:rPr>
          <w:rFonts w:ascii="新宋体" w:eastAsia="新宋体" w:hAnsi="新宋体" w:hint="eastAsia"/>
          <w:sz w:val="21"/>
          <w:szCs w:val="21"/>
        </w:rPr>
        <w:fldChar w:fldCharType="separate"/>
      </w:r>
      <w:r w:rsidRPr="00703A3B">
        <w:rPr>
          <w:rFonts w:ascii="新宋体" w:eastAsia="新宋体" w:hAnsi="新宋体"/>
          <w:sz w:val="21"/>
          <w:szCs w:val="21"/>
        </w:rPr>
        <w:t>融资</w:t>
      </w:r>
      <w:r w:rsidRPr="00703A3B">
        <w:rPr>
          <w:rFonts w:ascii="新宋体" w:eastAsia="新宋体" w:hAnsi="新宋体" w:hint="eastAsia"/>
          <w:sz w:val="21"/>
          <w:szCs w:val="21"/>
        </w:rPr>
        <w:fldChar w:fldCharType="end"/>
      </w:r>
      <w:r w:rsidRPr="00703A3B">
        <w:rPr>
          <w:rFonts w:ascii="新宋体" w:eastAsia="新宋体" w:hAnsi="新宋体"/>
          <w:sz w:val="21"/>
          <w:szCs w:val="21"/>
        </w:rPr>
        <w:t>规模为12.84</w:t>
      </w:r>
      <w:proofErr w:type="gramStart"/>
      <w:r w:rsidRPr="00703A3B">
        <w:rPr>
          <w:rFonts w:ascii="新宋体" w:eastAsia="新宋体" w:hAnsi="新宋体"/>
          <w:sz w:val="21"/>
          <w:szCs w:val="21"/>
        </w:rPr>
        <w:t>万亿</w:t>
      </w:r>
      <w:proofErr w:type="gramEnd"/>
      <w:r w:rsidRPr="00703A3B">
        <w:rPr>
          <w:rFonts w:ascii="新宋体" w:eastAsia="新宋体" w:hAnsi="新宋体"/>
          <w:sz w:val="21"/>
          <w:szCs w:val="21"/>
        </w:rPr>
        <w:t>元，比去年同期少1.12</w:t>
      </w:r>
      <w:proofErr w:type="gramStart"/>
      <w:r w:rsidRPr="00703A3B">
        <w:rPr>
          <w:rFonts w:ascii="新宋体" w:eastAsia="新宋体" w:hAnsi="新宋体"/>
          <w:sz w:val="21"/>
          <w:szCs w:val="21"/>
        </w:rPr>
        <w:t>万亿</w:t>
      </w:r>
      <w:proofErr w:type="gramEnd"/>
      <w:r w:rsidRPr="00703A3B">
        <w:rPr>
          <w:rFonts w:ascii="新宋体" w:eastAsia="新宋体" w:hAnsi="新宋体"/>
          <w:sz w:val="21"/>
          <w:szCs w:val="21"/>
        </w:rPr>
        <w:t>元。</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sz w:val="21"/>
          <w:szCs w:val="21"/>
        </w:rPr>
        <w:t>9月份央行对五大行实施5000亿元的SLF操作，10月份又对股份制银行进行2000亿元SLF操作，央行明显释放出政策进一步宽松和流动性相对充裕的信号。但由于政府加强了对影子银行的监管，同时银行对信贷风险的担忧在加剧，三季度社会融资规模尤其是表外融资明显减少，当前的</w:t>
      </w:r>
      <w:proofErr w:type="gramStart"/>
      <w:r w:rsidRPr="00703A3B">
        <w:rPr>
          <w:rFonts w:ascii="新宋体" w:eastAsia="新宋体" w:hAnsi="新宋体"/>
          <w:sz w:val="21"/>
          <w:szCs w:val="21"/>
        </w:rPr>
        <w:t>微刺激</w:t>
      </w:r>
      <w:proofErr w:type="gramEnd"/>
      <w:r w:rsidRPr="00703A3B">
        <w:rPr>
          <w:rFonts w:ascii="新宋体" w:eastAsia="新宋体" w:hAnsi="新宋体"/>
          <w:sz w:val="21"/>
          <w:szCs w:val="21"/>
        </w:rPr>
        <w:t>政策和温和宽松政策很难扭转大部分地区房地产市场和传统行业的下行趋势。从钢铁行业来看，据</w:t>
      </w:r>
      <w:r w:rsidRPr="00703A3B">
        <w:fldChar w:fldCharType="begin"/>
      </w:r>
      <w:r w:rsidRPr="00703A3B">
        <w:instrText>HYPERLINK "http://baike.sososteel.com/doc/view/41644.html" \t "_blank"</w:instrText>
      </w:r>
      <w:r w:rsidRPr="00703A3B">
        <w:fldChar w:fldCharType="separate"/>
      </w:r>
      <w:r w:rsidRPr="00703A3B">
        <w:rPr>
          <w:rFonts w:ascii="新宋体" w:eastAsia="新宋体" w:hAnsi="新宋体"/>
          <w:sz w:val="21"/>
          <w:szCs w:val="21"/>
        </w:rPr>
        <w:t>中钢</w:t>
      </w:r>
      <w:r w:rsidRPr="00703A3B">
        <w:fldChar w:fldCharType="end"/>
      </w:r>
      <w:r w:rsidRPr="00703A3B">
        <w:rPr>
          <w:rFonts w:ascii="新宋体" w:eastAsia="新宋体" w:hAnsi="新宋体"/>
          <w:sz w:val="21"/>
          <w:szCs w:val="21"/>
        </w:rPr>
        <w:t>协统计，前三季度大中型钢铁企业期间费用同比增长7.48%，其中财务费用同比增长22.88%。应收应付</w:t>
      </w:r>
      <w:proofErr w:type="gramStart"/>
      <w:r w:rsidRPr="00703A3B">
        <w:rPr>
          <w:rFonts w:ascii="新宋体" w:eastAsia="新宋体" w:hAnsi="新宋体"/>
          <w:sz w:val="21"/>
          <w:szCs w:val="21"/>
        </w:rPr>
        <w:t>账款均</w:t>
      </w:r>
      <w:proofErr w:type="gramEnd"/>
      <w:r w:rsidRPr="00703A3B">
        <w:rPr>
          <w:rFonts w:ascii="新宋体" w:eastAsia="新宋体" w:hAnsi="新宋体"/>
          <w:sz w:val="21"/>
          <w:szCs w:val="21"/>
        </w:rPr>
        <w:t>大幅增长，其中应收账款同比增长16.78%，应付账款同比增长10.97%。显示当前钢铁企业资金形势紧张的局面依然没有改变。</w:t>
      </w:r>
    </w:p>
    <w:p w:rsidR="00703A3B" w:rsidRPr="00703A3B" w:rsidRDefault="00703A3B" w:rsidP="00703A3B">
      <w:pPr>
        <w:autoSpaceDE w:val="0"/>
        <w:autoSpaceDN w:val="0"/>
        <w:adjustRightInd w:val="0"/>
        <w:spacing w:before="100" w:beforeAutospacing="1" w:after="0" w:line="360" w:lineRule="auto"/>
        <w:ind w:leftChars="-129" w:left="-284" w:rightChars="-194" w:right="-427"/>
        <w:rPr>
          <w:rFonts w:ascii="新宋体" w:eastAsia="新宋体" w:hAnsi="新宋体"/>
          <w:bCs/>
          <w:sz w:val="21"/>
          <w:szCs w:val="21"/>
        </w:rPr>
      </w:pPr>
      <w:r w:rsidRPr="00703A3B">
        <w:rPr>
          <w:rFonts w:ascii="新宋体" w:eastAsia="新宋体" w:hAnsi="新宋体" w:hint="eastAsia"/>
          <w:bCs/>
          <w:sz w:val="21"/>
          <w:szCs w:val="21"/>
        </w:rPr>
        <w:t>图7：我国M1、M2及人民币贷款月度走势</w:t>
      </w:r>
      <w:r>
        <w:rPr>
          <w:rFonts w:ascii="新宋体" w:eastAsia="新宋体" w:hAnsi="新宋体" w:hint="eastAsia"/>
          <w:bCs/>
          <w:sz w:val="21"/>
          <w:szCs w:val="21"/>
        </w:rPr>
        <w:t xml:space="preserve">        </w:t>
      </w:r>
      <w:r w:rsidRPr="00703A3B">
        <w:rPr>
          <w:rFonts w:ascii="新宋体" w:eastAsia="新宋体" w:hAnsi="新宋体" w:hint="eastAsia"/>
          <w:bCs/>
          <w:sz w:val="21"/>
          <w:szCs w:val="21"/>
        </w:rPr>
        <w:t>图8：我国社会融资规模月度走势</w:t>
      </w:r>
    </w:p>
    <w:p w:rsidR="00703A3B" w:rsidRPr="00703A3B" w:rsidRDefault="00703A3B" w:rsidP="00703A3B">
      <w:pPr>
        <w:autoSpaceDE w:val="0"/>
        <w:autoSpaceDN w:val="0"/>
        <w:adjustRightInd w:val="0"/>
        <w:spacing w:after="0" w:line="360" w:lineRule="auto"/>
        <w:ind w:leftChars="-129" w:left="-284" w:rightChars="-194" w:right="-427"/>
        <w:rPr>
          <w:noProof/>
        </w:rPr>
      </w:pPr>
      <w:r w:rsidRPr="00703A3B">
        <w:rPr>
          <w:noProof/>
        </w:rPr>
        <w:lastRenderedPageBreak/>
        <w:drawing>
          <wp:inline distT="0" distB="0" distL="0" distR="0">
            <wp:extent cx="2402958" cy="2328530"/>
            <wp:effectExtent l="1905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6919" cy="2332368"/>
                    </a:xfrm>
                    <a:prstGeom prst="rect">
                      <a:avLst/>
                    </a:prstGeom>
                    <a:noFill/>
                  </pic:spPr>
                </pic:pic>
              </a:graphicData>
            </a:graphic>
          </wp:inline>
        </w:drawing>
      </w:r>
      <w:r>
        <w:rPr>
          <w:rFonts w:hint="eastAsia"/>
          <w:noProof/>
        </w:rPr>
        <w:t xml:space="preserve">     </w:t>
      </w:r>
      <w:r w:rsidRPr="00703A3B">
        <w:rPr>
          <w:rFonts w:ascii="新宋体" w:eastAsia="新宋体" w:hAnsi="新宋体"/>
          <w:noProof/>
          <w:sz w:val="21"/>
          <w:szCs w:val="21"/>
        </w:rPr>
        <w:drawing>
          <wp:inline distT="0" distB="0" distL="0" distR="0">
            <wp:extent cx="2307266" cy="2328530"/>
            <wp:effectExtent l="1905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2607" cy="2333920"/>
                    </a:xfrm>
                    <a:prstGeom prst="rect">
                      <a:avLst/>
                    </a:prstGeom>
                    <a:noFill/>
                  </pic:spPr>
                </pic:pic>
              </a:graphicData>
            </a:graphic>
          </wp:inline>
        </w:drawing>
      </w:r>
    </w:p>
    <w:p w:rsidR="00703A3B" w:rsidRPr="00703A3B" w:rsidRDefault="00703A3B" w:rsidP="00703A3B">
      <w:pPr>
        <w:autoSpaceDE w:val="0"/>
        <w:autoSpaceDN w:val="0"/>
        <w:adjustRightInd w:val="0"/>
        <w:spacing w:after="0" w:line="360" w:lineRule="auto"/>
        <w:ind w:leftChars="-129" w:left="-284" w:rightChars="-194" w:right="-427"/>
        <w:jc w:val="center"/>
        <w:rPr>
          <w:rFonts w:ascii="新宋体" w:eastAsia="新宋体" w:hAnsi="新宋体"/>
          <w:sz w:val="21"/>
          <w:szCs w:val="21"/>
        </w:rPr>
      </w:pPr>
      <w:r w:rsidRPr="00703A3B">
        <w:rPr>
          <w:rFonts w:ascii="新宋体" w:eastAsia="新宋体" w:hAnsi="新宋体"/>
          <w:sz w:val="21"/>
          <w:szCs w:val="21"/>
        </w:rPr>
        <w:t>数据来源：WIND</w:t>
      </w:r>
      <w:r w:rsidRPr="00703A3B">
        <w:rPr>
          <w:rFonts w:ascii="新宋体" w:eastAsia="新宋体" w:hAnsi="新宋体" w:hint="eastAsia"/>
          <w:sz w:val="21"/>
          <w:szCs w:val="21"/>
        </w:rPr>
        <w:t>、方正中期研究</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2"/>
        <w:rPr>
          <w:rFonts w:ascii="新宋体" w:eastAsia="新宋体" w:hAnsi="新宋体"/>
          <w:b/>
          <w:bCs/>
          <w:sz w:val="21"/>
          <w:szCs w:val="21"/>
        </w:rPr>
      </w:pPr>
      <w:r w:rsidRPr="00703A3B">
        <w:rPr>
          <w:rFonts w:ascii="新宋体" w:eastAsia="新宋体" w:hAnsi="新宋体" w:hint="eastAsia"/>
          <w:b/>
          <w:bCs/>
          <w:sz w:val="21"/>
          <w:szCs w:val="21"/>
        </w:rPr>
        <w:t>3、</w:t>
      </w:r>
      <w:r w:rsidRPr="00703A3B">
        <w:rPr>
          <w:rFonts w:ascii="新宋体" w:eastAsia="新宋体" w:hAnsi="新宋体"/>
          <w:b/>
          <w:bCs/>
          <w:sz w:val="21"/>
          <w:szCs w:val="21"/>
        </w:rPr>
        <w:fldChar w:fldCharType="begin"/>
      </w:r>
      <w:r w:rsidRPr="00703A3B">
        <w:rPr>
          <w:rFonts w:ascii="新宋体" w:eastAsia="新宋体" w:hAnsi="新宋体"/>
          <w:b/>
          <w:bCs/>
          <w:sz w:val="21"/>
          <w:szCs w:val="21"/>
        </w:rPr>
        <w:instrText xml:space="preserve"> HYPERLINK "http://baike.sososteel.com/doc/view/35050.html" \t "_blank" </w:instrText>
      </w:r>
      <w:r w:rsidRPr="00703A3B">
        <w:rPr>
          <w:rFonts w:ascii="新宋体" w:eastAsia="新宋体" w:hAnsi="新宋体"/>
          <w:b/>
          <w:bCs/>
          <w:sz w:val="21"/>
          <w:szCs w:val="21"/>
        </w:rPr>
        <w:fldChar w:fldCharType="separate"/>
      </w:r>
      <w:r w:rsidRPr="00703A3B">
        <w:rPr>
          <w:rFonts w:ascii="新宋体" w:eastAsia="新宋体" w:hAnsi="新宋体"/>
          <w:b/>
          <w:bCs/>
          <w:sz w:val="21"/>
          <w:szCs w:val="21"/>
        </w:rPr>
        <w:t>固定资产投资</w:t>
      </w:r>
      <w:r w:rsidRPr="00703A3B">
        <w:rPr>
          <w:rFonts w:ascii="新宋体" w:eastAsia="新宋体" w:hAnsi="新宋体"/>
          <w:b/>
          <w:bCs/>
          <w:sz w:val="21"/>
          <w:szCs w:val="21"/>
        </w:rPr>
        <w:fldChar w:fldCharType="end"/>
      </w:r>
      <w:r w:rsidRPr="00703A3B">
        <w:rPr>
          <w:rFonts w:ascii="新宋体" w:eastAsia="新宋体" w:hAnsi="新宋体"/>
          <w:b/>
          <w:bCs/>
          <w:sz w:val="21"/>
          <w:szCs w:val="21"/>
        </w:rPr>
        <w:t>增速</w:t>
      </w:r>
      <w:r w:rsidRPr="00703A3B">
        <w:rPr>
          <w:rFonts w:ascii="新宋体" w:eastAsia="新宋体" w:hAnsi="新宋体" w:hint="eastAsia"/>
          <w:b/>
          <w:bCs/>
          <w:sz w:val="21"/>
          <w:szCs w:val="21"/>
        </w:rPr>
        <w:t>继续</w:t>
      </w:r>
      <w:r w:rsidRPr="00703A3B">
        <w:rPr>
          <w:rFonts w:ascii="新宋体" w:eastAsia="新宋体" w:hAnsi="新宋体"/>
          <w:b/>
          <w:bCs/>
          <w:sz w:val="21"/>
          <w:szCs w:val="21"/>
        </w:rPr>
        <w:t>回落，</w:t>
      </w:r>
      <w:r w:rsidRPr="00703A3B">
        <w:rPr>
          <w:rFonts w:ascii="新宋体" w:eastAsia="新宋体" w:hAnsi="新宋体" w:hint="eastAsia"/>
          <w:b/>
          <w:bCs/>
          <w:sz w:val="21"/>
          <w:szCs w:val="21"/>
        </w:rPr>
        <w:t>拖累</w:t>
      </w:r>
      <w:r w:rsidRPr="00703A3B">
        <w:rPr>
          <w:rFonts w:ascii="新宋体" w:eastAsia="新宋体" w:hAnsi="新宋体"/>
          <w:b/>
          <w:bCs/>
          <w:sz w:val="21"/>
          <w:szCs w:val="21"/>
        </w:rPr>
        <w:t>经济下行</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sz w:val="21"/>
          <w:szCs w:val="21"/>
        </w:rPr>
        <w:t>2014年1-9月份，全国固定资产投资357787亿元，同比名义增长16.1%（扣除价格因素实际增长15.3%），增速比1-8月份回落0.4个百分点。从环比速度看，9月份固定资产投资增长0.77%。2014年1-9月份，全国房地产开发投资68751亿元，同比名义增长12.5%（扣除价格因素实际增长11.7%），增速比1-8月份回落0.7个百分点。基础设施投资59028亿元，同比增长22.2%，增速比1-8月回落1.3个百分点</w:t>
      </w:r>
      <w:r w:rsidRPr="00703A3B">
        <w:rPr>
          <w:rFonts w:ascii="新宋体" w:eastAsia="新宋体" w:hAnsi="新宋体" w:hint="eastAsia"/>
          <w:sz w:val="21"/>
          <w:szCs w:val="21"/>
        </w:rPr>
        <w:t>。</w:t>
      </w:r>
      <w:r w:rsidRPr="00703A3B">
        <w:rPr>
          <w:rFonts w:ascii="新宋体" w:eastAsia="新宋体" w:hAnsi="新宋体"/>
          <w:sz w:val="21"/>
          <w:szCs w:val="21"/>
        </w:rPr>
        <w:t>1-9月份，固定资产投资到位资金391141亿元，同比增长12.4%，增速比1-8月份回落0.4个百分点。地方政府受制于资金来源受限投资持续回落，中央项目固定资产投资提高了0.9个百分点，承担了主要的</w:t>
      </w:r>
      <w:proofErr w:type="gramStart"/>
      <w:r w:rsidRPr="00703A3B">
        <w:rPr>
          <w:rFonts w:ascii="新宋体" w:eastAsia="新宋体" w:hAnsi="新宋体"/>
          <w:sz w:val="21"/>
          <w:szCs w:val="21"/>
        </w:rPr>
        <w:t>稳增长</w:t>
      </w:r>
      <w:proofErr w:type="gramEnd"/>
      <w:r w:rsidRPr="00703A3B">
        <w:rPr>
          <w:rFonts w:ascii="新宋体" w:eastAsia="新宋体" w:hAnsi="新宋体"/>
          <w:sz w:val="21"/>
          <w:szCs w:val="21"/>
        </w:rPr>
        <w:t>责任。9月国家预算内资金增速14.1%较上月升1.9%，而贷款、自筹资金增速均在回落。地产投资中国内贷款的增速回落,自筹资金和其他资金(主要是定金及预收款以及个人按揭)增速同样回落。</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sz w:val="21"/>
          <w:szCs w:val="21"/>
        </w:rPr>
        <w:t>展望未来，铁路固定资产投资会进一步加块，不过固定资产投资整体增速依然不容乐观。9月房地产销售仍在下降，3季度降幅扩大至12.7%，按照房地产销量对投资3个季度在右的领先性，房地产投资未来或继续回落，使得经济继续承压。而9月</w:t>
      </w:r>
      <w:r w:rsidRPr="00703A3B">
        <w:rPr>
          <w:rFonts w:ascii="新宋体" w:eastAsia="新宋体" w:hAnsi="新宋体" w:hint="eastAsia"/>
          <w:sz w:val="21"/>
          <w:szCs w:val="21"/>
        </w:rPr>
        <w:fldChar w:fldCharType="begin"/>
      </w:r>
      <w:r w:rsidRPr="00703A3B">
        <w:rPr>
          <w:rFonts w:ascii="新宋体" w:eastAsia="新宋体" w:hAnsi="新宋体" w:hint="eastAsia"/>
          <w:sz w:val="21"/>
          <w:szCs w:val="21"/>
        </w:rPr>
        <w:instrText xml:space="preserve"> HYPERLINK "http://baike.sososteel.com/doc/view/67012.html" \t "_blank" </w:instrText>
      </w:r>
      <w:r w:rsidRPr="00703A3B">
        <w:rPr>
          <w:rFonts w:ascii="新宋体" w:eastAsia="新宋体" w:hAnsi="新宋体" w:hint="eastAsia"/>
          <w:sz w:val="21"/>
          <w:szCs w:val="21"/>
        </w:rPr>
        <w:fldChar w:fldCharType="separate"/>
      </w:r>
      <w:r w:rsidRPr="00703A3B">
        <w:rPr>
          <w:rFonts w:ascii="新宋体" w:eastAsia="新宋体" w:hAnsi="新宋体"/>
          <w:sz w:val="21"/>
          <w:szCs w:val="21"/>
        </w:rPr>
        <w:t>PPI</w:t>
      </w:r>
      <w:r w:rsidRPr="00703A3B">
        <w:rPr>
          <w:rFonts w:ascii="新宋体" w:eastAsia="新宋体" w:hAnsi="新宋体" w:hint="eastAsia"/>
          <w:sz w:val="21"/>
          <w:szCs w:val="21"/>
        </w:rPr>
        <w:fldChar w:fldCharType="end"/>
      </w:r>
      <w:r w:rsidRPr="00703A3B">
        <w:rPr>
          <w:rFonts w:ascii="新宋体" w:eastAsia="新宋体" w:hAnsi="新宋体"/>
          <w:sz w:val="21"/>
          <w:szCs w:val="21"/>
        </w:rPr>
        <w:t>降幅扩大1.8%，意味着产能过剩仍在持续，制造业投资难见好转。此外地方政策举债面临全面规范，基建投资</w:t>
      </w:r>
      <w:proofErr w:type="gramStart"/>
      <w:r w:rsidRPr="00703A3B">
        <w:rPr>
          <w:rFonts w:ascii="新宋体" w:eastAsia="新宋体" w:hAnsi="新宋体"/>
          <w:sz w:val="21"/>
          <w:szCs w:val="21"/>
        </w:rPr>
        <w:t>扩张受</w:t>
      </w:r>
      <w:proofErr w:type="gramEnd"/>
      <w:r w:rsidRPr="00703A3B">
        <w:rPr>
          <w:rFonts w:ascii="新宋体" w:eastAsia="新宋体" w:hAnsi="新宋体"/>
          <w:sz w:val="21"/>
          <w:szCs w:val="21"/>
        </w:rPr>
        <w:t>约束。预计未来固定资产投资仍将维持低速运行态势。</w:t>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noProof/>
          <w:sz w:val="21"/>
          <w:szCs w:val="21"/>
        </w:rPr>
      </w:pPr>
      <w:r w:rsidRPr="00703A3B">
        <w:rPr>
          <w:rFonts w:ascii="新宋体" w:eastAsia="新宋体" w:hAnsi="新宋体" w:hint="eastAsia"/>
          <w:sz w:val="21"/>
          <w:szCs w:val="21"/>
        </w:rPr>
        <w:t>图9：我国固定资产和房地产投资增速持续下滑，拖累经济增速</w:t>
      </w:r>
    </w:p>
    <w:p w:rsidR="00703A3B" w:rsidRPr="00703A3B" w:rsidRDefault="00703A3B" w:rsidP="00703A3B">
      <w:pPr>
        <w:autoSpaceDE w:val="0"/>
        <w:autoSpaceDN w:val="0"/>
        <w:adjustRightInd w:val="0"/>
        <w:spacing w:after="0" w:line="360" w:lineRule="auto"/>
        <w:ind w:leftChars="-129" w:left="-284" w:rightChars="-194" w:right="-427"/>
        <w:jc w:val="center"/>
        <w:rPr>
          <w:rFonts w:ascii="新宋体" w:eastAsia="新宋体" w:hAnsi="新宋体"/>
          <w:sz w:val="21"/>
          <w:szCs w:val="21"/>
        </w:rPr>
      </w:pPr>
      <w:r w:rsidRPr="00703A3B">
        <w:rPr>
          <w:rFonts w:ascii="新宋体" w:eastAsia="新宋体" w:hAnsi="新宋体"/>
          <w:noProof/>
          <w:sz w:val="21"/>
          <w:szCs w:val="21"/>
        </w:rPr>
        <w:lastRenderedPageBreak/>
        <w:drawing>
          <wp:inline distT="0" distB="0" distL="0" distR="0">
            <wp:extent cx="5071731" cy="252831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6467" cy="2525686"/>
                    </a:xfrm>
                    <a:prstGeom prst="rect">
                      <a:avLst/>
                    </a:prstGeom>
                    <a:noFill/>
                  </pic:spPr>
                </pic:pic>
              </a:graphicData>
            </a:graphic>
          </wp:inline>
        </w:drawing>
      </w:r>
    </w:p>
    <w:p w:rsidR="00703A3B" w:rsidRPr="00703A3B" w:rsidRDefault="00703A3B" w:rsidP="00703A3B">
      <w:pPr>
        <w:spacing w:after="0"/>
        <w:jc w:val="center"/>
        <w:rPr>
          <w:rFonts w:ascii="新宋体" w:eastAsia="新宋体" w:hAnsi="新宋体"/>
          <w:sz w:val="21"/>
          <w:szCs w:val="21"/>
        </w:rPr>
      </w:pPr>
      <w:r w:rsidRPr="00703A3B">
        <w:rPr>
          <w:rFonts w:ascii="新宋体" w:eastAsia="新宋体" w:hAnsi="新宋体"/>
          <w:sz w:val="21"/>
          <w:szCs w:val="21"/>
        </w:rPr>
        <w:t>数据来源：WIND</w:t>
      </w:r>
      <w:r w:rsidRPr="00703A3B">
        <w:rPr>
          <w:rFonts w:ascii="新宋体" w:eastAsia="新宋体" w:hAnsi="新宋体" w:hint="eastAsia"/>
          <w:sz w:val="21"/>
          <w:szCs w:val="21"/>
        </w:rPr>
        <w:t>、方正中期研究</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2"/>
        <w:rPr>
          <w:rFonts w:ascii="新宋体" w:eastAsia="新宋体" w:hAnsi="新宋体"/>
          <w:b/>
          <w:bCs/>
          <w:sz w:val="21"/>
          <w:szCs w:val="21"/>
        </w:rPr>
      </w:pPr>
      <w:r w:rsidRPr="00703A3B">
        <w:rPr>
          <w:rFonts w:ascii="新宋体" w:eastAsia="新宋体" w:hAnsi="新宋体" w:hint="eastAsia"/>
          <w:b/>
          <w:bCs/>
          <w:sz w:val="21"/>
          <w:szCs w:val="21"/>
        </w:rPr>
        <w:t>4、房产低迷打压钢铁消费，钢铁产能过剩压力空前</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sz w:val="21"/>
          <w:szCs w:val="21"/>
        </w:rPr>
        <w:t>1-9月份，房地产开发企业房屋施工面积673230万平方米，同比增长11.5%，增速与1-8月份持平。1-9月份，商品房销售面积77132万平方米，同比下降8.6%，降幅比1-8月份扩大0.3个百分点。房屋新开工面积131411万平方米，下降9.3%，</w:t>
      </w:r>
      <w:proofErr w:type="gramStart"/>
      <w:r w:rsidRPr="00703A3B">
        <w:rPr>
          <w:rFonts w:ascii="新宋体" w:eastAsia="新宋体" w:hAnsi="新宋体"/>
          <w:sz w:val="21"/>
          <w:szCs w:val="21"/>
        </w:rPr>
        <w:t>降幅收</w:t>
      </w:r>
      <w:proofErr w:type="gramEnd"/>
      <w:r w:rsidRPr="00703A3B">
        <w:rPr>
          <w:rFonts w:ascii="新宋体" w:eastAsia="新宋体" w:hAnsi="新宋体"/>
          <w:sz w:val="21"/>
          <w:szCs w:val="21"/>
        </w:rPr>
        <w:t>窄1.2个百分点。9月份，房地产开发景气指数（简称“国房景气指数”）为94.72，比上月回落0.07点，处于21个月以来低位。从上述数据中来看，房地产行业低迷态势仍在继续。全国房地产开发投资累计增速连续第9个月回落，12.5%的增速继续低于全国固定资产投资16.1%的增速，同时，房屋新开工和销售等指标全面走弱，房价也继续了今年以来的下跌趋势。</w:t>
      </w:r>
      <w:r w:rsidRPr="00703A3B">
        <w:rPr>
          <w:rFonts w:ascii="新宋体" w:eastAsia="新宋体" w:hAnsi="新宋体" w:hint="eastAsia"/>
          <w:sz w:val="21"/>
          <w:szCs w:val="21"/>
        </w:rPr>
        <w:t>另外，虽然9月房地产开发景气指数在95以内的低位水平继续下挫，但是下挫速度较二季度的月均0.5个点已经明显放缓。</w:t>
      </w:r>
      <w:proofErr w:type="gramStart"/>
      <w:r w:rsidRPr="00703A3B">
        <w:rPr>
          <w:rFonts w:ascii="新宋体" w:eastAsia="新宋体" w:hAnsi="新宋体" w:hint="eastAsia"/>
          <w:sz w:val="21"/>
          <w:szCs w:val="21"/>
        </w:rPr>
        <w:t>房企对</w:t>
      </w:r>
      <w:proofErr w:type="gramEnd"/>
      <w:r w:rsidRPr="00703A3B">
        <w:rPr>
          <w:rFonts w:ascii="新宋体" w:eastAsia="新宋体" w:hAnsi="新宋体" w:hint="eastAsia"/>
          <w:sz w:val="21"/>
          <w:szCs w:val="21"/>
        </w:rPr>
        <w:t>后市仍然偏向悲观，市场预期四季度有望在低位保持徘徊。</w:t>
      </w:r>
      <w:r w:rsidRPr="00703A3B">
        <w:rPr>
          <w:rFonts w:ascii="新宋体" w:eastAsia="新宋体" w:hAnsi="新宋体"/>
          <w:sz w:val="21"/>
          <w:szCs w:val="21"/>
        </w:rPr>
        <w:t>一系列</w:t>
      </w:r>
      <w:r w:rsidRPr="00703A3B">
        <w:rPr>
          <w:rFonts w:ascii="新宋体" w:eastAsia="新宋体" w:hAnsi="新宋体" w:hint="eastAsia"/>
          <w:sz w:val="21"/>
          <w:szCs w:val="21"/>
        </w:rPr>
        <w:t>房地产</w:t>
      </w:r>
      <w:r w:rsidRPr="00703A3B">
        <w:rPr>
          <w:rFonts w:ascii="新宋体" w:eastAsia="新宋体" w:hAnsi="新宋体"/>
          <w:sz w:val="21"/>
          <w:szCs w:val="21"/>
        </w:rPr>
        <w:t>松绑措施陆续出台，</w:t>
      </w:r>
      <w:proofErr w:type="gramStart"/>
      <w:r w:rsidRPr="00703A3B">
        <w:rPr>
          <w:rFonts w:ascii="新宋体" w:eastAsia="新宋体" w:hAnsi="新宋体"/>
          <w:sz w:val="21"/>
          <w:szCs w:val="21"/>
        </w:rPr>
        <w:t>受房贷政策</w:t>
      </w:r>
      <w:proofErr w:type="gramEnd"/>
      <w:r w:rsidRPr="00703A3B">
        <w:rPr>
          <w:rFonts w:ascii="新宋体" w:eastAsia="新宋体" w:hAnsi="新宋体"/>
          <w:sz w:val="21"/>
          <w:szCs w:val="21"/>
        </w:rPr>
        <w:t>的提振，四季度房地产销售增速有望获得提振。预计未来几个月，地方政府还将继续出台新一轮刺激政策。不过楼市依然面临供过于求的局面，</w:t>
      </w:r>
      <w:proofErr w:type="gramStart"/>
      <w:r w:rsidRPr="00703A3B">
        <w:rPr>
          <w:rFonts w:ascii="新宋体" w:eastAsia="新宋体" w:hAnsi="新宋体"/>
          <w:sz w:val="21"/>
          <w:szCs w:val="21"/>
        </w:rPr>
        <w:t>房企面临</w:t>
      </w:r>
      <w:proofErr w:type="gramEnd"/>
      <w:r w:rsidRPr="00703A3B">
        <w:rPr>
          <w:rFonts w:ascii="新宋体" w:eastAsia="新宋体" w:hAnsi="新宋体"/>
          <w:sz w:val="21"/>
          <w:szCs w:val="21"/>
        </w:rPr>
        <w:t>巨大的去库存化压力，且资金依旧紧张，房地产投资短期难以显著回升。</w:t>
      </w:r>
      <w:r w:rsidRPr="00703A3B">
        <w:rPr>
          <w:rFonts w:ascii="新宋体" w:eastAsia="新宋体" w:hAnsi="新宋体" w:hint="eastAsia"/>
          <w:sz w:val="21"/>
          <w:szCs w:val="21"/>
        </w:rPr>
        <w:t>从当前情况来看，房地产的投资需求远大于居民住宅需求，房地产泡沫依然存在，且是经济复苏最大的障碍，但政府通过取消限购和金融政策的调整，引导房地产市场温和复苏，来保证今年GDP7.5%的增长，这能否刺激四季度钢铁消费增量有待观察。</w:t>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bCs/>
          <w:sz w:val="21"/>
          <w:szCs w:val="21"/>
        </w:rPr>
      </w:pPr>
      <w:r w:rsidRPr="00703A3B">
        <w:rPr>
          <w:rFonts w:ascii="新宋体" w:eastAsia="新宋体" w:hAnsi="新宋体" w:hint="eastAsia"/>
          <w:bCs/>
          <w:sz w:val="21"/>
          <w:szCs w:val="21"/>
        </w:rPr>
        <w:t>图10：我国房地产三大先行指标同比走势</w:t>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noProof/>
          <w:sz w:val="21"/>
          <w:szCs w:val="21"/>
        </w:rPr>
        <w:lastRenderedPageBreak/>
        <w:drawing>
          <wp:inline distT="0" distB="0" distL="0" distR="0">
            <wp:extent cx="5050465" cy="2562447"/>
            <wp:effectExtent l="19050" t="19050" r="0"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8767" cy="2566659"/>
                    </a:xfrm>
                    <a:prstGeom prst="rect">
                      <a:avLst/>
                    </a:prstGeom>
                    <a:noFill/>
                    <a:ln>
                      <a:solidFill>
                        <a:schemeClr val="bg2">
                          <a:lumMod val="50000"/>
                        </a:schemeClr>
                      </a:solidFill>
                    </a:ln>
                  </pic:spPr>
                </pic:pic>
              </a:graphicData>
            </a:graphic>
          </wp:inline>
        </w:drawing>
      </w:r>
    </w:p>
    <w:p w:rsidR="00703A3B" w:rsidRPr="00703A3B" w:rsidRDefault="00703A3B" w:rsidP="00703A3B">
      <w:pPr>
        <w:autoSpaceDE w:val="0"/>
        <w:autoSpaceDN w:val="0"/>
        <w:adjustRightInd w:val="0"/>
        <w:spacing w:after="0" w:line="360" w:lineRule="auto"/>
        <w:ind w:leftChars="-129" w:left="-284" w:rightChars="-194" w:right="-427"/>
        <w:jc w:val="center"/>
        <w:rPr>
          <w:rFonts w:ascii="新宋体" w:eastAsia="新宋体" w:hAnsi="新宋体"/>
          <w:sz w:val="21"/>
          <w:szCs w:val="21"/>
        </w:rPr>
      </w:pPr>
      <w:r w:rsidRPr="00703A3B">
        <w:rPr>
          <w:rFonts w:ascii="新宋体" w:eastAsia="新宋体" w:hAnsi="新宋体"/>
          <w:sz w:val="21"/>
          <w:szCs w:val="21"/>
        </w:rPr>
        <w:t>数据来源：WIND</w:t>
      </w:r>
      <w:r w:rsidRPr="00703A3B">
        <w:rPr>
          <w:rFonts w:ascii="新宋体" w:eastAsia="新宋体" w:hAnsi="新宋体" w:hint="eastAsia"/>
          <w:sz w:val="21"/>
          <w:szCs w:val="21"/>
        </w:rPr>
        <w:t>、方正中期研究</w:t>
      </w:r>
    </w:p>
    <w:p w:rsidR="00703A3B" w:rsidRPr="00703A3B" w:rsidRDefault="00703A3B" w:rsidP="00703A3B">
      <w:pPr>
        <w:shd w:val="clear" w:color="auto" w:fill="FFFFFF"/>
        <w:wordWrap w:val="0"/>
        <w:spacing w:line="315" w:lineRule="atLeast"/>
        <w:jc w:val="center"/>
        <w:rPr>
          <w:rFonts w:ascii="新宋体" w:eastAsia="新宋体" w:hAnsi="新宋体"/>
          <w:sz w:val="21"/>
          <w:szCs w:val="21"/>
        </w:rPr>
      </w:pPr>
      <w:r w:rsidRPr="00703A3B">
        <w:rPr>
          <w:rFonts w:ascii="新宋体" w:eastAsia="新宋体" w:hAnsi="新宋体" w:hint="eastAsia"/>
          <w:sz w:val="21"/>
          <w:szCs w:val="21"/>
        </w:rPr>
        <w:t>表1： 房地产政策调整前后对比</w:t>
      </w:r>
    </w:p>
    <w:tbl>
      <w:tblPr>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tblPr>
      <w:tblGrid>
        <w:gridCol w:w="1344"/>
        <w:gridCol w:w="1735"/>
        <w:gridCol w:w="2822"/>
        <w:gridCol w:w="2621"/>
      </w:tblGrid>
      <w:tr w:rsidR="00703A3B" w:rsidRPr="00703A3B" w:rsidTr="00B4689F">
        <w:tc>
          <w:tcPr>
            <w:tcW w:w="3286" w:type="dxa"/>
            <w:gridSpan w:val="2"/>
            <w:vAlign w:val="center"/>
            <w:hideMark/>
          </w:tcPr>
          <w:p w:rsidR="00703A3B" w:rsidRPr="00703A3B" w:rsidRDefault="00703A3B" w:rsidP="00B4689F">
            <w:pPr>
              <w:spacing w:after="0"/>
              <w:ind w:firstLine="420"/>
              <w:jc w:val="center"/>
              <w:rPr>
                <w:rFonts w:ascii="新宋体" w:eastAsia="新宋体" w:hAnsi="新宋体"/>
                <w:sz w:val="21"/>
                <w:szCs w:val="21"/>
              </w:rPr>
            </w:pPr>
          </w:p>
        </w:tc>
        <w:tc>
          <w:tcPr>
            <w:tcW w:w="3059" w:type="dxa"/>
            <w:vAlign w:val="center"/>
            <w:hideMark/>
          </w:tcPr>
          <w:p w:rsidR="00703A3B" w:rsidRPr="00703A3B" w:rsidRDefault="00703A3B" w:rsidP="00B4689F">
            <w:pPr>
              <w:spacing w:after="0" w:line="315" w:lineRule="atLeast"/>
              <w:ind w:firstLine="420"/>
              <w:jc w:val="center"/>
              <w:rPr>
                <w:rFonts w:ascii="新宋体" w:eastAsia="新宋体" w:hAnsi="新宋体"/>
                <w:sz w:val="21"/>
                <w:szCs w:val="21"/>
              </w:rPr>
            </w:pPr>
            <w:r w:rsidRPr="00703A3B">
              <w:rPr>
                <w:rFonts w:ascii="新宋体" w:eastAsia="新宋体" w:hAnsi="新宋体" w:hint="eastAsia"/>
                <w:sz w:val="21"/>
                <w:szCs w:val="21"/>
              </w:rPr>
              <w:t>调整前</w:t>
            </w:r>
          </w:p>
        </w:tc>
        <w:tc>
          <w:tcPr>
            <w:tcW w:w="2835" w:type="dxa"/>
            <w:vAlign w:val="center"/>
            <w:hideMark/>
          </w:tcPr>
          <w:p w:rsidR="00703A3B" w:rsidRPr="00703A3B" w:rsidRDefault="00703A3B" w:rsidP="00B4689F">
            <w:pPr>
              <w:spacing w:after="0" w:line="315" w:lineRule="atLeast"/>
              <w:ind w:firstLine="420"/>
              <w:jc w:val="center"/>
              <w:rPr>
                <w:rFonts w:ascii="新宋体" w:eastAsia="新宋体" w:hAnsi="新宋体"/>
                <w:sz w:val="21"/>
                <w:szCs w:val="21"/>
              </w:rPr>
            </w:pPr>
            <w:r w:rsidRPr="00703A3B">
              <w:rPr>
                <w:rFonts w:ascii="新宋体" w:eastAsia="新宋体" w:hAnsi="新宋体" w:hint="eastAsia"/>
                <w:sz w:val="21"/>
                <w:szCs w:val="21"/>
              </w:rPr>
              <w:t>调整后</w:t>
            </w:r>
          </w:p>
        </w:tc>
      </w:tr>
      <w:tr w:rsidR="00703A3B" w:rsidRPr="00703A3B" w:rsidTr="00B4689F">
        <w:tc>
          <w:tcPr>
            <w:tcW w:w="1426" w:type="dxa"/>
            <w:vMerge w:val="restart"/>
            <w:vAlign w:val="center"/>
            <w:hideMark/>
          </w:tcPr>
          <w:p w:rsidR="00703A3B" w:rsidRPr="00703A3B" w:rsidRDefault="00703A3B" w:rsidP="00B4689F">
            <w:pPr>
              <w:spacing w:after="0"/>
              <w:ind w:firstLine="420"/>
              <w:jc w:val="center"/>
              <w:rPr>
                <w:rFonts w:ascii="新宋体" w:eastAsia="新宋体" w:hAnsi="新宋体"/>
                <w:sz w:val="21"/>
                <w:szCs w:val="21"/>
              </w:rPr>
            </w:pPr>
            <w:r w:rsidRPr="00703A3B">
              <w:rPr>
                <w:rFonts w:ascii="新宋体" w:eastAsia="新宋体" w:hAnsi="新宋体" w:hint="eastAsia"/>
                <w:sz w:val="21"/>
                <w:szCs w:val="21"/>
              </w:rPr>
              <w:t>央行</w:t>
            </w:r>
            <w:proofErr w:type="gramStart"/>
            <w:r w:rsidRPr="00703A3B">
              <w:rPr>
                <w:rFonts w:ascii="新宋体" w:eastAsia="新宋体" w:hAnsi="新宋体" w:hint="eastAsia"/>
                <w:sz w:val="21"/>
                <w:szCs w:val="21"/>
              </w:rPr>
              <w:t>放松首</w:t>
            </w:r>
            <w:proofErr w:type="gramEnd"/>
            <w:r w:rsidRPr="00703A3B">
              <w:rPr>
                <w:rFonts w:ascii="新宋体" w:eastAsia="新宋体" w:hAnsi="新宋体" w:hint="eastAsia"/>
                <w:sz w:val="21"/>
                <w:szCs w:val="21"/>
              </w:rPr>
              <w:t>套房贷认定标准</w:t>
            </w:r>
          </w:p>
        </w:tc>
        <w:tc>
          <w:tcPr>
            <w:tcW w:w="1860" w:type="dxa"/>
            <w:vAlign w:val="center"/>
            <w:hideMark/>
          </w:tcPr>
          <w:p w:rsidR="00703A3B" w:rsidRPr="00703A3B" w:rsidRDefault="00703A3B" w:rsidP="00B4689F">
            <w:pPr>
              <w:spacing w:after="0"/>
              <w:ind w:firstLine="420"/>
              <w:jc w:val="center"/>
              <w:rPr>
                <w:rFonts w:ascii="新宋体" w:eastAsia="新宋体" w:hAnsi="新宋体"/>
                <w:sz w:val="21"/>
                <w:szCs w:val="21"/>
              </w:rPr>
            </w:pPr>
            <w:r w:rsidRPr="00703A3B">
              <w:rPr>
                <w:rFonts w:ascii="新宋体" w:eastAsia="新宋体" w:hAnsi="新宋体" w:hint="eastAsia"/>
                <w:sz w:val="21"/>
                <w:szCs w:val="21"/>
              </w:rPr>
              <w:t>首套房</w:t>
            </w:r>
          </w:p>
        </w:tc>
        <w:tc>
          <w:tcPr>
            <w:tcW w:w="3059" w:type="dxa"/>
            <w:vAlign w:val="center"/>
            <w:hideMark/>
          </w:tcPr>
          <w:p w:rsidR="00703A3B" w:rsidRPr="00703A3B" w:rsidRDefault="00703A3B" w:rsidP="00B4689F">
            <w:pPr>
              <w:spacing w:after="0"/>
              <w:jc w:val="center"/>
              <w:rPr>
                <w:rFonts w:ascii="新宋体" w:eastAsia="新宋体" w:hAnsi="新宋体"/>
                <w:sz w:val="21"/>
                <w:szCs w:val="21"/>
              </w:rPr>
            </w:pPr>
            <w:r w:rsidRPr="00703A3B">
              <w:rPr>
                <w:rFonts w:ascii="新宋体" w:eastAsia="新宋体" w:hAnsi="新宋体" w:hint="eastAsia"/>
                <w:sz w:val="21"/>
                <w:szCs w:val="21"/>
              </w:rPr>
              <w:t>首付比例30%，房贷利率下限7折，银行多为8折或8.5折</w:t>
            </w:r>
          </w:p>
        </w:tc>
        <w:tc>
          <w:tcPr>
            <w:tcW w:w="2835" w:type="dxa"/>
            <w:vAlign w:val="center"/>
            <w:hideMark/>
          </w:tcPr>
          <w:p w:rsidR="00703A3B" w:rsidRPr="00703A3B" w:rsidRDefault="00703A3B" w:rsidP="00B4689F">
            <w:pPr>
              <w:spacing w:after="0"/>
              <w:jc w:val="center"/>
              <w:rPr>
                <w:rFonts w:ascii="新宋体" w:eastAsia="新宋体" w:hAnsi="新宋体"/>
                <w:sz w:val="21"/>
                <w:szCs w:val="21"/>
              </w:rPr>
            </w:pPr>
            <w:r w:rsidRPr="00703A3B">
              <w:rPr>
                <w:rFonts w:ascii="新宋体" w:eastAsia="新宋体" w:hAnsi="新宋体" w:hint="eastAsia"/>
                <w:sz w:val="21"/>
                <w:szCs w:val="21"/>
              </w:rPr>
              <w:t>首付比例30%，房贷利率下限7折</w:t>
            </w:r>
          </w:p>
        </w:tc>
      </w:tr>
      <w:tr w:rsidR="00703A3B" w:rsidRPr="00703A3B" w:rsidTr="00B4689F">
        <w:tc>
          <w:tcPr>
            <w:tcW w:w="0" w:type="auto"/>
            <w:vMerge/>
            <w:vAlign w:val="center"/>
            <w:hideMark/>
          </w:tcPr>
          <w:p w:rsidR="00703A3B" w:rsidRPr="00703A3B" w:rsidRDefault="00703A3B" w:rsidP="00B4689F">
            <w:pPr>
              <w:spacing w:after="0"/>
              <w:ind w:firstLine="420"/>
              <w:jc w:val="center"/>
              <w:rPr>
                <w:rFonts w:ascii="新宋体" w:eastAsia="新宋体" w:hAnsi="新宋体"/>
                <w:sz w:val="21"/>
                <w:szCs w:val="21"/>
              </w:rPr>
            </w:pPr>
          </w:p>
        </w:tc>
        <w:tc>
          <w:tcPr>
            <w:tcW w:w="1860" w:type="dxa"/>
            <w:vAlign w:val="center"/>
            <w:hideMark/>
          </w:tcPr>
          <w:p w:rsidR="00703A3B" w:rsidRPr="00703A3B" w:rsidRDefault="00703A3B" w:rsidP="00B4689F">
            <w:pPr>
              <w:spacing w:after="0" w:line="315" w:lineRule="atLeast"/>
              <w:ind w:firstLine="420"/>
              <w:jc w:val="center"/>
              <w:rPr>
                <w:rFonts w:ascii="新宋体" w:eastAsia="新宋体" w:hAnsi="新宋体"/>
                <w:sz w:val="21"/>
                <w:szCs w:val="21"/>
              </w:rPr>
            </w:pPr>
            <w:r w:rsidRPr="00703A3B">
              <w:rPr>
                <w:rFonts w:ascii="新宋体" w:eastAsia="新宋体" w:hAnsi="新宋体" w:hint="eastAsia"/>
                <w:sz w:val="21"/>
                <w:szCs w:val="21"/>
              </w:rPr>
              <w:t>二套房</w:t>
            </w:r>
          </w:p>
        </w:tc>
        <w:tc>
          <w:tcPr>
            <w:tcW w:w="3059" w:type="dxa"/>
            <w:vAlign w:val="center"/>
            <w:hideMark/>
          </w:tcPr>
          <w:p w:rsidR="00703A3B" w:rsidRPr="00703A3B" w:rsidRDefault="00703A3B" w:rsidP="00B4689F">
            <w:pPr>
              <w:spacing w:after="0" w:line="315" w:lineRule="atLeast"/>
              <w:jc w:val="center"/>
              <w:rPr>
                <w:rFonts w:ascii="新宋体" w:eastAsia="新宋体" w:hAnsi="新宋体"/>
                <w:sz w:val="21"/>
                <w:szCs w:val="21"/>
              </w:rPr>
            </w:pPr>
            <w:r w:rsidRPr="00703A3B">
              <w:rPr>
                <w:rFonts w:ascii="新宋体" w:eastAsia="新宋体" w:hAnsi="新宋体" w:hint="eastAsia"/>
                <w:sz w:val="21"/>
                <w:szCs w:val="21"/>
              </w:rPr>
              <w:t>首付比例60%，房贷利率1.1倍</w:t>
            </w:r>
          </w:p>
        </w:tc>
        <w:tc>
          <w:tcPr>
            <w:tcW w:w="2835" w:type="dxa"/>
            <w:vAlign w:val="center"/>
            <w:hideMark/>
          </w:tcPr>
          <w:p w:rsidR="00703A3B" w:rsidRPr="00703A3B" w:rsidRDefault="00703A3B" w:rsidP="00B4689F">
            <w:pPr>
              <w:spacing w:after="0" w:line="315" w:lineRule="atLeast"/>
              <w:jc w:val="center"/>
              <w:rPr>
                <w:rFonts w:ascii="新宋体" w:eastAsia="新宋体" w:hAnsi="新宋体"/>
                <w:sz w:val="21"/>
                <w:szCs w:val="21"/>
              </w:rPr>
            </w:pPr>
            <w:r w:rsidRPr="00703A3B">
              <w:rPr>
                <w:rFonts w:ascii="新宋体" w:eastAsia="新宋体" w:hAnsi="新宋体" w:hint="eastAsia"/>
                <w:sz w:val="21"/>
                <w:szCs w:val="21"/>
              </w:rPr>
              <w:t>首付比例30%，房贷利率7折</w:t>
            </w:r>
          </w:p>
        </w:tc>
      </w:tr>
      <w:tr w:rsidR="00703A3B" w:rsidRPr="00703A3B" w:rsidTr="00B4689F">
        <w:tc>
          <w:tcPr>
            <w:tcW w:w="0" w:type="auto"/>
            <w:vMerge/>
            <w:vAlign w:val="center"/>
            <w:hideMark/>
          </w:tcPr>
          <w:p w:rsidR="00703A3B" w:rsidRPr="00703A3B" w:rsidRDefault="00703A3B" w:rsidP="00B4689F">
            <w:pPr>
              <w:spacing w:after="0"/>
              <w:ind w:firstLine="420"/>
              <w:jc w:val="center"/>
              <w:rPr>
                <w:rFonts w:ascii="新宋体" w:eastAsia="新宋体" w:hAnsi="新宋体"/>
                <w:sz w:val="21"/>
                <w:szCs w:val="21"/>
              </w:rPr>
            </w:pPr>
          </w:p>
        </w:tc>
        <w:tc>
          <w:tcPr>
            <w:tcW w:w="1860" w:type="dxa"/>
            <w:vAlign w:val="center"/>
            <w:hideMark/>
          </w:tcPr>
          <w:p w:rsidR="00703A3B" w:rsidRPr="00703A3B" w:rsidRDefault="00703A3B" w:rsidP="00B4689F">
            <w:pPr>
              <w:spacing w:after="0" w:line="315" w:lineRule="atLeast"/>
              <w:jc w:val="center"/>
              <w:rPr>
                <w:rFonts w:ascii="新宋体" w:eastAsia="新宋体" w:hAnsi="新宋体"/>
                <w:sz w:val="21"/>
                <w:szCs w:val="21"/>
              </w:rPr>
            </w:pPr>
            <w:r w:rsidRPr="00703A3B">
              <w:rPr>
                <w:rFonts w:ascii="新宋体" w:eastAsia="新宋体" w:hAnsi="新宋体" w:hint="eastAsia"/>
                <w:sz w:val="21"/>
                <w:szCs w:val="21"/>
              </w:rPr>
              <w:t>未限购城市二套及以上（并已结清相应贷款）</w:t>
            </w:r>
          </w:p>
        </w:tc>
        <w:tc>
          <w:tcPr>
            <w:tcW w:w="3059" w:type="dxa"/>
            <w:vAlign w:val="center"/>
            <w:hideMark/>
          </w:tcPr>
          <w:p w:rsidR="00703A3B" w:rsidRPr="00703A3B" w:rsidRDefault="00703A3B" w:rsidP="00B4689F">
            <w:pPr>
              <w:spacing w:after="0" w:line="315" w:lineRule="atLeast"/>
              <w:ind w:firstLine="420"/>
              <w:jc w:val="center"/>
              <w:rPr>
                <w:rFonts w:ascii="新宋体" w:eastAsia="新宋体" w:hAnsi="新宋体"/>
                <w:sz w:val="21"/>
                <w:szCs w:val="21"/>
              </w:rPr>
            </w:pPr>
            <w:r w:rsidRPr="00703A3B">
              <w:rPr>
                <w:rFonts w:ascii="新宋体" w:eastAsia="新宋体" w:hAnsi="新宋体" w:hint="eastAsia"/>
                <w:sz w:val="21"/>
                <w:szCs w:val="21"/>
              </w:rPr>
              <w:t>第三套房贷款暂停</w:t>
            </w:r>
          </w:p>
        </w:tc>
        <w:tc>
          <w:tcPr>
            <w:tcW w:w="2835" w:type="dxa"/>
            <w:vAlign w:val="center"/>
            <w:hideMark/>
          </w:tcPr>
          <w:p w:rsidR="00703A3B" w:rsidRPr="00703A3B" w:rsidRDefault="00703A3B" w:rsidP="00B4689F">
            <w:pPr>
              <w:spacing w:after="0" w:line="315" w:lineRule="atLeast"/>
              <w:ind w:firstLine="420"/>
              <w:jc w:val="center"/>
              <w:rPr>
                <w:rFonts w:ascii="新宋体" w:eastAsia="新宋体" w:hAnsi="新宋体"/>
                <w:sz w:val="21"/>
                <w:szCs w:val="21"/>
              </w:rPr>
            </w:pPr>
            <w:r w:rsidRPr="00703A3B">
              <w:rPr>
                <w:rFonts w:ascii="新宋体" w:eastAsia="新宋体" w:hAnsi="新宋体" w:hint="eastAsia"/>
                <w:sz w:val="21"/>
                <w:szCs w:val="21"/>
              </w:rPr>
              <w:t>银行根据借贷人还款能力、信用状况等因素自行审慎决定</w:t>
            </w:r>
          </w:p>
        </w:tc>
      </w:tr>
      <w:tr w:rsidR="00703A3B" w:rsidRPr="00703A3B" w:rsidTr="00B4689F">
        <w:tc>
          <w:tcPr>
            <w:tcW w:w="1426" w:type="dxa"/>
            <w:vMerge w:val="restart"/>
            <w:vAlign w:val="center"/>
            <w:hideMark/>
          </w:tcPr>
          <w:p w:rsidR="00703A3B" w:rsidRPr="00703A3B" w:rsidRDefault="00703A3B" w:rsidP="00B4689F">
            <w:pPr>
              <w:spacing w:after="0"/>
              <w:ind w:firstLine="420"/>
              <w:jc w:val="center"/>
              <w:rPr>
                <w:rFonts w:ascii="新宋体" w:eastAsia="新宋体" w:hAnsi="新宋体"/>
                <w:sz w:val="21"/>
                <w:szCs w:val="21"/>
              </w:rPr>
            </w:pPr>
            <w:r w:rsidRPr="00703A3B">
              <w:rPr>
                <w:rFonts w:ascii="新宋体" w:eastAsia="新宋体" w:hAnsi="新宋体" w:hint="eastAsia"/>
                <w:sz w:val="21"/>
                <w:szCs w:val="21"/>
              </w:rPr>
              <w:t>1套房还清贷款再购房算首套（假设再购400万的房子）</w:t>
            </w:r>
          </w:p>
        </w:tc>
        <w:tc>
          <w:tcPr>
            <w:tcW w:w="1860" w:type="dxa"/>
            <w:vAlign w:val="center"/>
            <w:hideMark/>
          </w:tcPr>
          <w:p w:rsidR="00703A3B" w:rsidRPr="00703A3B" w:rsidRDefault="00703A3B" w:rsidP="00B4689F">
            <w:pPr>
              <w:spacing w:after="0"/>
              <w:ind w:firstLine="420"/>
              <w:jc w:val="center"/>
              <w:rPr>
                <w:rFonts w:ascii="新宋体" w:eastAsia="新宋体" w:hAnsi="新宋体"/>
                <w:sz w:val="21"/>
                <w:szCs w:val="21"/>
              </w:rPr>
            </w:pPr>
            <w:r w:rsidRPr="00703A3B">
              <w:rPr>
                <w:rFonts w:ascii="新宋体" w:eastAsia="新宋体" w:hAnsi="新宋体" w:hint="eastAsia"/>
                <w:sz w:val="21"/>
                <w:szCs w:val="21"/>
              </w:rPr>
              <w:t>首付款</w:t>
            </w:r>
          </w:p>
        </w:tc>
        <w:tc>
          <w:tcPr>
            <w:tcW w:w="3059" w:type="dxa"/>
            <w:vAlign w:val="center"/>
            <w:hideMark/>
          </w:tcPr>
          <w:p w:rsidR="00703A3B" w:rsidRPr="00703A3B" w:rsidRDefault="00703A3B" w:rsidP="00B4689F">
            <w:pPr>
              <w:spacing w:after="0"/>
              <w:jc w:val="center"/>
              <w:rPr>
                <w:rFonts w:ascii="新宋体" w:eastAsia="新宋体" w:hAnsi="新宋体"/>
                <w:sz w:val="21"/>
                <w:szCs w:val="21"/>
              </w:rPr>
            </w:pPr>
            <w:r w:rsidRPr="00703A3B">
              <w:rPr>
                <w:rFonts w:ascii="新宋体" w:eastAsia="新宋体" w:hAnsi="新宋体" w:hint="eastAsia"/>
                <w:sz w:val="21"/>
                <w:szCs w:val="21"/>
              </w:rPr>
              <w:t>按二套房认定400万*60%</w:t>
            </w:r>
          </w:p>
        </w:tc>
        <w:tc>
          <w:tcPr>
            <w:tcW w:w="2835" w:type="dxa"/>
            <w:vAlign w:val="center"/>
            <w:hideMark/>
          </w:tcPr>
          <w:p w:rsidR="00703A3B" w:rsidRPr="00703A3B" w:rsidRDefault="00703A3B" w:rsidP="00B4689F">
            <w:pPr>
              <w:spacing w:after="0"/>
              <w:jc w:val="center"/>
              <w:rPr>
                <w:rFonts w:ascii="新宋体" w:eastAsia="新宋体" w:hAnsi="新宋体"/>
                <w:sz w:val="21"/>
                <w:szCs w:val="21"/>
              </w:rPr>
            </w:pPr>
            <w:r w:rsidRPr="00703A3B">
              <w:rPr>
                <w:rFonts w:ascii="新宋体" w:eastAsia="新宋体" w:hAnsi="新宋体" w:hint="eastAsia"/>
                <w:sz w:val="21"/>
                <w:szCs w:val="21"/>
              </w:rPr>
              <w:t>按首套房认定400万*30%</w:t>
            </w:r>
          </w:p>
        </w:tc>
      </w:tr>
      <w:tr w:rsidR="00703A3B" w:rsidRPr="00703A3B" w:rsidTr="00B4689F">
        <w:tc>
          <w:tcPr>
            <w:tcW w:w="0" w:type="auto"/>
            <w:vMerge/>
            <w:vAlign w:val="center"/>
            <w:hideMark/>
          </w:tcPr>
          <w:p w:rsidR="00703A3B" w:rsidRPr="00703A3B" w:rsidRDefault="00703A3B" w:rsidP="00B4689F">
            <w:pPr>
              <w:spacing w:after="0"/>
              <w:ind w:firstLine="420"/>
              <w:jc w:val="center"/>
              <w:rPr>
                <w:rFonts w:ascii="新宋体" w:eastAsia="新宋体" w:hAnsi="新宋体"/>
                <w:sz w:val="21"/>
                <w:szCs w:val="21"/>
              </w:rPr>
            </w:pPr>
          </w:p>
        </w:tc>
        <w:tc>
          <w:tcPr>
            <w:tcW w:w="1860" w:type="dxa"/>
            <w:vAlign w:val="center"/>
            <w:hideMark/>
          </w:tcPr>
          <w:p w:rsidR="00703A3B" w:rsidRPr="00703A3B" w:rsidRDefault="00703A3B" w:rsidP="00B4689F">
            <w:pPr>
              <w:spacing w:after="0" w:line="315" w:lineRule="atLeast"/>
              <w:ind w:firstLine="420"/>
              <w:jc w:val="center"/>
              <w:rPr>
                <w:rFonts w:ascii="新宋体" w:eastAsia="新宋体" w:hAnsi="新宋体"/>
                <w:sz w:val="21"/>
                <w:szCs w:val="21"/>
              </w:rPr>
            </w:pPr>
            <w:r w:rsidRPr="00703A3B">
              <w:rPr>
                <w:rFonts w:ascii="新宋体" w:eastAsia="新宋体" w:hAnsi="新宋体" w:hint="eastAsia"/>
                <w:sz w:val="21"/>
                <w:szCs w:val="21"/>
              </w:rPr>
              <w:t>贷款额度</w:t>
            </w:r>
          </w:p>
        </w:tc>
        <w:tc>
          <w:tcPr>
            <w:tcW w:w="3059" w:type="dxa"/>
            <w:vAlign w:val="center"/>
            <w:hideMark/>
          </w:tcPr>
          <w:p w:rsidR="00703A3B" w:rsidRPr="00703A3B" w:rsidRDefault="00703A3B" w:rsidP="00B4689F">
            <w:pPr>
              <w:spacing w:after="0" w:line="315" w:lineRule="atLeast"/>
              <w:ind w:firstLine="420"/>
              <w:jc w:val="center"/>
              <w:rPr>
                <w:rFonts w:ascii="新宋体" w:eastAsia="新宋体" w:hAnsi="新宋体"/>
                <w:sz w:val="21"/>
                <w:szCs w:val="21"/>
              </w:rPr>
            </w:pPr>
            <w:r w:rsidRPr="00703A3B">
              <w:rPr>
                <w:rFonts w:ascii="新宋体" w:eastAsia="新宋体" w:hAnsi="新宋体" w:hint="eastAsia"/>
                <w:sz w:val="21"/>
                <w:szCs w:val="21"/>
              </w:rPr>
              <w:t>贷款160万</w:t>
            </w:r>
          </w:p>
        </w:tc>
        <w:tc>
          <w:tcPr>
            <w:tcW w:w="2835" w:type="dxa"/>
            <w:vAlign w:val="center"/>
            <w:hideMark/>
          </w:tcPr>
          <w:p w:rsidR="00703A3B" w:rsidRPr="00703A3B" w:rsidRDefault="00703A3B" w:rsidP="00B4689F">
            <w:pPr>
              <w:spacing w:after="0" w:line="315" w:lineRule="atLeast"/>
              <w:ind w:firstLine="420"/>
              <w:jc w:val="center"/>
              <w:rPr>
                <w:rFonts w:ascii="新宋体" w:eastAsia="新宋体" w:hAnsi="新宋体"/>
                <w:sz w:val="21"/>
                <w:szCs w:val="21"/>
              </w:rPr>
            </w:pPr>
            <w:r w:rsidRPr="00703A3B">
              <w:rPr>
                <w:rFonts w:ascii="新宋体" w:eastAsia="新宋体" w:hAnsi="新宋体" w:hint="eastAsia"/>
                <w:sz w:val="21"/>
                <w:szCs w:val="21"/>
              </w:rPr>
              <w:t>贷款280万</w:t>
            </w:r>
          </w:p>
        </w:tc>
      </w:tr>
      <w:tr w:rsidR="00703A3B" w:rsidRPr="00703A3B" w:rsidTr="00B4689F">
        <w:tc>
          <w:tcPr>
            <w:tcW w:w="0" w:type="auto"/>
            <w:vMerge/>
            <w:vAlign w:val="center"/>
            <w:hideMark/>
          </w:tcPr>
          <w:p w:rsidR="00703A3B" w:rsidRPr="00703A3B" w:rsidRDefault="00703A3B" w:rsidP="00B4689F">
            <w:pPr>
              <w:spacing w:after="0"/>
              <w:ind w:firstLine="420"/>
              <w:jc w:val="center"/>
              <w:rPr>
                <w:rFonts w:ascii="新宋体" w:eastAsia="新宋体" w:hAnsi="新宋体"/>
                <w:sz w:val="21"/>
                <w:szCs w:val="21"/>
              </w:rPr>
            </w:pPr>
          </w:p>
        </w:tc>
        <w:tc>
          <w:tcPr>
            <w:tcW w:w="1860" w:type="dxa"/>
            <w:vAlign w:val="center"/>
            <w:hideMark/>
          </w:tcPr>
          <w:p w:rsidR="00703A3B" w:rsidRPr="00703A3B" w:rsidRDefault="00703A3B" w:rsidP="00B4689F">
            <w:pPr>
              <w:spacing w:after="0" w:line="315" w:lineRule="atLeast"/>
              <w:ind w:firstLine="420"/>
              <w:jc w:val="center"/>
              <w:rPr>
                <w:rFonts w:ascii="新宋体" w:eastAsia="新宋体" w:hAnsi="新宋体"/>
                <w:sz w:val="21"/>
                <w:szCs w:val="21"/>
              </w:rPr>
            </w:pPr>
            <w:r w:rsidRPr="00703A3B">
              <w:rPr>
                <w:rFonts w:ascii="新宋体" w:eastAsia="新宋体" w:hAnsi="新宋体" w:hint="eastAsia"/>
                <w:sz w:val="21"/>
                <w:szCs w:val="21"/>
              </w:rPr>
              <w:t>等额本息（假设都是20年贷款100万）</w:t>
            </w:r>
          </w:p>
        </w:tc>
        <w:tc>
          <w:tcPr>
            <w:tcW w:w="3059" w:type="dxa"/>
            <w:vAlign w:val="center"/>
            <w:hideMark/>
          </w:tcPr>
          <w:p w:rsidR="00703A3B" w:rsidRPr="00703A3B" w:rsidRDefault="00703A3B" w:rsidP="00B4689F">
            <w:pPr>
              <w:spacing w:after="0" w:line="315" w:lineRule="atLeast"/>
              <w:ind w:firstLine="420"/>
              <w:jc w:val="center"/>
              <w:rPr>
                <w:rFonts w:ascii="新宋体" w:eastAsia="新宋体" w:hAnsi="新宋体"/>
                <w:sz w:val="21"/>
                <w:szCs w:val="21"/>
              </w:rPr>
            </w:pPr>
            <w:r w:rsidRPr="00703A3B">
              <w:rPr>
                <w:rFonts w:ascii="新宋体" w:eastAsia="新宋体" w:hAnsi="新宋体" w:hint="eastAsia"/>
                <w:sz w:val="21"/>
                <w:szCs w:val="21"/>
              </w:rPr>
              <w:t>6.55%的基准利率*1.1倍</w:t>
            </w:r>
          </w:p>
          <w:p w:rsidR="00703A3B" w:rsidRPr="00703A3B" w:rsidRDefault="00703A3B" w:rsidP="00B4689F">
            <w:pPr>
              <w:spacing w:after="0" w:line="315" w:lineRule="atLeast"/>
              <w:ind w:firstLine="420"/>
              <w:jc w:val="center"/>
              <w:rPr>
                <w:rFonts w:ascii="新宋体" w:eastAsia="新宋体" w:hAnsi="新宋体"/>
                <w:sz w:val="21"/>
                <w:szCs w:val="21"/>
              </w:rPr>
            </w:pPr>
            <w:r w:rsidRPr="00703A3B">
              <w:rPr>
                <w:rFonts w:ascii="新宋体" w:eastAsia="新宋体" w:hAnsi="新宋体" w:hint="eastAsia"/>
                <w:sz w:val="21"/>
                <w:szCs w:val="21"/>
              </w:rPr>
              <w:t>每月还贷7876元（总额189万）</w:t>
            </w:r>
          </w:p>
        </w:tc>
        <w:tc>
          <w:tcPr>
            <w:tcW w:w="2835" w:type="dxa"/>
            <w:vAlign w:val="center"/>
            <w:hideMark/>
          </w:tcPr>
          <w:p w:rsidR="00703A3B" w:rsidRPr="00703A3B" w:rsidRDefault="00703A3B" w:rsidP="00B4689F">
            <w:pPr>
              <w:spacing w:after="0" w:line="315" w:lineRule="atLeast"/>
              <w:jc w:val="center"/>
              <w:rPr>
                <w:rFonts w:ascii="新宋体" w:eastAsia="新宋体" w:hAnsi="新宋体"/>
                <w:sz w:val="21"/>
                <w:szCs w:val="21"/>
              </w:rPr>
            </w:pPr>
            <w:r w:rsidRPr="00703A3B">
              <w:rPr>
                <w:rFonts w:ascii="新宋体" w:eastAsia="新宋体" w:hAnsi="新宋体" w:hint="eastAsia"/>
                <w:sz w:val="21"/>
                <w:szCs w:val="21"/>
              </w:rPr>
              <w:t>6.55%的基准利率*0.7倍</w:t>
            </w:r>
          </w:p>
          <w:p w:rsidR="00703A3B" w:rsidRPr="00703A3B" w:rsidRDefault="00703A3B" w:rsidP="00B4689F">
            <w:pPr>
              <w:spacing w:after="0" w:line="315" w:lineRule="atLeast"/>
              <w:jc w:val="center"/>
              <w:rPr>
                <w:rFonts w:ascii="新宋体" w:eastAsia="新宋体" w:hAnsi="新宋体"/>
                <w:sz w:val="21"/>
                <w:szCs w:val="21"/>
              </w:rPr>
            </w:pPr>
            <w:r w:rsidRPr="00703A3B">
              <w:rPr>
                <w:rFonts w:ascii="新宋体" w:eastAsia="新宋体" w:hAnsi="新宋体" w:hint="eastAsia"/>
                <w:sz w:val="21"/>
                <w:szCs w:val="21"/>
              </w:rPr>
              <w:t>每月还贷6372元（总额153万）</w:t>
            </w:r>
          </w:p>
        </w:tc>
      </w:tr>
    </w:tbl>
    <w:p w:rsidR="00703A3B" w:rsidRPr="00703A3B" w:rsidRDefault="00703A3B" w:rsidP="00703A3B">
      <w:pPr>
        <w:autoSpaceDE w:val="0"/>
        <w:autoSpaceDN w:val="0"/>
        <w:adjustRightInd w:val="0"/>
        <w:spacing w:before="100" w:beforeAutospacing="1" w:after="100" w:afterAutospacing="1" w:line="360" w:lineRule="auto"/>
        <w:ind w:rightChars="-194" w:right="-427"/>
        <w:rPr>
          <w:rFonts w:ascii="新宋体" w:eastAsia="新宋体" w:hAnsi="新宋体"/>
          <w:b/>
          <w:sz w:val="21"/>
          <w:szCs w:val="21"/>
        </w:rPr>
      </w:pPr>
      <w:r w:rsidRPr="00703A3B">
        <w:rPr>
          <w:rFonts w:ascii="新宋体" w:eastAsia="新宋体" w:hAnsi="新宋体"/>
          <w:b/>
          <w:sz w:val="21"/>
          <w:szCs w:val="21"/>
        </w:rPr>
        <w:t>（</w:t>
      </w:r>
      <w:r w:rsidRPr="00703A3B">
        <w:rPr>
          <w:rFonts w:ascii="新宋体" w:eastAsia="新宋体" w:hAnsi="新宋体" w:hint="eastAsia"/>
          <w:b/>
          <w:sz w:val="21"/>
          <w:szCs w:val="21"/>
        </w:rPr>
        <w:t>二</w:t>
      </w:r>
      <w:r w:rsidRPr="00703A3B">
        <w:rPr>
          <w:rFonts w:ascii="新宋体" w:eastAsia="新宋体" w:hAnsi="新宋体"/>
          <w:b/>
          <w:sz w:val="21"/>
          <w:szCs w:val="21"/>
        </w:rPr>
        <w:t>）</w:t>
      </w:r>
      <w:hyperlink r:id="rId19" w:tgtFrame="_blank" w:history="1">
        <w:r w:rsidRPr="00703A3B">
          <w:rPr>
            <w:rFonts w:ascii="新宋体" w:eastAsia="新宋体" w:hAnsi="新宋体"/>
            <w:b/>
            <w:sz w:val="21"/>
            <w:szCs w:val="21"/>
          </w:rPr>
          <w:t>铁矿石</w:t>
        </w:r>
      </w:hyperlink>
      <w:r w:rsidRPr="00703A3B">
        <w:rPr>
          <w:rFonts w:ascii="新宋体" w:eastAsia="新宋体" w:hAnsi="新宋体"/>
          <w:b/>
          <w:sz w:val="21"/>
          <w:szCs w:val="21"/>
        </w:rPr>
        <w:t>市场</w:t>
      </w:r>
      <w:r w:rsidRPr="00703A3B">
        <w:rPr>
          <w:rFonts w:ascii="新宋体" w:eastAsia="新宋体" w:hAnsi="新宋体" w:hint="eastAsia"/>
          <w:b/>
          <w:sz w:val="21"/>
          <w:szCs w:val="21"/>
        </w:rPr>
        <w:t>供给失衡难以改善</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2"/>
        <w:rPr>
          <w:rFonts w:ascii="新宋体" w:eastAsia="新宋体" w:hAnsi="新宋体"/>
          <w:b/>
          <w:sz w:val="21"/>
          <w:szCs w:val="21"/>
        </w:rPr>
      </w:pPr>
      <w:r w:rsidRPr="00703A3B">
        <w:rPr>
          <w:rFonts w:ascii="新宋体" w:eastAsia="新宋体" w:hAnsi="新宋体" w:hint="eastAsia"/>
          <w:b/>
          <w:sz w:val="21"/>
          <w:szCs w:val="21"/>
        </w:rPr>
        <w:t>1、</w:t>
      </w:r>
      <w:r w:rsidRPr="00703A3B">
        <w:rPr>
          <w:rFonts w:ascii="新宋体" w:eastAsia="新宋体" w:hAnsi="新宋体"/>
          <w:b/>
          <w:sz w:val="21"/>
          <w:szCs w:val="21"/>
        </w:rPr>
        <w:t>铁矿石供求矛盾还在加剧</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关于铁矿石的供求格局我们仍坚持之前报告观点，在此不再累赘。我们重申，由于全球铁矿石供需格局已经发生改变，国内外矿山新增产能开始释放，而终端市场需求低迷，因此铁矿石市场进入到结构型过剩状态，这是导致铁矿石持续处于熊途的主要矛盾，这也是未来压制矿石价格反弹的一个</w:t>
      </w:r>
      <w:proofErr w:type="gramStart"/>
      <w:r w:rsidRPr="00703A3B">
        <w:rPr>
          <w:rFonts w:ascii="新宋体" w:eastAsia="新宋体" w:hAnsi="新宋体" w:hint="eastAsia"/>
          <w:sz w:val="21"/>
          <w:szCs w:val="21"/>
        </w:rPr>
        <w:t>最</w:t>
      </w:r>
      <w:proofErr w:type="gramEnd"/>
      <w:r w:rsidRPr="00703A3B">
        <w:rPr>
          <w:rFonts w:ascii="新宋体" w:eastAsia="新宋体" w:hAnsi="新宋体" w:hint="eastAsia"/>
          <w:sz w:val="21"/>
          <w:szCs w:val="21"/>
        </w:rPr>
        <w:t>关键因素。</w:t>
      </w:r>
      <w:r w:rsidRPr="00703A3B">
        <w:rPr>
          <w:rFonts w:ascii="新宋体" w:eastAsia="新宋体" w:hAnsi="新宋体"/>
          <w:sz w:val="21"/>
          <w:szCs w:val="21"/>
        </w:rPr>
        <w:t>2013</w:t>
      </w:r>
      <w:r w:rsidRPr="00703A3B">
        <w:rPr>
          <w:rFonts w:ascii="新宋体" w:eastAsia="新宋体" w:hAnsi="新宋体" w:hint="eastAsia"/>
          <w:sz w:val="21"/>
          <w:szCs w:val="21"/>
        </w:rPr>
        <w:t>年底，国际四大矿山公司</w:t>
      </w:r>
      <w:r w:rsidRPr="00703A3B">
        <w:rPr>
          <w:rFonts w:ascii="新宋体" w:eastAsia="新宋体" w:hAnsi="新宋体"/>
          <w:sz w:val="21"/>
          <w:szCs w:val="21"/>
        </w:rPr>
        <w:t>——</w:t>
      </w:r>
      <w:r w:rsidRPr="00703A3B">
        <w:rPr>
          <w:rFonts w:ascii="新宋体" w:eastAsia="新宋体" w:hAnsi="新宋体" w:hint="eastAsia"/>
          <w:sz w:val="21"/>
          <w:szCs w:val="21"/>
        </w:rPr>
        <w:t>力拓、必和必拓、</w:t>
      </w:r>
      <w:r w:rsidRPr="00703A3B">
        <w:rPr>
          <w:rFonts w:ascii="新宋体" w:eastAsia="新宋体" w:hAnsi="新宋体"/>
          <w:sz w:val="21"/>
          <w:szCs w:val="21"/>
        </w:rPr>
        <w:t>FMG</w:t>
      </w:r>
      <w:r w:rsidRPr="00703A3B">
        <w:rPr>
          <w:rFonts w:ascii="新宋体" w:eastAsia="新宋体" w:hAnsi="新宋体" w:hint="eastAsia"/>
          <w:sz w:val="21"/>
          <w:szCs w:val="21"/>
        </w:rPr>
        <w:t>、淡水河谷合计产能已</w:t>
      </w:r>
      <w:r w:rsidRPr="00703A3B">
        <w:rPr>
          <w:rFonts w:ascii="新宋体" w:eastAsia="新宋体" w:hAnsi="新宋体" w:hint="eastAsia"/>
          <w:sz w:val="21"/>
          <w:szCs w:val="21"/>
        </w:rPr>
        <w:lastRenderedPageBreak/>
        <w:t>达</w:t>
      </w:r>
      <w:r w:rsidRPr="00703A3B">
        <w:rPr>
          <w:rFonts w:ascii="新宋体" w:eastAsia="新宋体" w:hAnsi="新宋体"/>
          <w:sz w:val="21"/>
          <w:szCs w:val="21"/>
        </w:rPr>
        <w:t>9.7</w:t>
      </w:r>
      <w:r w:rsidRPr="00703A3B">
        <w:rPr>
          <w:rFonts w:ascii="新宋体" w:eastAsia="新宋体" w:hAnsi="新宋体" w:hint="eastAsia"/>
          <w:sz w:val="21"/>
          <w:szCs w:val="21"/>
        </w:rPr>
        <w:t>亿吨。</w:t>
      </w:r>
      <w:r w:rsidRPr="00703A3B">
        <w:rPr>
          <w:rFonts w:ascii="新宋体" w:eastAsia="新宋体" w:hAnsi="新宋体"/>
          <w:sz w:val="21"/>
          <w:szCs w:val="21"/>
        </w:rPr>
        <w:t>2014</w:t>
      </w:r>
      <w:r w:rsidRPr="00703A3B">
        <w:rPr>
          <w:rFonts w:ascii="新宋体" w:eastAsia="新宋体" w:hAnsi="新宋体" w:hint="eastAsia"/>
          <w:sz w:val="21"/>
          <w:szCs w:val="21"/>
        </w:rPr>
        <w:t>年上半年，力拓产能达到</w:t>
      </w:r>
      <w:r w:rsidRPr="00703A3B">
        <w:rPr>
          <w:rFonts w:ascii="新宋体" w:eastAsia="新宋体" w:hAnsi="新宋体"/>
          <w:sz w:val="21"/>
          <w:szCs w:val="21"/>
        </w:rPr>
        <w:t>2.9</w:t>
      </w:r>
      <w:r w:rsidRPr="00703A3B">
        <w:rPr>
          <w:rFonts w:ascii="新宋体" w:eastAsia="新宋体" w:hAnsi="新宋体" w:hint="eastAsia"/>
          <w:sz w:val="21"/>
          <w:szCs w:val="21"/>
        </w:rPr>
        <w:t>亿吨，必</w:t>
      </w:r>
      <w:proofErr w:type="gramStart"/>
      <w:r w:rsidRPr="00703A3B">
        <w:rPr>
          <w:rFonts w:ascii="新宋体" w:eastAsia="新宋体" w:hAnsi="新宋体" w:hint="eastAsia"/>
          <w:sz w:val="21"/>
          <w:szCs w:val="21"/>
        </w:rPr>
        <w:t>和必拓增至</w:t>
      </w:r>
      <w:proofErr w:type="gramEnd"/>
      <w:r w:rsidRPr="00703A3B">
        <w:rPr>
          <w:rFonts w:ascii="新宋体" w:eastAsia="新宋体" w:hAnsi="新宋体"/>
          <w:sz w:val="21"/>
          <w:szCs w:val="21"/>
        </w:rPr>
        <w:t>2.17</w:t>
      </w:r>
      <w:r w:rsidRPr="00703A3B">
        <w:rPr>
          <w:rFonts w:ascii="新宋体" w:eastAsia="新宋体" w:hAnsi="新宋体" w:hint="eastAsia"/>
          <w:sz w:val="21"/>
          <w:szCs w:val="21"/>
        </w:rPr>
        <w:t>亿吨，</w:t>
      </w:r>
      <w:r w:rsidRPr="00703A3B">
        <w:rPr>
          <w:rFonts w:ascii="新宋体" w:eastAsia="新宋体" w:hAnsi="新宋体"/>
          <w:sz w:val="21"/>
          <w:szCs w:val="21"/>
        </w:rPr>
        <w:t>FMG</w:t>
      </w:r>
      <w:r w:rsidRPr="00703A3B">
        <w:rPr>
          <w:rFonts w:ascii="新宋体" w:eastAsia="新宋体" w:hAnsi="新宋体" w:hint="eastAsia"/>
          <w:sz w:val="21"/>
          <w:szCs w:val="21"/>
        </w:rPr>
        <w:t>则达</w:t>
      </w:r>
      <w:r w:rsidRPr="00703A3B">
        <w:rPr>
          <w:rFonts w:ascii="新宋体" w:eastAsia="新宋体" w:hAnsi="新宋体"/>
          <w:sz w:val="21"/>
          <w:szCs w:val="21"/>
        </w:rPr>
        <w:t>1.55</w:t>
      </w:r>
      <w:r w:rsidRPr="00703A3B">
        <w:rPr>
          <w:rFonts w:ascii="新宋体" w:eastAsia="新宋体" w:hAnsi="新宋体" w:hint="eastAsia"/>
          <w:sz w:val="21"/>
          <w:szCs w:val="21"/>
        </w:rPr>
        <w:t>亿吨。</w:t>
      </w:r>
      <w:r w:rsidRPr="00703A3B">
        <w:rPr>
          <w:rFonts w:ascii="新宋体" w:eastAsia="新宋体" w:hAnsi="新宋体"/>
          <w:sz w:val="21"/>
          <w:szCs w:val="21"/>
        </w:rPr>
        <w:t>2014</w:t>
      </w:r>
      <w:r w:rsidRPr="00703A3B">
        <w:rPr>
          <w:rFonts w:ascii="新宋体" w:eastAsia="新宋体" w:hAnsi="新宋体" w:hint="eastAsia"/>
          <w:sz w:val="21"/>
          <w:szCs w:val="21"/>
        </w:rPr>
        <w:t>年已知全球铁矿石计划新增产能将总达约</w:t>
      </w:r>
      <w:r w:rsidRPr="00703A3B">
        <w:rPr>
          <w:rFonts w:ascii="新宋体" w:eastAsia="新宋体" w:hAnsi="新宋体"/>
          <w:sz w:val="21"/>
          <w:szCs w:val="21"/>
        </w:rPr>
        <w:t>1.2</w:t>
      </w:r>
      <w:r w:rsidRPr="00703A3B">
        <w:rPr>
          <w:rFonts w:ascii="新宋体" w:eastAsia="新宋体" w:hAnsi="新宋体" w:hint="eastAsia"/>
          <w:sz w:val="21"/>
          <w:szCs w:val="21"/>
        </w:rPr>
        <w:t>亿吨，而</w:t>
      </w:r>
      <w:r w:rsidRPr="00703A3B">
        <w:rPr>
          <w:rFonts w:ascii="新宋体" w:eastAsia="新宋体" w:hAnsi="新宋体"/>
          <w:sz w:val="21"/>
          <w:szCs w:val="21"/>
        </w:rPr>
        <w:t>15</w:t>
      </w:r>
      <w:r w:rsidRPr="00703A3B">
        <w:rPr>
          <w:rFonts w:ascii="新宋体" w:eastAsia="新宋体" w:hAnsi="新宋体" w:hint="eastAsia"/>
          <w:sz w:val="21"/>
          <w:szCs w:val="21"/>
        </w:rPr>
        <w:t>年和</w:t>
      </w:r>
      <w:r w:rsidRPr="00703A3B">
        <w:rPr>
          <w:rFonts w:ascii="新宋体" w:eastAsia="新宋体" w:hAnsi="新宋体"/>
          <w:sz w:val="21"/>
          <w:szCs w:val="21"/>
        </w:rPr>
        <w:t>16</w:t>
      </w:r>
      <w:r w:rsidRPr="00703A3B">
        <w:rPr>
          <w:rFonts w:ascii="新宋体" w:eastAsia="新宋体" w:hAnsi="新宋体" w:hint="eastAsia"/>
          <w:sz w:val="21"/>
          <w:szCs w:val="21"/>
        </w:rPr>
        <w:t>年新增产能则预计分别达</w:t>
      </w:r>
      <w:r w:rsidRPr="00703A3B">
        <w:rPr>
          <w:rFonts w:ascii="新宋体" w:eastAsia="新宋体" w:hAnsi="新宋体"/>
          <w:sz w:val="21"/>
          <w:szCs w:val="21"/>
        </w:rPr>
        <w:t>1.5</w:t>
      </w:r>
      <w:r w:rsidRPr="00703A3B">
        <w:rPr>
          <w:rFonts w:ascii="新宋体" w:eastAsia="新宋体" w:hAnsi="新宋体" w:hint="eastAsia"/>
          <w:sz w:val="21"/>
          <w:szCs w:val="21"/>
        </w:rPr>
        <w:t>和</w:t>
      </w:r>
      <w:r w:rsidRPr="00703A3B">
        <w:rPr>
          <w:rFonts w:ascii="新宋体" w:eastAsia="新宋体" w:hAnsi="新宋体"/>
          <w:sz w:val="21"/>
          <w:szCs w:val="21"/>
        </w:rPr>
        <w:t>1.7</w:t>
      </w:r>
      <w:r w:rsidRPr="00703A3B">
        <w:rPr>
          <w:rFonts w:ascii="新宋体" w:eastAsia="新宋体" w:hAnsi="新宋体" w:hint="eastAsia"/>
          <w:sz w:val="21"/>
          <w:szCs w:val="21"/>
        </w:rPr>
        <w:t>亿吨。四大矿山公司合计产能预计在</w:t>
      </w:r>
      <w:r w:rsidRPr="00703A3B">
        <w:rPr>
          <w:rFonts w:ascii="新宋体" w:eastAsia="新宋体" w:hAnsi="新宋体"/>
          <w:sz w:val="21"/>
          <w:szCs w:val="21"/>
        </w:rPr>
        <w:t>2014</w:t>
      </w:r>
      <w:r w:rsidRPr="00703A3B">
        <w:rPr>
          <w:rFonts w:ascii="新宋体" w:eastAsia="新宋体" w:hAnsi="新宋体" w:hint="eastAsia"/>
          <w:sz w:val="21"/>
          <w:szCs w:val="21"/>
        </w:rPr>
        <w:t>、</w:t>
      </w:r>
      <w:r w:rsidRPr="00703A3B">
        <w:rPr>
          <w:rFonts w:ascii="新宋体" w:eastAsia="新宋体" w:hAnsi="新宋体"/>
          <w:sz w:val="21"/>
          <w:szCs w:val="21"/>
        </w:rPr>
        <w:t>2015</w:t>
      </w:r>
      <w:r w:rsidRPr="00703A3B">
        <w:rPr>
          <w:rFonts w:ascii="新宋体" w:eastAsia="新宋体" w:hAnsi="新宋体" w:hint="eastAsia"/>
          <w:sz w:val="21"/>
          <w:szCs w:val="21"/>
        </w:rPr>
        <w:t>年将分别达到</w:t>
      </w:r>
      <w:r w:rsidRPr="00703A3B">
        <w:rPr>
          <w:rFonts w:ascii="新宋体" w:eastAsia="新宋体" w:hAnsi="新宋体"/>
          <w:sz w:val="21"/>
          <w:szCs w:val="21"/>
        </w:rPr>
        <w:t>11.65</w:t>
      </w:r>
      <w:r w:rsidRPr="00703A3B">
        <w:rPr>
          <w:rFonts w:ascii="新宋体" w:eastAsia="新宋体" w:hAnsi="新宋体" w:hint="eastAsia"/>
          <w:sz w:val="21"/>
          <w:szCs w:val="21"/>
        </w:rPr>
        <w:t>和</w:t>
      </w:r>
      <w:r w:rsidRPr="00703A3B">
        <w:rPr>
          <w:rFonts w:ascii="新宋体" w:eastAsia="新宋体" w:hAnsi="新宋体"/>
          <w:sz w:val="21"/>
          <w:szCs w:val="21"/>
        </w:rPr>
        <w:t>12.55</w:t>
      </w:r>
      <w:r w:rsidRPr="00703A3B">
        <w:rPr>
          <w:rFonts w:ascii="新宋体" w:eastAsia="新宋体" w:hAnsi="新宋体" w:hint="eastAsia"/>
          <w:sz w:val="21"/>
          <w:szCs w:val="21"/>
        </w:rPr>
        <w:t>亿吨。</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从最新的数据来看，</w:t>
      </w:r>
      <w:proofErr w:type="gramStart"/>
      <w:r w:rsidRPr="00703A3B">
        <w:rPr>
          <w:rFonts w:ascii="新宋体" w:eastAsia="新宋体" w:hAnsi="新宋体" w:hint="eastAsia"/>
          <w:sz w:val="21"/>
          <w:szCs w:val="21"/>
        </w:rPr>
        <w:t>虽然矿价仍在跌跌</w:t>
      </w:r>
      <w:proofErr w:type="gramEnd"/>
      <w:r w:rsidRPr="00703A3B">
        <w:rPr>
          <w:rFonts w:ascii="新宋体" w:eastAsia="新宋体" w:hAnsi="新宋体" w:hint="eastAsia"/>
          <w:sz w:val="21"/>
          <w:szCs w:val="21"/>
        </w:rPr>
        <w:t>不休，但这并不影响四大矿商增产的势头。</w:t>
      </w:r>
      <w:r w:rsidRPr="00703A3B">
        <w:rPr>
          <w:rFonts w:ascii="新宋体" w:eastAsia="新宋体" w:hAnsi="新宋体"/>
          <w:sz w:val="21"/>
          <w:szCs w:val="21"/>
        </w:rPr>
        <w:t>世界第二大矿商</w:t>
      </w:r>
      <w:hyperlink r:id="rId20" w:tgtFrame="_blank" w:history="1">
        <w:r w:rsidRPr="00703A3B">
          <w:rPr>
            <w:rFonts w:ascii="新宋体" w:eastAsia="新宋体" w:hAnsi="新宋体"/>
            <w:sz w:val="21"/>
            <w:szCs w:val="21"/>
          </w:rPr>
          <w:t>力拓</w:t>
        </w:r>
      </w:hyperlink>
      <w:r w:rsidRPr="00703A3B">
        <w:rPr>
          <w:rFonts w:ascii="新宋体" w:eastAsia="新宋体" w:hAnsi="新宋体"/>
          <w:sz w:val="21"/>
          <w:szCs w:val="21"/>
        </w:rPr>
        <w:t>公司发布最新运营报告，3季度</w:t>
      </w:r>
      <w:r w:rsidRPr="00703A3B">
        <w:rPr>
          <w:rFonts w:ascii="新宋体" w:eastAsia="新宋体" w:hAnsi="新宋体"/>
          <w:sz w:val="21"/>
          <w:szCs w:val="21"/>
        </w:rPr>
        <w:fldChar w:fldCharType="begin"/>
      </w:r>
      <w:r w:rsidRPr="00703A3B">
        <w:rPr>
          <w:rFonts w:ascii="新宋体" w:eastAsia="新宋体" w:hAnsi="新宋体"/>
          <w:sz w:val="21"/>
          <w:szCs w:val="21"/>
        </w:rPr>
        <w:instrText xml:space="preserve"> HYPERLINK "http://baike.sososteel.com/doc/view/46765.html" \t "_blank" </w:instrText>
      </w:r>
      <w:r w:rsidRPr="00703A3B">
        <w:rPr>
          <w:rFonts w:ascii="新宋体" w:eastAsia="新宋体" w:hAnsi="新宋体"/>
          <w:sz w:val="21"/>
          <w:szCs w:val="21"/>
        </w:rPr>
        <w:fldChar w:fldCharType="separate"/>
      </w:r>
      <w:r w:rsidRPr="00703A3B">
        <w:rPr>
          <w:rFonts w:ascii="新宋体" w:eastAsia="新宋体" w:hAnsi="新宋体"/>
          <w:sz w:val="21"/>
          <w:szCs w:val="21"/>
        </w:rPr>
        <w:t>铁矿石</w:t>
      </w:r>
      <w:r w:rsidRPr="00703A3B">
        <w:rPr>
          <w:rFonts w:ascii="新宋体" w:eastAsia="新宋体" w:hAnsi="新宋体"/>
          <w:sz w:val="21"/>
          <w:szCs w:val="21"/>
        </w:rPr>
        <w:fldChar w:fldCharType="end"/>
      </w:r>
      <w:r w:rsidRPr="00703A3B">
        <w:rPr>
          <w:rFonts w:ascii="新宋体" w:eastAsia="新宋体" w:hAnsi="新宋体"/>
          <w:sz w:val="21"/>
          <w:szCs w:val="21"/>
        </w:rPr>
        <w:t>产量创新高，同比增12%至7680万吨，环比增5%，按股权计产量为6045万吨，同比增13.2%。铁矿石发货量同比增15%至7800万吨，环比增3%，亦达创记录水平。今年前9个月，力拓铁矿石产量为2.16亿吨（按股份计1.7亿吨），发货量为2.2亿吨（按股份计1.74亿吨），创同期最高纪录。力拓维持2014年铁矿石产量目标在2.95亿吨，发货量目标维持在3亿吨。</w:t>
      </w:r>
      <w:bookmarkStart w:id="0" w:name="OLE_LINK81"/>
      <w:r w:rsidRPr="00703A3B">
        <w:rPr>
          <w:rFonts w:ascii="新宋体" w:eastAsia="新宋体" w:hAnsi="新宋体"/>
          <w:sz w:val="21"/>
          <w:szCs w:val="21"/>
        </w:rPr>
        <w:t>Vale</w:t>
      </w:r>
      <w:bookmarkEnd w:id="0"/>
      <w:r w:rsidRPr="00703A3B">
        <w:rPr>
          <w:rFonts w:ascii="新宋体" w:eastAsia="新宋体" w:hAnsi="新宋体"/>
          <w:sz w:val="21"/>
          <w:szCs w:val="21"/>
        </w:rPr>
        <w:t>三季度的</w:t>
      </w:r>
      <w:r w:rsidRPr="00703A3B">
        <w:rPr>
          <w:rFonts w:ascii="新宋体" w:eastAsia="新宋体" w:hAnsi="新宋体"/>
          <w:sz w:val="21"/>
          <w:szCs w:val="21"/>
        </w:rPr>
        <w:fldChar w:fldCharType="begin"/>
      </w:r>
      <w:r w:rsidRPr="00703A3B">
        <w:rPr>
          <w:rFonts w:ascii="新宋体" w:eastAsia="新宋体" w:hAnsi="新宋体"/>
          <w:sz w:val="21"/>
          <w:szCs w:val="21"/>
        </w:rPr>
        <w:instrText xml:space="preserve"> HYPERLINK "http://baike.sososteel.com/doc/view/46765.html" \t "_blank" </w:instrText>
      </w:r>
      <w:r w:rsidRPr="00703A3B">
        <w:rPr>
          <w:rFonts w:ascii="新宋体" w:eastAsia="新宋体" w:hAnsi="新宋体"/>
          <w:sz w:val="21"/>
          <w:szCs w:val="21"/>
        </w:rPr>
        <w:fldChar w:fldCharType="separate"/>
      </w:r>
      <w:r w:rsidRPr="00703A3B">
        <w:rPr>
          <w:rFonts w:ascii="新宋体" w:eastAsia="新宋体" w:hAnsi="新宋体"/>
          <w:sz w:val="21"/>
          <w:szCs w:val="21"/>
        </w:rPr>
        <w:t>铁矿石</w:t>
      </w:r>
      <w:r w:rsidRPr="00703A3B">
        <w:rPr>
          <w:rFonts w:ascii="新宋体" w:eastAsia="新宋体" w:hAnsi="新宋体"/>
          <w:sz w:val="21"/>
          <w:szCs w:val="21"/>
        </w:rPr>
        <w:fldChar w:fldCharType="end"/>
      </w:r>
      <w:r w:rsidRPr="00703A3B">
        <w:rPr>
          <w:rFonts w:ascii="新宋体" w:eastAsia="新宋体" w:hAnsi="新宋体"/>
          <w:sz w:val="21"/>
          <w:szCs w:val="21"/>
        </w:rPr>
        <w:t>产量达8570万吨(不包含</w:t>
      </w:r>
      <w:proofErr w:type="spellStart"/>
      <w:r w:rsidRPr="00703A3B">
        <w:rPr>
          <w:rFonts w:ascii="新宋体" w:eastAsia="新宋体" w:hAnsi="新宋体"/>
          <w:sz w:val="21"/>
          <w:szCs w:val="21"/>
        </w:rPr>
        <w:t>Samarco</w:t>
      </w:r>
      <w:proofErr w:type="spellEnd"/>
      <w:r w:rsidRPr="00703A3B">
        <w:rPr>
          <w:rFonts w:ascii="新宋体" w:eastAsia="新宋体" w:hAnsi="新宋体"/>
          <w:sz w:val="21"/>
          <w:szCs w:val="21"/>
        </w:rPr>
        <w:t>产量)，环比增7.9%，同比增3.1%，创下其产量历史新高。</w:t>
      </w:r>
      <w:r w:rsidRPr="00703A3B">
        <w:rPr>
          <w:rFonts w:ascii="新宋体" w:eastAsia="新宋体" w:hAnsi="新宋体" w:hint="eastAsia"/>
          <w:sz w:val="21"/>
          <w:szCs w:val="21"/>
        </w:rPr>
        <w:t>2014</w:t>
      </w:r>
      <w:r w:rsidRPr="00703A3B">
        <w:rPr>
          <w:rFonts w:ascii="新宋体" w:eastAsia="新宋体" w:hAnsi="新宋体"/>
          <w:sz w:val="21"/>
          <w:szCs w:val="21"/>
        </w:rPr>
        <w:t>年</w:t>
      </w:r>
      <w:r w:rsidRPr="00703A3B">
        <w:rPr>
          <w:rFonts w:ascii="新宋体" w:eastAsia="新宋体" w:hAnsi="新宋体" w:hint="eastAsia"/>
          <w:sz w:val="21"/>
          <w:szCs w:val="21"/>
        </w:rPr>
        <w:t>1-9</w:t>
      </w:r>
      <w:r w:rsidRPr="00703A3B">
        <w:rPr>
          <w:rFonts w:ascii="新宋体" w:eastAsia="新宋体" w:hAnsi="新宋体"/>
          <w:sz w:val="21"/>
          <w:szCs w:val="21"/>
        </w:rPr>
        <w:t>月，Vale铁矿产量共计2.362亿吨，超过原先2008年前三季度的2.322亿吨的历史记录。</w:t>
      </w:r>
    </w:p>
    <w:p w:rsidR="00703A3B" w:rsidRPr="00703A3B" w:rsidRDefault="00703A3B" w:rsidP="00703A3B">
      <w:pPr>
        <w:autoSpaceDE w:val="0"/>
        <w:autoSpaceDN w:val="0"/>
        <w:adjustRightInd w:val="0"/>
        <w:spacing w:before="100" w:beforeAutospacing="1" w:after="0"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t>图11：国际铁矿石巨头2014年三季度产量再创新高</w:t>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noProof/>
          <w:sz w:val="21"/>
          <w:szCs w:val="21"/>
        </w:rPr>
        <w:drawing>
          <wp:inline distT="0" distB="0" distL="0" distR="0">
            <wp:extent cx="5039832" cy="2658140"/>
            <wp:effectExtent l="19050" t="19050" r="8890" b="889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1499" cy="2664293"/>
                    </a:xfrm>
                    <a:prstGeom prst="rect">
                      <a:avLst/>
                    </a:prstGeom>
                    <a:noFill/>
                    <a:ln>
                      <a:solidFill>
                        <a:schemeClr val="bg2">
                          <a:lumMod val="50000"/>
                        </a:schemeClr>
                      </a:solidFill>
                    </a:ln>
                  </pic:spPr>
                </pic:pic>
              </a:graphicData>
            </a:graphic>
          </wp:inline>
        </w:drawing>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t>资料来源：方正中期研究院，WIND</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2"/>
        <w:rPr>
          <w:rFonts w:ascii="新宋体" w:eastAsia="新宋体" w:hAnsi="新宋体"/>
          <w:b/>
          <w:sz w:val="21"/>
          <w:szCs w:val="21"/>
        </w:rPr>
      </w:pPr>
      <w:r w:rsidRPr="00703A3B">
        <w:rPr>
          <w:rFonts w:ascii="新宋体" w:eastAsia="新宋体" w:hAnsi="新宋体" w:hint="eastAsia"/>
          <w:b/>
          <w:sz w:val="21"/>
          <w:szCs w:val="21"/>
        </w:rPr>
        <w:t>2、</w:t>
      </w:r>
      <w:r w:rsidRPr="00703A3B">
        <w:rPr>
          <w:rFonts w:ascii="新宋体" w:eastAsia="新宋体" w:hAnsi="新宋体"/>
          <w:b/>
          <w:sz w:val="21"/>
          <w:szCs w:val="21"/>
        </w:rPr>
        <w:t>全国原矿产量保持增长态势，但增速有所回落</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国内从</w:t>
      </w:r>
      <w:r w:rsidRPr="00703A3B">
        <w:rPr>
          <w:rFonts w:ascii="新宋体" w:eastAsia="新宋体" w:hAnsi="新宋体"/>
          <w:sz w:val="21"/>
          <w:szCs w:val="21"/>
        </w:rPr>
        <w:t>1990</w:t>
      </w:r>
      <w:r w:rsidRPr="00703A3B">
        <w:rPr>
          <w:rFonts w:ascii="新宋体" w:eastAsia="新宋体" w:hAnsi="新宋体" w:hint="eastAsia"/>
          <w:sz w:val="21"/>
          <w:szCs w:val="21"/>
        </w:rPr>
        <w:t>年到</w:t>
      </w:r>
      <w:r w:rsidRPr="00703A3B">
        <w:rPr>
          <w:rFonts w:ascii="新宋体" w:eastAsia="新宋体" w:hAnsi="新宋体"/>
          <w:sz w:val="21"/>
          <w:szCs w:val="21"/>
        </w:rPr>
        <w:t>2013</w:t>
      </w:r>
      <w:r w:rsidRPr="00703A3B">
        <w:rPr>
          <w:rFonts w:ascii="新宋体" w:eastAsia="新宋体" w:hAnsi="新宋体" w:hint="eastAsia"/>
          <w:sz w:val="21"/>
          <w:szCs w:val="21"/>
        </w:rPr>
        <w:t>年年底，矿山累计投资约</w:t>
      </w:r>
      <w:r w:rsidRPr="00703A3B">
        <w:rPr>
          <w:rFonts w:ascii="新宋体" w:eastAsia="新宋体" w:hAnsi="新宋体"/>
          <w:sz w:val="21"/>
          <w:szCs w:val="21"/>
        </w:rPr>
        <w:t>9000</w:t>
      </w:r>
      <w:r w:rsidRPr="00703A3B">
        <w:rPr>
          <w:rFonts w:ascii="新宋体" w:eastAsia="新宋体" w:hAnsi="新宋体" w:hint="eastAsia"/>
          <w:sz w:val="21"/>
          <w:szCs w:val="21"/>
        </w:rPr>
        <w:t>亿元，其中有</w:t>
      </w:r>
      <w:r w:rsidRPr="00703A3B">
        <w:rPr>
          <w:rFonts w:ascii="新宋体" w:eastAsia="新宋体" w:hAnsi="新宋体"/>
          <w:sz w:val="21"/>
          <w:szCs w:val="21"/>
        </w:rPr>
        <w:t>7000</w:t>
      </w:r>
      <w:r w:rsidRPr="00703A3B">
        <w:rPr>
          <w:rFonts w:ascii="新宋体" w:eastAsia="新宋体" w:hAnsi="新宋体" w:hint="eastAsia"/>
          <w:sz w:val="21"/>
          <w:szCs w:val="21"/>
        </w:rPr>
        <w:t>亿元是</w:t>
      </w:r>
      <w:r w:rsidRPr="00703A3B">
        <w:rPr>
          <w:rFonts w:ascii="新宋体" w:eastAsia="新宋体" w:hAnsi="新宋体"/>
          <w:sz w:val="21"/>
          <w:szCs w:val="21"/>
        </w:rPr>
        <w:t>2008</w:t>
      </w:r>
      <w:r w:rsidRPr="00703A3B">
        <w:rPr>
          <w:rFonts w:ascii="新宋体" w:eastAsia="新宋体" w:hAnsi="新宋体" w:hint="eastAsia"/>
          <w:sz w:val="21"/>
          <w:szCs w:val="21"/>
        </w:rPr>
        <w:t>年以后投资的，国内矿石的供应也随着产能的释放而有所增加。数据显示，我国铁矿石原矿产量从</w:t>
      </w:r>
      <w:r w:rsidRPr="00703A3B">
        <w:rPr>
          <w:rFonts w:ascii="新宋体" w:eastAsia="新宋体" w:hAnsi="新宋体"/>
          <w:sz w:val="21"/>
          <w:szCs w:val="21"/>
        </w:rPr>
        <w:t>2001</w:t>
      </w:r>
      <w:r w:rsidRPr="00703A3B">
        <w:rPr>
          <w:rFonts w:ascii="新宋体" w:eastAsia="新宋体" w:hAnsi="新宋体" w:hint="eastAsia"/>
          <w:sz w:val="21"/>
          <w:szCs w:val="21"/>
        </w:rPr>
        <w:t>年的</w:t>
      </w:r>
      <w:r w:rsidRPr="00703A3B">
        <w:rPr>
          <w:rFonts w:ascii="新宋体" w:eastAsia="新宋体" w:hAnsi="新宋体"/>
          <w:sz w:val="21"/>
          <w:szCs w:val="21"/>
        </w:rPr>
        <w:t>21138</w:t>
      </w:r>
      <w:r w:rsidRPr="00703A3B">
        <w:rPr>
          <w:rFonts w:ascii="新宋体" w:eastAsia="新宋体" w:hAnsi="新宋体" w:hint="eastAsia"/>
          <w:sz w:val="21"/>
          <w:szCs w:val="21"/>
        </w:rPr>
        <w:t>万吨，增长至</w:t>
      </w:r>
      <w:r w:rsidRPr="00703A3B">
        <w:rPr>
          <w:rFonts w:ascii="新宋体" w:eastAsia="新宋体" w:hAnsi="新宋体"/>
          <w:sz w:val="21"/>
          <w:szCs w:val="21"/>
        </w:rPr>
        <w:t>2013</w:t>
      </w:r>
      <w:r w:rsidRPr="00703A3B">
        <w:rPr>
          <w:rFonts w:ascii="新宋体" w:eastAsia="新宋体" w:hAnsi="新宋体" w:hint="eastAsia"/>
          <w:sz w:val="21"/>
          <w:szCs w:val="21"/>
        </w:rPr>
        <w:t>年的</w:t>
      </w:r>
      <w:r w:rsidRPr="00703A3B">
        <w:rPr>
          <w:rFonts w:ascii="新宋体" w:eastAsia="新宋体" w:hAnsi="新宋体"/>
          <w:sz w:val="21"/>
          <w:szCs w:val="21"/>
        </w:rPr>
        <w:t>145101</w:t>
      </w:r>
      <w:r w:rsidRPr="00703A3B">
        <w:rPr>
          <w:rFonts w:ascii="新宋体" w:eastAsia="新宋体" w:hAnsi="新宋体" w:hint="eastAsia"/>
          <w:sz w:val="21"/>
          <w:szCs w:val="21"/>
        </w:rPr>
        <w:t>万吨，增长近</w:t>
      </w:r>
      <w:r w:rsidRPr="00703A3B">
        <w:rPr>
          <w:rFonts w:ascii="新宋体" w:eastAsia="新宋体" w:hAnsi="新宋体"/>
          <w:sz w:val="21"/>
          <w:szCs w:val="21"/>
        </w:rPr>
        <w:t>6</w:t>
      </w:r>
      <w:r w:rsidRPr="00703A3B">
        <w:rPr>
          <w:rFonts w:ascii="新宋体" w:eastAsia="新宋体" w:hAnsi="新宋体" w:hint="eastAsia"/>
          <w:sz w:val="21"/>
          <w:szCs w:val="21"/>
        </w:rPr>
        <w:t>倍，年均增长</w:t>
      </w:r>
      <w:r w:rsidRPr="00703A3B">
        <w:rPr>
          <w:rFonts w:ascii="新宋体" w:eastAsia="新宋体" w:hAnsi="新宋体"/>
          <w:sz w:val="21"/>
          <w:szCs w:val="21"/>
        </w:rPr>
        <w:t>17.4%</w:t>
      </w:r>
      <w:r w:rsidRPr="00703A3B">
        <w:rPr>
          <w:rFonts w:ascii="新宋体" w:eastAsia="新宋体" w:hAnsi="新宋体" w:hint="eastAsia"/>
          <w:sz w:val="21"/>
          <w:szCs w:val="21"/>
        </w:rPr>
        <w:t>，年增幅最高达</w:t>
      </w:r>
      <w:r w:rsidRPr="00703A3B">
        <w:rPr>
          <w:rFonts w:ascii="新宋体" w:eastAsia="新宋体" w:hAnsi="新宋体"/>
          <w:sz w:val="21"/>
          <w:szCs w:val="21"/>
        </w:rPr>
        <w:t>39.9%</w:t>
      </w:r>
      <w:r w:rsidRPr="00703A3B">
        <w:rPr>
          <w:rFonts w:ascii="新宋体" w:eastAsia="新宋体" w:hAnsi="新宋体" w:hint="eastAsia"/>
          <w:sz w:val="21"/>
          <w:szCs w:val="21"/>
        </w:rPr>
        <w:t>。</w:t>
      </w:r>
      <w:r w:rsidRPr="00703A3B">
        <w:rPr>
          <w:rFonts w:ascii="新宋体" w:eastAsia="新宋体" w:hAnsi="新宋体"/>
          <w:sz w:val="21"/>
          <w:szCs w:val="21"/>
        </w:rPr>
        <w:t>据统计局</w:t>
      </w:r>
      <w:r w:rsidRPr="00703A3B">
        <w:rPr>
          <w:rFonts w:ascii="新宋体" w:eastAsia="新宋体" w:hAnsi="新宋体"/>
          <w:sz w:val="21"/>
          <w:szCs w:val="21"/>
        </w:rPr>
        <w:lastRenderedPageBreak/>
        <w:t>数据显示：全国原矿产量保持增长态势，但增速有所回落，1-9月份全国原矿产量同比增长7.</w:t>
      </w:r>
      <w:r w:rsidRPr="00703A3B">
        <w:rPr>
          <w:rFonts w:ascii="新宋体" w:eastAsia="新宋体" w:hAnsi="新宋体" w:hint="eastAsia"/>
          <w:sz w:val="21"/>
          <w:szCs w:val="21"/>
        </w:rPr>
        <w:t>2</w:t>
      </w:r>
      <w:r w:rsidRPr="00703A3B">
        <w:rPr>
          <w:rFonts w:ascii="新宋体" w:eastAsia="新宋体" w:hAnsi="新宋体"/>
          <w:sz w:val="21"/>
          <w:szCs w:val="21"/>
        </w:rPr>
        <w:t>%。</w:t>
      </w:r>
      <w:r w:rsidRPr="00703A3B">
        <w:rPr>
          <w:rFonts w:ascii="新宋体" w:eastAsia="新宋体" w:hAnsi="新宋体" w:hint="eastAsia"/>
          <w:sz w:val="21"/>
          <w:szCs w:val="21"/>
        </w:rPr>
        <w:t>预计到</w:t>
      </w:r>
      <w:r w:rsidRPr="00703A3B">
        <w:rPr>
          <w:rFonts w:ascii="新宋体" w:eastAsia="新宋体" w:hAnsi="新宋体"/>
          <w:sz w:val="21"/>
          <w:szCs w:val="21"/>
        </w:rPr>
        <w:t>2015</w:t>
      </w:r>
      <w:r w:rsidRPr="00703A3B">
        <w:rPr>
          <w:rFonts w:ascii="新宋体" w:eastAsia="新宋体" w:hAnsi="新宋体" w:hint="eastAsia"/>
          <w:sz w:val="21"/>
          <w:szCs w:val="21"/>
        </w:rPr>
        <w:t>年国产矿原矿产量将达到</w:t>
      </w:r>
      <w:r w:rsidRPr="00703A3B">
        <w:rPr>
          <w:rFonts w:ascii="新宋体" w:eastAsia="新宋体" w:hAnsi="新宋体"/>
          <w:sz w:val="21"/>
          <w:szCs w:val="21"/>
        </w:rPr>
        <w:t>16</w:t>
      </w:r>
      <w:r w:rsidRPr="00703A3B">
        <w:rPr>
          <w:rFonts w:ascii="新宋体" w:eastAsia="新宋体" w:hAnsi="新宋体" w:hint="eastAsia"/>
          <w:sz w:val="21"/>
          <w:szCs w:val="21"/>
        </w:rPr>
        <w:t>亿吨。</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sz w:val="21"/>
          <w:szCs w:val="21"/>
        </w:rPr>
        <w:t>从国产矿山来看，一方面，今年钢厂附属矿山、国有矿山基本都正常生产，前期扩产项目也正在推进。大型民营矿山当前停产减产力度依然较小，且今年新增产能较多，整体产量减少有限。另一方面，国内矿山减产主要集中在中小型民营矿山，这部分矿山数量众多但产量占比相对较少，停产数量占全国的30%—40%，从6月开始陆续进入停产状态。国内铁精粉整体减量不足20%，远低于市场此前预期。且由于钢厂多数提高了</w:t>
      </w:r>
      <w:r w:rsidRPr="00703A3B">
        <w:rPr>
          <w:rFonts w:ascii="新宋体" w:eastAsia="新宋体" w:hAnsi="新宋体"/>
          <w:sz w:val="21"/>
          <w:szCs w:val="21"/>
        </w:rPr>
        <w:fldChar w:fldCharType="begin"/>
      </w:r>
      <w:r w:rsidRPr="00703A3B">
        <w:rPr>
          <w:rFonts w:ascii="新宋体" w:eastAsia="新宋体" w:hAnsi="新宋体"/>
          <w:sz w:val="21"/>
          <w:szCs w:val="21"/>
        </w:rPr>
        <w:instrText xml:space="preserve"> HYPERLINK "http://baike.sososteel.com/doc/view/69397.html" \t "_blank" </w:instrText>
      </w:r>
      <w:r w:rsidRPr="00703A3B">
        <w:rPr>
          <w:rFonts w:ascii="新宋体" w:eastAsia="新宋体" w:hAnsi="新宋体"/>
          <w:sz w:val="21"/>
          <w:szCs w:val="21"/>
        </w:rPr>
        <w:fldChar w:fldCharType="separate"/>
      </w:r>
      <w:r w:rsidRPr="00703A3B">
        <w:rPr>
          <w:rFonts w:ascii="新宋体" w:eastAsia="新宋体" w:hAnsi="新宋体"/>
          <w:sz w:val="21"/>
          <w:szCs w:val="21"/>
        </w:rPr>
        <w:t>进口</w:t>
      </w:r>
      <w:r w:rsidRPr="00703A3B">
        <w:rPr>
          <w:rFonts w:ascii="新宋体" w:eastAsia="新宋体" w:hAnsi="新宋体"/>
          <w:sz w:val="21"/>
          <w:szCs w:val="21"/>
        </w:rPr>
        <w:fldChar w:fldCharType="end"/>
      </w:r>
      <w:r w:rsidRPr="00703A3B">
        <w:rPr>
          <w:rFonts w:ascii="新宋体" w:eastAsia="新宋体" w:hAnsi="新宋体"/>
          <w:sz w:val="21"/>
          <w:szCs w:val="21"/>
        </w:rPr>
        <w:t>矿配比，导致国产</w:t>
      </w:r>
      <w:proofErr w:type="gramStart"/>
      <w:r w:rsidRPr="00703A3B">
        <w:rPr>
          <w:rFonts w:ascii="新宋体" w:eastAsia="新宋体" w:hAnsi="新宋体"/>
          <w:sz w:val="21"/>
          <w:szCs w:val="21"/>
        </w:rPr>
        <w:t>矿销售</w:t>
      </w:r>
      <w:proofErr w:type="gramEnd"/>
      <w:r w:rsidRPr="00703A3B">
        <w:rPr>
          <w:rFonts w:ascii="新宋体" w:eastAsia="新宋体" w:hAnsi="新宋体"/>
          <w:sz w:val="21"/>
          <w:szCs w:val="21"/>
        </w:rPr>
        <w:t>困难，原矿库存大幅提高，库存压力或将制约后期反弹高度。1- 9月份全国矿山铁精粉库存累计增长1583万吨。</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sz w:val="21"/>
          <w:szCs w:val="21"/>
        </w:rPr>
        <w:t>进入到下半年，国内矿山停产减产的力度有所加大，尤其是中小矿山停产数量众多，使得国内精粉产量出现了一定的下降，这对国产矿的价格起到了一定的支撑作用，但目前最大的问题还是国内矿山如何去库存化。只有改变钢厂</w:t>
      </w:r>
      <w:proofErr w:type="gramStart"/>
      <w:r w:rsidRPr="00703A3B">
        <w:rPr>
          <w:rFonts w:ascii="新宋体" w:eastAsia="新宋体" w:hAnsi="新宋体"/>
          <w:sz w:val="21"/>
          <w:szCs w:val="21"/>
        </w:rPr>
        <w:t>进口矿高配比</w:t>
      </w:r>
      <w:proofErr w:type="gramEnd"/>
      <w:r w:rsidRPr="00703A3B">
        <w:rPr>
          <w:rFonts w:ascii="新宋体" w:eastAsia="新宋体" w:hAnsi="新宋体"/>
          <w:sz w:val="21"/>
          <w:szCs w:val="21"/>
        </w:rPr>
        <w:t>的状况，才能促使钢厂对内矿的</w:t>
      </w:r>
      <w:hyperlink r:id="rId22" w:tgtFrame="_blank" w:history="1">
        <w:r w:rsidRPr="00703A3B">
          <w:rPr>
            <w:rFonts w:ascii="新宋体" w:eastAsia="新宋体" w:hAnsi="新宋体"/>
          </w:rPr>
          <w:t>需求</w:t>
        </w:r>
      </w:hyperlink>
      <w:r w:rsidRPr="00703A3B">
        <w:rPr>
          <w:rFonts w:ascii="新宋体" w:eastAsia="新宋体" w:hAnsi="新宋体"/>
          <w:sz w:val="21"/>
          <w:szCs w:val="21"/>
        </w:rPr>
        <w:t>重新回升，而钢厂调整内外矿配比主要是根据性价比原则，目前的内外矿价差过高，导致进口</w:t>
      </w:r>
      <w:proofErr w:type="gramStart"/>
      <w:r w:rsidRPr="00703A3B">
        <w:rPr>
          <w:rFonts w:ascii="新宋体" w:eastAsia="新宋体" w:hAnsi="新宋体"/>
          <w:sz w:val="21"/>
          <w:szCs w:val="21"/>
        </w:rPr>
        <w:t>矿价格</w:t>
      </w:r>
      <w:proofErr w:type="gramEnd"/>
      <w:r w:rsidRPr="00703A3B">
        <w:rPr>
          <w:rFonts w:ascii="新宋体" w:eastAsia="新宋体" w:hAnsi="新宋体"/>
          <w:sz w:val="21"/>
          <w:szCs w:val="21"/>
        </w:rPr>
        <w:t>优势明显。</w:t>
      </w:r>
    </w:p>
    <w:p w:rsidR="00703A3B" w:rsidRPr="00703A3B" w:rsidRDefault="00703A3B" w:rsidP="00703A3B">
      <w:pPr>
        <w:autoSpaceDE w:val="0"/>
        <w:autoSpaceDN w:val="0"/>
        <w:adjustRightInd w:val="0"/>
        <w:spacing w:before="100" w:beforeAutospacing="1" w:after="0"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t>图12：我国铁矿石原矿月产量9月同比-0.36%图13：2014年1-9月我国铁矿石原矿产量同比增长7.24%</w:t>
      </w:r>
    </w:p>
    <w:p w:rsidR="00703A3B" w:rsidRPr="00703A3B" w:rsidRDefault="00703A3B" w:rsidP="00703A3B">
      <w:pPr>
        <w:autoSpaceDE w:val="0"/>
        <w:autoSpaceDN w:val="0"/>
        <w:adjustRightInd w:val="0"/>
        <w:spacing w:after="0" w:line="360" w:lineRule="auto"/>
        <w:ind w:leftChars="-129" w:left="-284" w:rightChars="-194" w:right="-427"/>
        <w:rPr>
          <w:noProof/>
        </w:rPr>
      </w:pPr>
      <w:r w:rsidRPr="00703A3B">
        <w:rPr>
          <w:noProof/>
        </w:rPr>
        <w:drawing>
          <wp:inline distT="0" distB="0" distL="0" distR="0">
            <wp:extent cx="2741295" cy="2243470"/>
            <wp:effectExtent l="19050" t="0" r="1905"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1935" cy="2243993"/>
                    </a:xfrm>
                    <a:prstGeom prst="rect">
                      <a:avLst/>
                    </a:prstGeom>
                    <a:noFill/>
                  </pic:spPr>
                </pic:pic>
              </a:graphicData>
            </a:graphic>
          </wp:inline>
        </w:drawing>
      </w:r>
      <w:r w:rsidRPr="00703A3B">
        <w:rPr>
          <w:noProof/>
        </w:rPr>
        <w:drawing>
          <wp:inline distT="0" distB="0" distL="0" distR="0">
            <wp:extent cx="2721935" cy="2243468"/>
            <wp:effectExtent l="19050" t="0" r="221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6482" cy="2247216"/>
                    </a:xfrm>
                    <a:prstGeom prst="rect">
                      <a:avLst/>
                    </a:prstGeom>
                    <a:noFill/>
                  </pic:spPr>
                </pic:pic>
              </a:graphicData>
            </a:graphic>
          </wp:inline>
        </w:drawing>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t>资料来源：方正中期研究院，WIND</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2"/>
        <w:rPr>
          <w:rFonts w:ascii="新宋体" w:eastAsia="新宋体" w:hAnsi="新宋体"/>
          <w:b/>
          <w:sz w:val="21"/>
          <w:szCs w:val="21"/>
        </w:rPr>
      </w:pP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2"/>
        <w:rPr>
          <w:rFonts w:ascii="新宋体" w:eastAsia="新宋体" w:hAnsi="新宋体"/>
          <w:b/>
          <w:sz w:val="21"/>
          <w:szCs w:val="21"/>
        </w:rPr>
      </w:pPr>
      <w:r w:rsidRPr="00703A3B">
        <w:rPr>
          <w:rFonts w:ascii="新宋体" w:eastAsia="新宋体" w:hAnsi="新宋体" w:hint="eastAsia"/>
          <w:b/>
          <w:sz w:val="21"/>
          <w:szCs w:val="21"/>
        </w:rPr>
        <w:t>3、9月进口</w:t>
      </w:r>
      <w:proofErr w:type="gramStart"/>
      <w:r w:rsidRPr="00703A3B">
        <w:rPr>
          <w:rFonts w:ascii="新宋体" w:eastAsia="新宋体" w:hAnsi="新宋体" w:hint="eastAsia"/>
          <w:b/>
          <w:sz w:val="21"/>
          <w:szCs w:val="21"/>
        </w:rPr>
        <w:t>矿数量</w:t>
      </w:r>
      <w:proofErr w:type="gramEnd"/>
      <w:r w:rsidRPr="00703A3B">
        <w:rPr>
          <w:rFonts w:ascii="新宋体" w:eastAsia="新宋体" w:hAnsi="新宋体" w:hint="eastAsia"/>
          <w:b/>
          <w:sz w:val="21"/>
          <w:szCs w:val="21"/>
        </w:rPr>
        <w:t>达历史次高，</w:t>
      </w:r>
      <w:proofErr w:type="gramStart"/>
      <w:r w:rsidRPr="00703A3B">
        <w:rPr>
          <w:rFonts w:ascii="新宋体" w:eastAsia="新宋体" w:hAnsi="新宋体"/>
          <w:b/>
          <w:sz w:val="21"/>
          <w:szCs w:val="21"/>
        </w:rPr>
        <w:t>沿海超</w:t>
      </w:r>
      <w:proofErr w:type="gramEnd"/>
      <w:r w:rsidRPr="00703A3B">
        <w:rPr>
          <w:rFonts w:ascii="新宋体" w:eastAsia="新宋体" w:hAnsi="新宋体"/>
          <w:b/>
          <w:sz w:val="21"/>
          <w:szCs w:val="21"/>
        </w:rPr>
        <w:t>亿吨铁矿石“压港”</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港口现货方面，由于10月底-11月上旬河北区域钢厂将会限产，因此10月底市场成交整体尚可，钢厂加大生产烧结矿以度过会议期间，随着月末，部分商家急于还款，导致市场虽然成交尚可，但</w:t>
      </w:r>
      <w:r w:rsidRPr="00703A3B">
        <w:rPr>
          <w:rFonts w:ascii="新宋体" w:eastAsia="新宋体" w:hAnsi="新宋体" w:hint="eastAsia"/>
          <w:sz w:val="21"/>
          <w:szCs w:val="21"/>
        </w:rPr>
        <w:lastRenderedPageBreak/>
        <w:t>是价格却跌</w:t>
      </w:r>
      <w:proofErr w:type="gramStart"/>
      <w:r w:rsidRPr="00703A3B">
        <w:rPr>
          <w:rFonts w:ascii="新宋体" w:eastAsia="新宋体" w:hAnsi="新宋体" w:hint="eastAsia"/>
          <w:sz w:val="21"/>
          <w:szCs w:val="21"/>
        </w:rPr>
        <w:t>跌</w:t>
      </w:r>
      <w:proofErr w:type="gramEnd"/>
      <w:r w:rsidRPr="00703A3B">
        <w:rPr>
          <w:rFonts w:ascii="新宋体" w:eastAsia="新宋体" w:hAnsi="新宋体" w:hint="eastAsia"/>
          <w:sz w:val="21"/>
          <w:szCs w:val="21"/>
        </w:rPr>
        <w:t>不休，截至10月31日，</w:t>
      </w:r>
      <w:proofErr w:type="spellStart"/>
      <w:r w:rsidRPr="00703A3B">
        <w:rPr>
          <w:rFonts w:ascii="新宋体" w:eastAsia="新宋体" w:hAnsi="新宋体" w:hint="eastAsia"/>
          <w:sz w:val="21"/>
          <w:szCs w:val="21"/>
        </w:rPr>
        <w:t>Mysteel</w:t>
      </w:r>
      <w:proofErr w:type="spellEnd"/>
      <w:r w:rsidRPr="00703A3B">
        <w:rPr>
          <w:rFonts w:ascii="新宋体" w:eastAsia="新宋体" w:hAnsi="新宋体" w:hint="eastAsia"/>
          <w:sz w:val="21"/>
          <w:szCs w:val="21"/>
        </w:rPr>
        <w:t>统计全国41个主要港口</w:t>
      </w:r>
      <w:hyperlink r:id="rId25" w:tgtFrame="_blank" w:history="1">
        <w:r w:rsidRPr="00703A3B">
          <w:rPr>
            <w:rFonts w:ascii="新宋体" w:eastAsia="新宋体" w:hAnsi="新宋体" w:hint="eastAsia"/>
            <w:sz w:val="21"/>
            <w:szCs w:val="21"/>
          </w:rPr>
          <w:t>铁矿石</w:t>
        </w:r>
      </w:hyperlink>
      <w:hyperlink r:id="rId26" w:tgtFrame="_blank" w:history="1">
        <w:r w:rsidRPr="00703A3B">
          <w:rPr>
            <w:rFonts w:ascii="新宋体" w:eastAsia="新宋体" w:hAnsi="新宋体" w:hint="eastAsia"/>
            <w:sz w:val="21"/>
            <w:szCs w:val="21"/>
          </w:rPr>
          <w:t>库存</w:t>
        </w:r>
      </w:hyperlink>
      <w:r w:rsidRPr="00703A3B">
        <w:rPr>
          <w:rFonts w:ascii="新宋体" w:eastAsia="新宋体" w:hAnsi="新宋体" w:hint="eastAsia"/>
          <w:sz w:val="21"/>
          <w:szCs w:val="21"/>
        </w:rPr>
        <w:t>总量为10718万吨,与</w:t>
      </w:r>
      <w:r w:rsidRPr="00703A3B">
        <w:rPr>
          <w:rFonts w:ascii="新宋体" w:eastAsia="新宋体" w:hAnsi="新宋体"/>
          <w:sz w:val="21"/>
          <w:szCs w:val="21"/>
        </w:rPr>
        <w:t>9月28日</w:t>
      </w:r>
      <w:r w:rsidRPr="00703A3B">
        <w:rPr>
          <w:rFonts w:ascii="新宋体" w:eastAsia="新宋体" w:hAnsi="新宋体" w:hint="eastAsia"/>
          <w:sz w:val="21"/>
          <w:szCs w:val="21"/>
        </w:rPr>
        <w:t>统计数据</w:t>
      </w:r>
      <w:r w:rsidRPr="00703A3B">
        <w:rPr>
          <w:rFonts w:ascii="新宋体" w:eastAsia="新宋体" w:hAnsi="新宋体"/>
          <w:sz w:val="21"/>
          <w:szCs w:val="21"/>
        </w:rPr>
        <w:t>相比下降351万吨</w:t>
      </w:r>
      <w:r w:rsidRPr="00703A3B">
        <w:rPr>
          <w:rFonts w:ascii="新宋体" w:eastAsia="新宋体" w:hAnsi="新宋体" w:hint="eastAsia"/>
          <w:sz w:val="21"/>
          <w:szCs w:val="21"/>
        </w:rPr>
        <w:t>。同口径库存10203万吨；</w:t>
      </w:r>
      <w:proofErr w:type="gramStart"/>
      <w:r w:rsidRPr="00703A3B">
        <w:rPr>
          <w:rFonts w:ascii="新宋体" w:eastAsia="新宋体" w:hAnsi="新宋体" w:hint="eastAsia"/>
          <w:sz w:val="21"/>
          <w:szCs w:val="21"/>
        </w:rPr>
        <w:t>其中澳矿</w:t>
      </w:r>
      <w:proofErr w:type="gramEnd"/>
      <w:r w:rsidRPr="00703A3B">
        <w:rPr>
          <w:rFonts w:ascii="新宋体" w:eastAsia="新宋体" w:hAnsi="新宋体" w:hint="eastAsia"/>
          <w:sz w:val="21"/>
          <w:szCs w:val="21"/>
        </w:rPr>
        <w:t>5527万吨，巴西1884万吨，印度82万吨，贸易矿3751万吨，精粉414万吨，球团231万吨，块矿1112万吨</w:t>
      </w:r>
      <w:r w:rsidRPr="00703A3B">
        <w:rPr>
          <w:rFonts w:ascii="新宋体" w:eastAsia="新宋体" w:hAnsi="新宋体"/>
          <w:sz w:val="21"/>
          <w:szCs w:val="21"/>
        </w:rPr>
        <w:t>最近两个月港口库存持续下降，北方由于天气原因导致压港，从而影响了到港量，但是南方港口在10月份整体保持上升的节奏，所以后期港口库存再度出现大幅下降的可能性并不大。</w:t>
      </w:r>
      <w:r w:rsidRPr="00703A3B">
        <w:rPr>
          <w:rFonts w:ascii="新宋体" w:eastAsia="新宋体" w:hAnsi="新宋体" w:hint="eastAsia"/>
          <w:sz w:val="21"/>
          <w:szCs w:val="21"/>
        </w:rPr>
        <w:t>鉴于市场10月下旬表现，受到APEC会议期间市场钢厂限产影响，预计11月初进口</w:t>
      </w:r>
      <w:proofErr w:type="gramStart"/>
      <w:r w:rsidRPr="00703A3B">
        <w:rPr>
          <w:rFonts w:ascii="新宋体" w:eastAsia="新宋体" w:hAnsi="新宋体" w:hint="eastAsia"/>
          <w:sz w:val="21"/>
          <w:szCs w:val="21"/>
        </w:rPr>
        <w:t>矿市场</w:t>
      </w:r>
      <w:proofErr w:type="gramEnd"/>
      <w:r w:rsidRPr="00703A3B">
        <w:rPr>
          <w:rFonts w:ascii="新宋体" w:eastAsia="新宋体" w:hAnsi="新宋体" w:hint="eastAsia"/>
          <w:sz w:val="21"/>
          <w:szCs w:val="21"/>
        </w:rPr>
        <w:t>仍旧偏弱运行。</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进口矿方面，据海关统计，2013年全国铁矿石进口量为81941万吨，比上年增长10．2％；2014年9月我国进口铁矿砂及其精矿8469万吨，环比增加981万吨/增加13.1%，同比增加14.56%，进口规模创下历史第二高；1-9月进口69907万吨，同比+16．5％，全年进口将达9亿吨。据此推算，如果2015年中国铁矿石进口到岸均价在90美元／吨左右，全年铁矿石进口量超过10亿吨，再次增长10％；如果2015年中国铁矿石进口到岸均价跌至70美元／吨，全年铁矿石进口量就有可能达到或接近12亿吨，增长3成左右。而乐观估计2015年全球海运出口的铁矿石也不过14亿吨。</w:t>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t>图14：普氏铁矿石价格指数(62%)维持在5年低位80美元附近徘徊</w:t>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noProof/>
          <w:sz w:val="21"/>
          <w:szCs w:val="21"/>
        </w:rPr>
        <w:drawing>
          <wp:inline distT="0" distB="0" distL="0" distR="0">
            <wp:extent cx="5092995" cy="2509284"/>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6821" cy="2511169"/>
                    </a:xfrm>
                    <a:prstGeom prst="rect">
                      <a:avLst/>
                    </a:prstGeom>
                    <a:noFill/>
                  </pic:spPr>
                </pic:pic>
              </a:graphicData>
            </a:graphic>
          </wp:inline>
        </w:drawing>
      </w:r>
    </w:p>
    <w:p w:rsidR="00703A3B" w:rsidRPr="00703A3B" w:rsidRDefault="00703A3B" w:rsidP="00703A3B">
      <w:pPr>
        <w:autoSpaceDE w:val="0"/>
        <w:autoSpaceDN w:val="0"/>
        <w:adjustRightInd w:val="0"/>
        <w:spacing w:after="0" w:line="360" w:lineRule="auto"/>
        <w:ind w:rightChars="-194" w:right="-427"/>
        <w:rPr>
          <w:rFonts w:ascii="新宋体" w:eastAsia="新宋体" w:hAnsi="新宋体"/>
          <w:sz w:val="21"/>
          <w:szCs w:val="21"/>
        </w:rPr>
      </w:pPr>
      <w:r w:rsidRPr="00703A3B">
        <w:rPr>
          <w:rFonts w:ascii="新宋体" w:eastAsia="新宋体" w:hAnsi="新宋体" w:hint="eastAsia"/>
          <w:sz w:val="21"/>
          <w:szCs w:val="21"/>
        </w:rPr>
        <w:t>资料来源：方正中期研究院，WIND</w:t>
      </w:r>
    </w:p>
    <w:p w:rsidR="00703A3B" w:rsidRPr="00703A3B" w:rsidRDefault="00703A3B" w:rsidP="00703A3B">
      <w:pPr>
        <w:autoSpaceDE w:val="0"/>
        <w:autoSpaceDN w:val="0"/>
        <w:adjustRightInd w:val="0"/>
        <w:spacing w:before="100" w:beforeAutospacing="1" w:after="0" w:line="360" w:lineRule="auto"/>
        <w:ind w:leftChars="-129" w:left="-284" w:rightChars="-194" w:right="-427"/>
        <w:rPr>
          <w:rFonts w:ascii="新宋体" w:eastAsia="新宋体" w:hAnsi="新宋体"/>
          <w:sz w:val="21"/>
          <w:szCs w:val="21"/>
        </w:rPr>
      </w:pPr>
    </w:p>
    <w:p w:rsidR="00703A3B" w:rsidRPr="00703A3B" w:rsidRDefault="00703A3B" w:rsidP="00703A3B">
      <w:pPr>
        <w:autoSpaceDE w:val="0"/>
        <w:autoSpaceDN w:val="0"/>
        <w:adjustRightInd w:val="0"/>
        <w:spacing w:before="100" w:beforeAutospacing="1" w:after="0"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t>图15：铁矿石进口量与进口均价走势</w:t>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noProof/>
          <w:sz w:val="21"/>
          <w:szCs w:val="21"/>
        </w:rPr>
      </w:pPr>
      <w:r w:rsidRPr="00703A3B">
        <w:rPr>
          <w:rFonts w:ascii="新宋体" w:eastAsia="新宋体" w:hAnsi="新宋体"/>
          <w:noProof/>
          <w:sz w:val="21"/>
          <w:szCs w:val="21"/>
        </w:rPr>
        <w:lastRenderedPageBreak/>
        <w:drawing>
          <wp:inline distT="0" distB="0" distL="0" distR="0">
            <wp:extent cx="5103628" cy="2506629"/>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05930" cy="2507760"/>
                    </a:xfrm>
                    <a:prstGeom prst="rect">
                      <a:avLst/>
                    </a:prstGeom>
                    <a:noFill/>
                  </pic:spPr>
                </pic:pic>
              </a:graphicData>
            </a:graphic>
          </wp:inline>
        </w:drawing>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t>资料来源：方正中期研究院，WIND</w:t>
      </w:r>
    </w:p>
    <w:p w:rsidR="00703A3B" w:rsidRPr="00703A3B" w:rsidRDefault="00703A3B" w:rsidP="00703A3B">
      <w:pPr>
        <w:autoSpaceDE w:val="0"/>
        <w:autoSpaceDN w:val="0"/>
        <w:adjustRightInd w:val="0"/>
        <w:spacing w:before="100" w:beforeAutospacing="1" w:after="0"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t>图16：进口铁矿石平均库存可用天数</w:t>
      </w:r>
      <w:proofErr w:type="gramStart"/>
      <w:r w:rsidRPr="00703A3B">
        <w:rPr>
          <w:rFonts w:ascii="新宋体" w:eastAsia="新宋体" w:hAnsi="新宋体" w:hint="eastAsia"/>
          <w:sz w:val="21"/>
          <w:szCs w:val="21"/>
        </w:rPr>
        <w:t>与矿价指数</w:t>
      </w:r>
      <w:proofErr w:type="gramEnd"/>
      <w:r w:rsidRPr="00703A3B">
        <w:rPr>
          <w:rFonts w:ascii="新宋体" w:eastAsia="新宋体" w:hAnsi="新宋体" w:hint="eastAsia"/>
          <w:sz w:val="21"/>
          <w:szCs w:val="21"/>
        </w:rPr>
        <w:t>走势</w:t>
      </w:r>
      <w:r>
        <w:rPr>
          <w:rFonts w:ascii="新宋体" w:eastAsia="新宋体" w:hAnsi="新宋体" w:hint="eastAsia"/>
          <w:sz w:val="21"/>
          <w:szCs w:val="21"/>
        </w:rPr>
        <w:t xml:space="preserve">   </w:t>
      </w:r>
      <w:r w:rsidRPr="00703A3B">
        <w:rPr>
          <w:rFonts w:ascii="新宋体" w:eastAsia="新宋体" w:hAnsi="新宋体" w:hint="eastAsia"/>
          <w:sz w:val="21"/>
          <w:szCs w:val="21"/>
        </w:rPr>
        <w:t>图17：进口铁矿石库存量走势</w:t>
      </w:r>
    </w:p>
    <w:p w:rsidR="00703A3B" w:rsidRPr="00703A3B" w:rsidRDefault="00703A3B" w:rsidP="00703A3B">
      <w:pPr>
        <w:autoSpaceDE w:val="0"/>
        <w:autoSpaceDN w:val="0"/>
        <w:adjustRightInd w:val="0"/>
        <w:spacing w:after="0" w:line="360" w:lineRule="auto"/>
        <w:ind w:leftChars="-129" w:left="-284" w:rightChars="-194" w:right="-427"/>
        <w:rPr>
          <w:noProof/>
        </w:rPr>
      </w:pPr>
      <w:r w:rsidRPr="00703A3B">
        <w:rPr>
          <w:noProof/>
        </w:rPr>
        <w:drawing>
          <wp:inline distT="0" distB="0" distL="0" distR="0">
            <wp:extent cx="2371060" cy="2179674"/>
            <wp:effectExtent l="1905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1034" cy="2179650"/>
                    </a:xfrm>
                    <a:prstGeom prst="rect">
                      <a:avLst/>
                    </a:prstGeom>
                    <a:noFill/>
                  </pic:spPr>
                </pic:pic>
              </a:graphicData>
            </a:graphic>
          </wp:inline>
        </w:drawing>
      </w:r>
      <w:r>
        <w:rPr>
          <w:rFonts w:hint="eastAsia"/>
          <w:noProof/>
        </w:rPr>
        <w:t xml:space="preserve">      </w:t>
      </w:r>
      <w:r w:rsidRPr="00703A3B">
        <w:rPr>
          <w:noProof/>
        </w:rPr>
        <w:drawing>
          <wp:inline distT="0" distB="0" distL="0" distR="0">
            <wp:extent cx="2488018" cy="2179673"/>
            <wp:effectExtent l="19050" t="0" r="7532"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2231" cy="2183364"/>
                    </a:xfrm>
                    <a:prstGeom prst="rect">
                      <a:avLst/>
                    </a:prstGeom>
                    <a:noFill/>
                  </pic:spPr>
                </pic:pic>
              </a:graphicData>
            </a:graphic>
          </wp:inline>
        </w:drawing>
      </w:r>
    </w:p>
    <w:p w:rsidR="00703A3B" w:rsidRPr="00703A3B" w:rsidRDefault="00703A3B" w:rsidP="00703A3B">
      <w:pPr>
        <w:autoSpaceDE w:val="0"/>
        <w:autoSpaceDN w:val="0"/>
        <w:adjustRightInd w:val="0"/>
        <w:spacing w:after="0" w:line="360" w:lineRule="auto"/>
        <w:ind w:rightChars="-194" w:right="-427"/>
        <w:rPr>
          <w:rFonts w:ascii="新宋体" w:eastAsia="新宋体" w:hAnsi="新宋体"/>
          <w:sz w:val="21"/>
          <w:szCs w:val="21"/>
        </w:rPr>
      </w:pPr>
      <w:r w:rsidRPr="00703A3B">
        <w:rPr>
          <w:rFonts w:ascii="新宋体" w:eastAsia="新宋体" w:hAnsi="新宋体" w:hint="eastAsia"/>
          <w:sz w:val="21"/>
          <w:szCs w:val="21"/>
        </w:rPr>
        <w:t>资料来源：方正中期研究院，WIND</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10月</w:t>
      </w:r>
      <w:hyperlink r:id="rId31" w:tgtFrame="_blank" w:history="1">
        <w:r w:rsidRPr="00703A3B">
          <w:rPr>
            <w:rFonts w:ascii="新宋体" w:eastAsia="新宋体" w:hAnsi="新宋体" w:hint="eastAsia"/>
            <w:sz w:val="21"/>
            <w:szCs w:val="21"/>
          </w:rPr>
          <w:t>进口</w:t>
        </w:r>
      </w:hyperlink>
      <w:proofErr w:type="gramStart"/>
      <w:r w:rsidRPr="00703A3B">
        <w:rPr>
          <w:rFonts w:ascii="新宋体" w:eastAsia="新宋体" w:hAnsi="新宋体" w:hint="eastAsia"/>
          <w:sz w:val="21"/>
          <w:szCs w:val="21"/>
        </w:rPr>
        <w:t>矿市场</w:t>
      </w:r>
      <w:proofErr w:type="gramEnd"/>
      <w:r w:rsidRPr="00703A3B">
        <w:rPr>
          <w:rFonts w:ascii="新宋体" w:eastAsia="新宋体" w:hAnsi="新宋体" w:hint="eastAsia"/>
          <w:sz w:val="21"/>
          <w:szCs w:val="21"/>
        </w:rPr>
        <w:t>呈现盘整运行，外盘市场活跃相对冷清，港口</w:t>
      </w:r>
      <w:hyperlink r:id="rId32" w:tgtFrame="_blank" w:history="1">
        <w:r w:rsidRPr="00703A3B">
          <w:rPr>
            <w:rFonts w:ascii="新宋体" w:eastAsia="新宋体" w:hAnsi="新宋体" w:hint="eastAsia"/>
            <w:sz w:val="21"/>
            <w:szCs w:val="21"/>
          </w:rPr>
          <w:t>现货</w:t>
        </w:r>
      </w:hyperlink>
      <w:r w:rsidRPr="00703A3B">
        <w:rPr>
          <w:rFonts w:ascii="新宋体" w:eastAsia="新宋体" w:hAnsi="新宋体" w:hint="eastAsia"/>
          <w:sz w:val="21"/>
          <w:szCs w:val="21"/>
        </w:rPr>
        <w:t>成交相对尚可。远期现货方面，市场表现相对较为平稳，维持在80美元/吨震荡，截至10月底，PB</w:t>
      </w:r>
      <w:proofErr w:type="gramStart"/>
      <w:r w:rsidRPr="00703A3B">
        <w:rPr>
          <w:rFonts w:ascii="新宋体" w:eastAsia="新宋体" w:hAnsi="新宋体" w:hint="eastAsia"/>
          <w:sz w:val="21"/>
          <w:szCs w:val="21"/>
        </w:rPr>
        <w:t>粉结标价</w:t>
      </w:r>
      <w:proofErr w:type="gramEnd"/>
      <w:r w:rsidRPr="00703A3B">
        <w:rPr>
          <w:rFonts w:ascii="新宋体" w:eastAsia="新宋体" w:hAnsi="新宋体" w:hint="eastAsia"/>
          <w:sz w:val="21"/>
          <w:szCs w:val="21"/>
        </w:rPr>
        <w:t>格为78.35美元/吨，相对于周末市场而言整体较为平稳。虽然现在平台报盘相对较多，但是市场还盘情况较为一般，且出价都相对偏低，也代表了后期市场的看空心态，掉期市场表现并不抢眼，市场变化相对偏小，对于市场影响较小。而</w:t>
      </w:r>
      <w:r w:rsidRPr="00703A3B">
        <w:rPr>
          <w:rFonts w:ascii="新宋体" w:eastAsia="新宋体" w:hAnsi="新宋体"/>
          <w:sz w:val="21"/>
          <w:szCs w:val="21"/>
        </w:rPr>
        <w:t>10月份进口矿期货市场盘整运行，基本维持在80美元/吨盘整，平台成交相对冷清，矿山招标在10月份末尾较为零星，与今年整体频繁放出招标的节奏有所相悖。截止10月31日PB粉主流在77.75-78.75美元/吨、63%</w:t>
      </w:r>
      <w:proofErr w:type="gramStart"/>
      <w:r w:rsidRPr="00703A3B">
        <w:rPr>
          <w:rFonts w:ascii="新宋体" w:eastAsia="新宋体" w:hAnsi="新宋体"/>
          <w:sz w:val="21"/>
          <w:szCs w:val="21"/>
        </w:rPr>
        <w:t>巴粗</w:t>
      </w:r>
      <w:proofErr w:type="gramEnd"/>
      <w:r w:rsidRPr="00703A3B">
        <w:rPr>
          <w:rFonts w:ascii="新宋体" w:eastAsia="新宋体" w:hAnsi="新宋体"/>
          <w:sz w:val="21"/>
          <w:szCs w:val="21"/>
        </w:rPr>
        <w:t>77.5-78.5美元/吨、63.5/63%</w:t>
      </w:r>
      <w:proofErr w:type="gramStart"/>
      <w:r w:rsidRPr="00703A3B">
        <w:rPr>
          <w:rFonts w:ascii="新宋体" w:eastAsia="新宋体" w:hAnsi="新宋体"/>
          <w:sz w:val="21"/>
          <w:szCs w:val="21"/>
        </w:rPr>
        <w:t>印粉</w:t>
      </w:r>
      <w:proofErr w:type="gramEnd"/>
      <w:r w:rsidRPr="00703A3B">
        <w:rPr>
          <w:rFonts w:ascii="新宋体" w:eastAsia="新宋体" w:hAnsi="新宋体"/>
          <w:sz w:val="21"/>
          <w:szCs w:val="21"/>
        </w:rPr>
        <w:t>80.75-81.75美元/</w:t>
      </w:r>
      <w:proofErr w:type="gramStart"/>
      <w:r w:rsidRPr="00703A3B">
        <w:rPr>
          <w:rFonts w:ascii="新宋体" w:eastAsia="新宋体" w:hAnsi="新宋体"/>
          <w:sz w:val="21"/>
          <w:szCs w:val="21"/>
        </w:rPr>
        <w:t>吨以及</w:t>
      </w:r>
      <w:proofErr w:type="gramEnd"/>
      <w:r w:rsidRPr="00703A3B">
        <w:rPr>
          <w:rFonts w:ascii="新宋体" w:eastAsia="新宋体" w:hAnsi="新宋体"/>
          <w:sz w:val="21"/>
          <w:szCs w:val="21"/>
        </w:rPr>
        <w:t>58%Yandi粉70.25-71.25美元/吨</w:t>
      </w:r>
      <w:r w:rsidRPr="00703A3B">
        <w:rPr>
          <w:rFonts w:ascii="新宋体" w:eastAsia="新宋体" w:hAnsi="新宋体" w:hint="eastAsia"/>
          <w:sz w:val="21"/>
          <w:szCs w:val="21"/>
        </w:rPr>
        <w:t>。</w:t>
      </w:r>
    </w:p>
    <w:p w:rsidR="00703A3B" w:rsidRPr="00703A3B" w:rsidRDefault="00703A3B" w:rsidP="00703A3B">
      <w:pPr>
        <w:autoSpaceDE w:val="0"/>
        <w:autoSpaceDN w:val="0"/>
        <w:adjustRightInd w:val="0"/>
        <w:spacing w:before="100" w:beforeAutospacing="1" w:after="0" w:line="360" w:lineRule="auto"/>
        <w:ind w:leftChars="-129" w:left="-284" w:rightChars="-194" w:right="-427" w:firstLineChars="150" w:firstLine="315"/>
        <w:rPr>
          <w:rFonts w:ascii="新宋体" w:eastAsia="新宋体" w:hAnsi="新宋体"/>
          <w:sz w:val="21"/>
          <w:szCs w:val="21"/>
        </w:rPr>
      </w:pPr>
      <w:r w:rsidRPr="00703A3B">
        <w:rPr>
          <w:rFonts w:ascii="新宋体" w:eastAsia="新宋体" w:hAnsi="新宋体" w:hint="eastAsia"/>
          <w:sz w:val="21"/>
          <w:szCs w:val="21"/>
        </w:rPr>
        <w:lastRenderedPageBreak/>
        <w:t>图18：钢价与铁矿石掉期行情走势                图19：国产铁精粉价格走势</w:t>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noProof/>
          <w:sz w:val="21"/>
          <w:szCs w:val="21"/>
        </w:rPr>
      </w:pPr>
      <w:r w:rsidRPr="00703A3B">
        <w:rPr>
          <w:rFonts w:ascii="新宋体" w:eastAsia="新宋体" w:hAnsi="新宋体"/>
          <w:noProof/>
          <w:sz w:val="21"/>
          <w:szCs w:val="21"/>
        </w:rPr>
        <w:drawing>
          <wp:inline distT="0" distB="0" distL="0" distR="0">
            <wp:extent cx="2541181" cy="2211572"/>
            <wp:effectExtent l="1905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3900" cy="2213938"/>
                    </a:xfrm>
                    <a:prstGeom prst="rect">
                      <a:avLst/>
                    </a:prstGeom>
                    <a:noFill/>
                  </pic:spPr>
                </pic:pic>
              </a:graphicData>
            </a:graphic>
          </wp:inline>
        </w:drawing>
      </w:r>
      <w:r>
        <w:rPr>
          <w:rFonts w:ascii="新宋体" w:eastAsia="新宋体" w:hAnsi="新宋体" w:hint="eastAsia"/>
          <w:noProof/>
          <w:sz w:val="21"/>
          <w:szCs w:val="21"/>
        </w:rPr>
        <w:t xml:space="preserve">   </w:t>
      </w:r>
      <w:r w:rsidRPr="00703A3B">
        <w:rPr>
          <w:rFonts w:ascii="新宋体" w:eastAsia="新宋体" w:hAnsi="新宋体"/>
          <w:noProof/>
          <w:sz w:val="21"/>
          <w:szCs w:val="21"/>
        </w:rPr>
        <w:drawing>
          <wp:inline distT="0" distB="0" distL="0" distR="0">
            <wp:extent cx="2551814" cy="2210582"/>
            <wp:effectExtent l="19050" t="0" r="886"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0744" cy="2209655"/>
                    </a:xfrm>
                    <a:prstGeom prst="rect">
                      <a:avLst/>
                    </a:prstGeom>
                    <a:noFill/>
                  </pic:spPr>
                </pic:pic>
              </a:graphicData>
            </a:graphic>
          </wp:inline>
        </w:drawing>
      </w:r>
    </w:p>
    <w:p w:rsidR="00703A3B" w:rsidRPr="00703A3B" w:rsidRDefault="00703A3B" w:rsidP="00703A3B">
      <w:pPr>
        <w:autoSpaceDE w:val="0"/>
        <w:autoSpaceDN w:val="0"/>
        <w:adjustRightInd w:val="0"/>
        <w:spacing w:after="0" w:line="360" w:lineRule="auto"/>
        <w:ind w:leftChars="-129" w:left="-284" w:rightChars="-194" w:right="-427"/>
        <w:rPr>
          <w:noProof/>
        </w:rPr>
      </w:pPr>
      <w:r w:rsidRPr="00703A3B">
        <w:rPr>
          <w:rFonts w:ascii="新宋体" w:eastAsia="新宋体" w:hAnsi="新宋体" w:hint="eastAsia"/>
          <w:sz w:val="21"/>
          <w:szCs w:val="21"/>
        </w:rPr>
        <w:t>资料来源：方正中期研究院，WIND</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2"/>
        <w:rPr>
          <w:rFonts w:ascii="新宋体" w:eastAsia="新宋体" w:hAnsi="新宋体"/>
          <w:b/>
          <w:sz w:val="21"/>
          <w:szCs w:val="21"/>
        </w:rPr>
      </w:pPr>
      <w:r w:rsidRPr="00703A3B">
        <w:rPr>
          <w:rFonts w:ascii="新宋体" w:eastAsia="新宋体" w:hAnsi="新宋体" w:hint="eastAsia"/>
          <w:b/>
          <w:sz w:val="21"/>
          <w:szCs w:val="21"/>
        </w:rPr>
        <w:t>5、10月海运市场全面回暖，</w:t>
      </w:r>
      <w:r w:rsidRPr="00703A3B">
        <w:rPr>
          <w:rFonts w:ascii="新宋体" w:eastAsia="新宋体" w:hAnsi="新宋体"/>
          <w:b/>
          <w:sz w:val="21"/>
          <w:szCs w:val="21"/>
        </w:rPr>
        <w:t xml:space="preserve"> BDI指数</w:t>
      </w:r>
      <w:r w:rsidRPr="00703A3B">
        <w:rPr>
          <w:rFonts w:ascii="新宋体" w:eastAsia="新宋体" w:hAnsi="新宋体" w:hint="eastAsia"/>
          <w:b/>
          <w:sz w:val="21"/>
          <w:szCs w:val="21"/>
        </w:rPr>
        <w:t>涨幅达44.45</w:t>
      </w:r>
      <w:r w:rsidRPr="00703A3B">
        <w:rPr>
          <w:rFonts w:ascii="新宋体" w:eastAsia="新宋体" w:hAnsi="新宋体"/>
          <w:b/>
          <w:sz w:val="21"/>
          <w:szCs w:val="21"/>
        </w:rPr>
        <w:t>%</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10月海运市场整体大幅上扬，10月30日</w:t>
      </w:r>
      <w:hyperlink r:id="rId35" w:tgtFrame="_blank" w:history="1">
        <w:r w:rsidRPr="00703A3B">
          <w:rPr>
            <w:rFonts w:ascii="新宋体" w:eastAsia="新宋体" w:hAnsi="新宋体" w:hint="eastAsia"/>
            <w:sz w:val="21"/>
            <w:szCs w:val="21"/>
          </w:rPr>
          <w:t>BDI</w:t>
        </w:r>
      </w:hyperlink>
      <w:r w:rsidRPr="00703A3B">
        <w:rPr>
          <w:rFonts w:ascii="新宋体" w:eastAsia="新宋体" w:hAnsi="新宋体" w:hint="eastAsia"/>
          <w:sz w:val="21"/>
          <w:szCs w:val="21"/>
        </w:rPr>
        <w:t>指数报收于1424点，环比9月低上涨469点，涨幅达44.45%。海峡型船市场整月延续强劲上升势头，在巴西和西澳大利亚大量的铁矿石运输</w:t>
      </w:r>
      <w:hyperlink r:id="rId36" w:tgtFrame="_blank" w:history="1">
        <w:r w:rsidRPr="00703A3B">
          <w:rPr>
            <w:rFonts w:ascii="新宋体" w:eastAsia="新宋体" w:hAnsi="新宋体" w:hint="eastAsia"/>
            <w:sz w:val="21"/>
            <w:szCs w:val="21"/>
          </w:rPr>
          <w:t>需求</w:t>
        </w:r>
      </w:hyperlink>
      <w:r w:rsidRPr="00703A3B">
        <w:rPr>
          <w:rFonts w:ascii="新宋体" w:eastAsia="新宋体" w:hAnsi="新宋体" w:hint="eastAsia"/>
          <w:sz w:val="21"/>
          <w:szCs w:val="21"/>
        </w:rPr>
        <w:t>的带动下，虽然有相当多的运力奔赴巴西和澳大利亚，但现场的可用船只数量却在急剧减少，市场运价高</w:t>
      </w:r>
      <w:proofErr w:type="gramStart"/>
      <w:r w:rsidRPr="00703A3B">
        <w:rPr>
          <w:rFonts w:ascii="新宋体" w:eastAsia="新宋体" w:hAnsi="新宋体" w:hint="eastAsia"/>
          <w:sz w:val="21"/>
          <w:szCs w:val="21"/>
        </w:rPr>
        <w:t>企</w:t>
      </w:r>
      <w:proofErr w:type="gramEnd"/>
      <w:r w:rsidRPr="00703A3B">
        <w:rPr>
          <w:rFonts w:ascii="新宋体" w:eastAsia="新宋体" w:hAnsi="新宋体" w:hint="eastAsia"/>
          <w:sz w:val="21"/>
          <w:szCs w:val="21"/>
        </w:rPr>
        <w:t>。10月底BCI指数报收于3534点，环比上月上涨1681点，涨幅达90.7%。截至10月30日，巴西至青岛港海运费报收于25.940美元/吨，</w:t>
      </w:r>
      <w:proofErr w:type="gramStart"/>
      <w:r w:rsidRPr="00703A3B">
        <w:rPr>
          <w:rFonts w:ascii="新宋体" w:eastAsia="新宋体" w:hAnsi="新宋体" w:hint="eastAsia"/>
          <w:sz w:val="21"/>
          <w:szCs w:val="21"/>
        </w:rPr>
        <w:t>环比涨</w:t>
      </w:r>
      <w:proofErr w:type="gramEnd"/>
      <w:r w:rsidRPr="00703A3B">
        <w:rPr>
          <w:rFonts w:ascii="新宋体" w:eastAsia="新宋体" w:hAnsi="新宋体" w:hint="eastAsia"/>
          <w:sz w:val="21"/>
          <w:szCs w:val="21"/>
        </w:rPr>
        <w:t>6.595美元/吨；西澳至青岛港海运费报收于9.786美元/吨，</w:t>
      </w:r>
      <w:proofErr w:type="gramStart"/>
      <w:r w:rsidRPr="00703A3B">
        <w:rPr>
          <w:rFonts w:ascii="新宋体" w:eastAsia="新宋体" w:hAnsi="新宋体" w:hint="eastAsia"/>
          <w:sz w:val="21"/>
          <w:szCs w:val="21"/>
        </w:rPr>
        <w:t>环比涨</w:t>
      </w:r>
      <w:proofErr w:type="gramEnd"/>
      <w:r w:rsidRPr="00703A3B">
        <w:rPr>
          <w:rFonts w:ascii="新宋体" w:eastAsia="新宋体" w:hAnsi="新宋体" w:hint="eastAsia"/>
          <w:sz w:val="21"/>
          <w:szCs w:val="21"/>
        </w:rPr>
        <w:t>1.709美元/吨。巴拿马型</w:t>
      </w:r>
      <w:hyperlink r:id="rId37" w:tgtFrame="_blank" w:history="1">
        <w:r w:rsidRPr="00703A3B">
          <w:rPr>
            <w:rFonts w:ascii="新宋体" w:eastAsia="新宋体" w:hAnsi="新宋体" w:hint="eastAsia"/>
            <w:sz w:val="21"/>
            <w:szCs w:val="21"/>
          </w:rPr>
          <w:t>散货船</w:t>
        </w:r>
      </w:hyperlink>
      <w:r w:rsidRPr="00703A3B">
        <w:rPr>
          <w:rFonts w:ascii="新宋体" w:eastAsia="新宋体" w:hAnsi="新宋体" w:hint="eastAsia"/>
          <w:sz w:val="21"/>
          <w:szCs w:val="21"/>
        </w:rPr>
        <w:t>市场在全球范围内预计都会延续当前上涨的趋势。不管是到达欧洲的跨大西洋航线还是抵达印尼的太平洋环线，都有大量的煤炭运输需求，而来自美国西海岸的源源不断的谷物</w:t>
      </w:r>
      <w:hyperlink r:id="rId38" w:tgtFrame="_blank" w:history="1">
        <w:r w:rsidRPr="00703A3B">
          <w:rPr>
            <w:rFonts w:ascii="新宋体" w:eastAsia="新宋体" w:hAnsi="新宋体" w:hint="eastAsia"/>
            <w:sz w:val="21"/>
            <w:szCs w:val="21"/>
          </w:rPr>
          <w:t>出口</w:t>
        </w:r>
      </w:hyperlink>
      <w:r w:rsidRPr="00703A3B">
        <w:rPr>
          <w:rFonts w:ascii="新宋体" w:eastAsia="新宋体" w:hAnsi="新宋体" w:hint="eastAsia"/>
          <w:sz w:val="21"/>
          <w:szCs w:val="21"/>
        </w:rPr>
        <w:t>，也在不断的推升美洲湾地区巴拿马型散货船的运价，现在BPI指数报收于1222点，环比上月上涨379点。灵便型散货船大西洋往返航线运价月环比小幅上涨，灵便型散货船即期租船市场冷清，市场运价不高，现在BSI指数报收于891点，环比上月下降154点。</w:t>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lastRenderedPageBreak/>
        <w:t>图20：</w:t>
      </w:r>
      <w:r w:rsidRPr="00703A3B">
        <w:rPr>
          <w:rFonts w:ascii="新宋体" w:eastAsia="新宋体" w:hAnsi="新宋体"/>
          <w:sz w:val="21"/>
          <w:szCs w:val="21"/>
        </w:rPr>
        <w:t>波罗的海干散货指数（BDI）</w:t>
      </w:r>
      <w:r w:rsidRPr="00703A3B">
        <w:rPr>
          <w:rFonts w:ascii="新宋体" w:eastAsia="新宋体" w:hAnsi="新宋体" w:hint="eastAsia"/>
          <w:sz w:val="21"/>
          <w:szCs w:val="21"/>
        </w:rPr>
        <w:t>与铁矿石价格指数走势对比</w:t>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noProof/>
          <w:sz w:val="21"/>
          <w:szCs w:val="21"/>
        </w:rPr>
        <w:drawing>
          <wp:inline distT="0" distB="0" distL="0" distR="0">
            <wp:extent cx="5092995" cy="2530549"/>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7481" cy="2532778"/>
                    </a:xfrm>
                    <a:prstGeom prst="rect">
                      <a:avLst/>
                    </a:prstGeom>
                    <a:noFill/>
                  </pic:spPr>
                </pic:pic>
              </a:graphicData>
            </a:graphic>
          </wp:inline>
        </w:drawing>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t>资料来源：方正中期研究院，WIND</w:t>
      </w:r>
    </w:p>
    <w:p w:rsidR="00703A3B" w:rsidRPr="00703A3B" w:rsidRDefault="00703A3B" w:rsidP="00703A3B">
      <w:pPr>
        <w:shd w:val="clear" w:color="auto" w:fill="FFFFFF"/>
        <w:spacing w:before="180" w:after="180" w:line="375" w:lineRule="atLeast"/>
        <w:rPr>
          <w:rFonts w:ascii="新宋体" w:eastAsia="新宋体" w:hAnsi="新宋体"/>
          <w:b/>
          <w:sz w:val="21"/>
          <w:szCs w:val="21"/>
        </w:rPr>
      </w:pPr>
      <w:r w:rsidRPr="00703A3B">
        <w:rPr>
          <w:rFonts w:ascii="新宋体" w:eastAsia="新宋体" w:hAnsi="新宋体" w:hint="eastAsia"/>
          <w:b/>
          <w:sz w:val="21"/>
          <w:szCs w:val="21"/>
        </w:rPr>
        <w:t>（三</w:t>
      </w:r>
      <w:r w:rsidRPr="00703A3B">
        <w:rPr>
          <w:rFonts w:ascii="新宋体" w:eastAsia="新宋体" w:hAnsi="新宋体"/>
          <w:b/>
          <w:sz w:val="21"/>
          <w:szCs w:val="21"/>
        </w:rPr>
        <w:t>）</w:t>
      </w:r>
      <w:r w:rsidRPr="00703A3B">
        <w:rPr>
          <w:rFonts w:ascii="新宋体" w:eastAsia="新宋体" w:hAnsi="新宋体" w:hint="eastAsia"/>
          <w:b/>
          <w:sz w:val="21"/>
          <w:szCs w:val="21"/>
        </w:rPr>
        <w:t>钢铁</w:t>
      </w:r>
      <w:r w:rsidRPr="00703A3B">
        <w:rPr>
          <w:rFonts w:ascii="新宋体" w:eastAsia="新宋体" w:hAnsi="新宋体"/>
          <w:b/>
          <w:sz w:val="21"/>
          <w:szCs w:val="21"/>
        </w:rPr>
        <w:t>下游需求大幅下滑</w:t>
      </w:r>
      <w:proofErr w:type="gramStart"/>
      <w:r w:rsidRPr="00703A3B">
        <w:rPr>
          <w:rFonts w:ascii="新宋体" w:eastAsia="新宋体" w:hAnsi="新宋体"/>
          <w:b/>
          <w:sz w:val="21"/>
          <w:szCs w:val="21"/>
        </w:rPr>
        <w:t>为</w:t>
      </w:r>
      <w:r w:rsidRPr="00703A3B">
        <w:rPr>
          <w:rFonts w:ascii="新宋体" w:eastAsia="新宋体" w:hAnsi="新宋体" w:hint="eastAsia"/>
          <w:b/>
          <w:sz w:val="21"/>
          <w:szCs w:val="21"/>
        </w:rPr>
        <w:t>矿价</w:t>
      </w:r>
      <w:r w:rsidRPr="00703A3B">
        <w:rPr>
          <w:rFonts w:ascii="新宋体" w:eastAsia="新宋体" w:hAnsi="新宋体"/>
          <w:b/>
          <w:sz w:val="21"/>
          <w:szCs w:val="21"/>
        </w:rPr>
        <w:t>下跌</w:t>
      </w:r>
      <w:proofErr w:type="gramEnd"/>
      <w:r w:rsidRPr="00703A3B">
        <w:rPr>
          <w:rFonts w:ascii="新宋体" w:eastAsia="新宋体" w:hAnsi="新宋体"/>
          <w:b/>
          <w:sz w:val="21"/>
          <w:szCs w:val="21"/>
        </w:rPr>
        <w:t>主因</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sz w:val="21"/>
          <w:szCs w:val="21"/>
        </w:rPr>
        <w:t>由于铁矿石唯一的用途几乎是用来炼铁，因此钢铁生产直接决定了铁矿石的需求。钢材的需求通过下游行业的需求来确定。因此，讨论铁矿石未来的需求需要从终端市场来分析。</w:t>
      </w:r>
      <w:r w:rsidRPr="00703A3B">
        <w:rPr>
          <w:rFonts w:ascii="新宋体" w:eastAsia="新宋体" w:hAnsi="新宋体" w:hint="eastAsia"/>
          <w:sz w:val="21"/>
          <w:szCs w:val="21"/>
        </w:rPr>
        <w:t>之前的报告中我们对粗钢对铁矿石的需求增速已经做了详细说明，在此不再累赘。</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sz w:val="21"/>
          <w:szCs w:val="21"/>
        </w:rPr>
        <w:t>9月全国</w:t>
      </w:r>
      <w:hyperlink r:id="rId40" w:tgtFrame="_blank" w:history="1">
        <w:r w:rsidRPr="00703A3B">
          <w:rPr>
            <w:rFonts w:ascii="新宋体" w:eastAsia="新宋体" w:hAnsi="新宋体"/>
          </w:rPr>
          <w:t>粗钢</w:t>
        </w:r>
      </w:hyperlink>
      <w:proofErr w:type="gramStart"/>
      <w:r w:rsidRPr="00703A3B">
        <w:rPr>
          <w:rFonts w:ascii="新宋体" w:eastAsia="新宋体" w:hAnsi="新宋体"/>
          <w:sz w:val="21"/>
          <w:szCs w:val="21"/>
        </w:rPr>
        <w:t>日均产量</w:t>
      </w:r>
      <w:proofErr w:type="gramEnd"/>
      <w:r w:rsidRPr="00703A3B">
        <w:rPr>
          <w:rFonts w:ascii="新宋体" w:eastAsia="新宋体" w:hAnsi="新宋体"/>
          <w:sz w:val="21"/>
          <w:szCs w:val="21"/>
        </w:rPr>
        <w:t>225.13万吨，较上月略增1.3%，持续两月攀升。在</w:t>
      </w:r>
      <w:proofErr w:type="gramStart"/>
      <w:r w:rsidRPr="00703A3B">
        <w:rPr>
          <w:rFonts w:ascii="新宋体" w:eastAsia="新宋体" w:hAnsi="新宋体"/>
          <w:sz w:val="21"/>
          <w:szCs w:val="21"/>
        </w:rPr>
        <w:t>国内钢市</w:t>
      </w:r>
      <w:proofErr w:type="gramEnd"/>
      <w:r w:rsidRPr="00703A3B">
        <w:rPr>
          <w:rFonts w:ascii="新宋体" w:eastAsia="新宋体" w:hAnsi="新宋体" w:hint="eastAsia"/>
          <w:sz w:val="21"/>
          <w:szCs w:val="21"/>
        </w:rPr>
        <w:fldChar w:fldCharType="begin"/>
      </w:r>
      <w:r w:rsidRPr="00703A3B">
        <w:rPr>
          <w:rFonts w:ascii="新宋体" w:eastAsia="新宋体" w:hAnsi="新宋体" w:hint="eastAsia"/>
          <w:sz w:val="21"/>
          <w:szCs w:val="21"/>
        </w:rPr>
        <w:instrText xml:space="preserve"> HYPERLINK "http://baike.sososteel.com/doc/view/68916.html" \t "_blank" </w:instrText>
      </w:r>
      <w:r w:rsidRPr="00703A3B">
        <w:rPr>
          <w:rFonts w:ascii="新宋体" w:eastAsia="新宋体" w:hAnsi="新宋体" w:hint="eastAsia"/>
          <w:sz w:val="21"/>
          <w:szCs w:val="21"/>
        </w:rPr>
        <w:fldChar w:fldCharType="separate"/>
      </w:r>
      <w:r w:rsidRPr="00703A3B">
        <w:rPr>
          <w:rFonts w:ascii="新宋体" w:eastAsia="新宋体" w:hAnsi="新宋体"/>
        </w:rPr>
        <w:t>需求</w:t>
      </w:r>
      <w:r w:rsidRPr="00703A3B">
        <w:rPr>
          <w:rFonts w:ascii="新宋体" w:eastAsia="新宋体" w:hAnsi="新宋体" w:hint="eastAsia"/>
          <w:sz w:val="21"/>
          <w:szCs w:val="21"/>
        </w:rPr>
        <w:fldChar w:fldCharType="end"/>
      </w:r>
      <w:r w:rsidRPr="00703A3B">
        <w:rPr>
          <w:rFonts w:ascii="新宋体" w:eastAsia="新宋体" w:hAnsi="新宋体"/>
          <w:sz w:val="21"/>
          <w:szCs w:val="21"/>
        </w:rPr>
        <w:t>进一步萎缩的情况下，钢铁行业</w:t>
      </w:r>
      <w:hyperlink r:id="rId41" w:tgtFrame="_blank" w:history="1">
        <w:r w:rsidRPr="00703A3B">
          <w:rPr>
            <w:rFonts w:ascii="新宋体" w:eastAsia="新宋体" w:hAnsi="新宋体"/>
          </w:rPr>
          <w:t>供给</w:t>
        </w:r>
      </w:hyperlink>
      <w:r w:rsidRPr="00703A3B">
        <w:rPr>
          <w:rFonts w:ascii="新宋体" w:eastAsia="新宋体" w:hAnsi="新宋体"/>
          <w:sz w:val="21"/>
          <w:szCs w:val="21"/>
        </w:rPr>
        <w:t>压力不减，</w:t>
      </w:r>
      <w:proofErr w:type="gramStart"/>
      <w:r w:rsidRPr="00703A3B">
        <w:rPr>
          <w:rFonts w:ascii="新宋体" w:eastAsia="新宋体" w:hAnsi="新宋体"/>
          <w:sz w:val="21"/>
          <w:szCs w:val="21"/>
        </w:rPr>
        <w:t>钢企</w:t>
      </w:r>
      <w:proofErr w:type="gramEnd"/>
      <w:r w:rsidRPr="00703A3B">
        <w:rPr>
          <w:rFonts w:ascii="新宋体" w:eastAsia="新宋体" w:hAnsi="新宋体" w:hint="eastAsia"/>
          <w:sz w:val="21"/>
          <w:szCs w:val="21"/>
        </w:rPr>
        <w:fldChar w:fldCharType="begin"/>
      </w:r>
      <w:r w:rsidRPr="00703A3B">
        <w:rPr>
          <w:rFonts w:ascii="新宋体" w:eastAsia="新宋体" w:hAnsi="新宋体" w:hint="eastAsia"/>
          <w:sz w:val="21"/>
          <w:szCs w:val="21"/>
        </w:rPr>
        <w:instrText xml:space="preserve"> HYPERLINK "http://baike.sososteel.com/doc/view/43798.html" \t "_blank" </w:instrText>
      </w:r>
      <w:r w:rsidRPr="00703A3B">
        <w:rPr>
          <w:rFonts w:ascii="新宋体" w:eastAsia="新宋体" w:hAnsi="新宋体" w:hint="eastAsia"/>
          <w:sz w:val="21"/>
          <w:szCs w:val="21"/>
        </w:rPr>
        <w:fldChar w:fldCharType="separate"/>
      </w:r>
      <w:r w:rsidRPr="00703A3B">
        <w:rPr>
          <w:rFonts w:ascii="新宋体" w:eastAsia="新宋体" w:hAnsi="新宋体"/>
        </w:rPr>
        <w:t>库存</w:t>
      </w:r>
      <w:r w:rsidRPr="00703A3B">
        <w:rPr>
          <w:rFonts w:ascii="新宋体" w:eastAsia="新宋体" w:hAnsi="新宋体" w:hint="eastAsia"/>
          <w:sz w:val="21"/>
          <w:szCs w:val="21"/>
        </w:rPr>
        <w:fldChar w:fldCharType="end"/>
      </w:r>
      <w:r w:rsidRPr="00703A3B">
        <w:rPr>
          <w:rFonts w:ascii="新宋体" w:eastAsia="新宋体" w:hAnsi="新宋体"/>
          <w:sz w:val="21"/>
          <w:szCs w:val="21"/>
        </w:rPr>
        <w:t>逐步攀升，导致</w:t>
      </w:r>
      <w:proofErr w:type="gramStart"/>
      <w:r w:rsidRPr="00703A3B">
        <w:rPr>
          <w:rFonts w:ascii="新宋体" w:eastAsia="新宋体" w:hAnsi="新宋体"/>
          <w:sz w:val="21"/>
          <w:szCs w:val="21"/>
        </w:rPr>
        <w:t>9月钢市供需</w:t>
      </w:r>
      <w:proofErr w:type="gramEnd"/>
      <w:r w:rsidRPr="00703A3B">
        <w:rPr>
          <w:rFonts w:ascii="新宋体" w:eastAsia="新宋体" w:hAnsi="新宋体"/>
          <w:sz w:val="21"/>
          <w:szCs w:val="21"/>
        </w:rPr>
        <w:t>矛盾加剧，钢价加速下跌。不过，随着天气降温以及APEC会议召开，华北地区钢厂将加大检修减产力度，预计10月下旬至11月上旬减产300-440万吨钢铁产量，缓解</w:t>
      </w:r>
      <w:proofErr w:type="gramStart"/>
      <w:r w:rsidRPr="00703A3B">
        <w:rPr>
          <w:rFonts w:ascii="新宋体" w:eastAsia="新宋体" w:hAnsi="新宋体"/>
          <w:sz w:val="21"/>
          <w:szCs w:val="21"/>
        </w:rPr>
        <w:t>钢市供给</w:t>
      </w:r>
      <w:proofErr w:type="gramEnd"/>
      <w:r w:rsidRPr="00703A3B">
        <w:rPr>
          <w:rFonts w:ascii="新宋体" w:eastAsia="新宋体" w:hAnsi="新宋体"/>
          <w:sz w:val="21"/>
          <w:szCs w:val="21"/>
        </w:rPr>
        <w:t>压力。据</w:t>
      </w:r>
      <w:hyperlink r:id="rId42" w:tgtFrame="_blank" w:history="1">
        <w:r w:rsidRPr="00703A3B">
          <w:rPr>
            <w:rFonts w:ascii="新宋体" w:eastAsia="新宋体" w:hAnsi="新宋体"/>
          </w:rPr>
          <w:t>中钢</w:t>
        </w:r>
      </w:hyperlink>
      <w:proofErr w:type="gramStart"/>
      <w:r w:rsidRPr="00703A3B">
        <w:rPr>
          <w:rFonts w:ascii="新宋体" w:eastAsia="新宋体" w:hAnsi="新宋体"/>
          <w:sz w:val="21"/>
          <w:szCs w:val="21"/>
        </w:rPr>
        <w:t>协最新</w:t>
      </w:r>
      <w:proofErr w:type="gramEnd"/>
      <w:r w:rsidRPr="00703A3B">
        <w:rPr>
          <w:rFonts w:ascii="新宋体" w:eastAsia="新宋体" w:hAnsi="新宋体"/>
          <w:sz w:val="21"/>
          <w:szCs w:val="21"/>
        </w:rPr>
        <w:t>数据，10月上、中旬重点</w:t>
      </w:r>
      <w:proofErr w:type="gramStart"/>
      <w:r w:rsidRPr="00703A3B">
        <w:rPr>
          <w:rFonts w:ascii="新宋体" w:eastAsia="新宋体" w:hAnsi="新宋体"/>
          <w:sz w:val="21"/>
          <w:szCs w:val="21"/>
        </w:rPr>
        <w:t>钢企粗钢日均</w:t>
      </w:r>
      <w:proofErr w:type="gramEnd"/>
      <w:r w:rsidRPr="00703A3B">
        <w:rPr>
          <w:rFonts w:ascii="新宋体" w:eastAsia="新宋体" w:hAnsi="新宋体"/>
          <w:sz w:val="21"/>
          <w:szCs w:val="21"/>
        </w:rPr>
        <w:t>产量分别为180万吨、176.3万吨，产量虽有下降趋势，不过降幅有限。由于终端需求疲弱及假期因素，10月上旬</w:t>
      </w:r>
      <w:proofErr w:type="gramStart"/>
      <w:r w:rsidRPr="00703A3B">
        <w:rPr>
          <w:rFonts w:ascii="新宋体" w:eastAsia="新宋体" w:hAnsi="新宋体"/>
          <w:sz w:val="21"/>
          <w:szCs w:val="21"/>
        </w:rPr>
        <w:t>末重点钢企产</w:t>
      </w:r>
      <w:proofErr w:type="gramEnd"/>
      <w:r w:rsidRPr="00703A3B">
        <w:rPr>
          <w:rFonts w:ascii="新宋体" w:eastAsia="新宋体" w:hAnsi="新宋体"/>
          <w:sz w:val="21"/>
          <w:szCs w:val="21"/>
        </w:rPr>
        <w:t>成品</w:t>
      </w:r>
      <w:proofErr w:type="gramStart"/>
      <w:r w:rsidRPr="00703A3B">
        <w:rPr>
          <w:rFonts w:ascii="新宋体" w:eastAsia="新宋体" w:hAnsi="新宋体"/>
          <w:sz w:val="21"/>
          <w:szCs w:val="21"/>
        </w:rPr>
        <w:t>库存旬环比</w:t>
      </w:r>
      <w:proofErr w:type="gramEnd"/>
      <w:r w:rsidRPr="00703A3B">
        <w:rPr>
          <w:rFonts w:ascii="新宋体" w:eastAsia="新宋体" w:hAnsi="新宋体"/>
          <w:sz w:val="21"/>
          <w:szCs w:val="21"/>
        </w:rPr>
        <w:t>上涨5.2%。即使</w:t>
      </w:r>
      <w:proofErr w:type="gramStart"/>
      <w:r w:rsidRPr="00703A3B">
        <w:rPr>
          <w:rFonts w:ascii="新宋体" w:eastAsia="新宋体" w:hAnsi="新宋体"/>
          <w:sz w:val="21"/>
          <w:szCs w:val="21"/>
        </w:rPr>
        <w:t>节后钢市迎来</w:t>
      </w:r>
      <w:proofErr w:type="gramEnd"/>
      <w:r w:rsidRPr="00703A3B">
        <w:rPr>
          <w:rFonts w:ascii="新宋体" w:eastAsia="新宋体" w:hAnsi="新宋体"/>
          <w:sz w:val="21"/>
          <w:szCs w:val="21"/>
        </w:rPr>
        <w:t>一波短暂反弹，仍</w:t>
      </w:r>
      <w:proofErr w:type="gramStart"/>
      <w:r w:rsidRPr="00703A3B">
        <w:rPr>
          <w:rFonts w:ascii="新宋体" w:eastAsia="新宋体" w:hAnsi="新宋体"/>
          <w:sz w:val="21"/>
          <w:szCs w:val="21"/>
        </w:rPr>
        <w:t>无助钢企减缓</w:t>
      </w:r>
      <w:proofErr w:type="gramEnd"/>
      <w:r w:rsidRPr="00703A3B">
        <w:rPr>
          <w:rFonts w:ascii="新宋体" w:eastAsia="新宋体" w:hAnsi="新宋体"/>
          <w:sz w:val="21"/>
          <w:szCs w:val="21"/>
        </w:rPr>
        <w:t>库存压力，10月中旬</w:t>
      </w:r>
      <w:proofErr w:type="gramStart"/>
      <w:r w:rsidRPr="00703A3B">
        <w:rPr>
          <w:rFonts w:ascii="新宋体" w:eastAsia="新宋体" w:hAnsi="新宋体"/>
          <w:sz w:val="21"/>
          <w:szCs w:val="21"/>
        </w:rPr>
        <w:t>末重点钢企</w:t>
      </w:r>
      <w:proofErr w:type="gramEnd"/>
      <w:r w:rsidRPr="00703A3B">
        <w:rPr>
          <w:rFonts w:ascii="新宋体" w:eastAsia="新宋体" w:hAnsi="新宋体"/>
          <w:sz w:val="21"/>
          <w:szCs w:val="21"/>
        </w:rPr>
        <w:t>库存1565.63万吨，</w:t>
      </w:r>
      <w:proofErr w:type="gramStart"/>
      <w:r w:rsidRPr="00703A3B">
        <w:rPr>
          <w:rFonts w:ascii="新宋体" w:eastAsia="新宋体" w:hAnsi="新宋体"/>
          <w:sz w:val="21"/>
          <w:szCs w:val="21"/>
        </w:rPr>
        <w:t>旬环比</w:t>
      </w:r>
      <w:proofErr w:type="gramEnd"/>
      <w:r w:rsidRPr="00703A3B">
        <w:rPr>
          <w:rFonts w:ascii="新宋体" w:eastAsia="新宋体" w:hAnsi="新宋体"/>
          <w:sz w:val="21"/>
          <w:szCs w:val="21"/>
        </w:rPr>
        <w:t>微降0.2%。总体来看，</w:t>
      </w:r>
      <w:proofErr w:type="gramStart"/>
      <w:r w:rsidRPr="00703A3B">
        <w:rPr>
          <w:rFonts w:ascii="新宋体" w:eastAsia="新宋体" w:hAnsi="新宋体"/>
          <w:sz w:val="21"/>
          <w:szCs w:val="21"/>
        </w:rPr>
        <w:t>今年下半年钢企库存</w:t>
      </w:r>
      <w:proofErr w:type="gramEnd"/>
      <w:r w:rsidRPr="00703A3B">
        <w:rPr>
          <w:rFonts w:ascii="新宋体" w:eastAsia="新宋体" w:hAnsi="新宋体"/>
          <w:sz w:val="21"/>
          <w:szCs w:val="21"/>
        </w:rPr>
        <w:t>逐步攀升，迫使企业加大供给端收缩力度。同时，随着气温下降、APEC会议的召开，</w:t>
      </w:r>
      <w:proofErr w:type="gramStart"/>
      <w:r w:rsidRPr="00703A3B">
        <w:rPr>
          <w:rFonts w:ascii="新宋体" w:eastAsia="新宋体" w:hAnsi="新宋体"/>
          <w:sz w:val="21"/>
          <w:szCs w:val="21"/>
        </w:rPr>
        <w:t>钢企将</w:t>
      </w:r>
      <w:proofErr w:type="gramEnd"/>
      <w:r w:rsidRPr="00703A3B">
        <w:rPr>
          <w:rFonts w:ascii="新宋体" w:eastAsia="新宋体" w:hAnsi="新宋体"/>
          <w:sz w:val="21"/>
          <w:szCs w:val="21"/>
        </w:rPr>
        <w:t>进一步加大减产检修力度。不过，南方地区钢厂盈利尚可，减产积极性较低，北方地区钢厂仍将担当减产主力，后期全国</w:t>
      </w:r>
      <w:proofErr w:type="gramStart"/>
      <w:r w:rsidRPr="00703A3B">
        <w:rPr>
          <w:rFonts w:ascii="新宋体" w:eastAsia="新宋体" w:hAnsi="新宋体"/>
          <w:sz w:val="21"/>
          <w:szCs w:val="21"/>
        </w:rPr>
        <w:t>粗钢日均</w:t>
      </w:r>
      <w:proofErr w:type="gramEnd"/>
      <w:r w:rsidRPr="00703A3B">
        <w:rPr>
          <w:rFonts w:ascii="新宋体" w:eastAsia="新宋体" w:hAnsi="新宋体"/>
          <w:sz w:val="21"/>
          <w:szCs w:val="21"/>
        </w:rPr>
        <w:t>产量跌破220万吨是大概率事件。</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整体来看，虽然我国粗钢产量仍在增加，不过增速已经大幅放缓，相比矿石产量10%的增幅来讲，更是相距甚远。尤其是</w:t>
      </w:r>
      <w:r w:rsidRPr="00703A3B">
        <w:rPr>
          <w:rFonts w:ascii="新宋体" w:eastAsia="新宋体" w:hAnsi="新宋体"/>
          <w:sz w:val="21"/>
          <w:szCs w:val="21"/>
        </w:rPr>
        <w:t>房地产市场低迷、基建投资受制于地方</w:t>
      </w:r>
      <w:hyperlink r:id="rId43" w:tgtFrame="_blank" w:history="1">
        <w:r w:rsidRPr="00703A3B">
          <w:rPr>
            <w:rFonts w:ascii="新宋体" w:eastAsia="新宋体" w:hAnsi="新宋体"/>
          </w:rPr>
          <w:t>财政</w:t>
        </w:r>
      </w:hyperlink>
      <w:r w:rsidRPr="00703A3B">
        <w:rPr>
          <w:rFonts w:ascii="新宋体" w:eastAsia="新宋体" w:hAnsi="新宋体"/>
          <w:sz w:val="21"/>
          <w:szCs w:val="21"/>
        </w:rPr>
        <w:t>紧张，也拖累了工程机械、家电等相关行业，</w:t>
      </w:r>
      <w:proofErr w:type="gramStart"/>
      <w:r w:rsidRPr="00703A3B">
        <w:rPr>
          <w:rFonts w:ascii="新宋体" w:eastAsia="新宋体" w:hAnsi="新宋体"/>
          <w:sz w:val="21"/>
          <w:szCs w:val="21"/>
        </w:rPr>
        <w:t>钢市整体</w:t>
      </w:r>
      <w:proofErr w:type="gramEnd"/>
      <w:r w:rsidRPr="00703A3B">
        <w:rPr>
          <w:rFonts w:ascii="新宋体" w:eastAsia="新宋体" w:hAnsi="新宋体"/>
          <w:sz w:val="21"/>
          <w:szCs w:val="21"/>
        </w:rPr>
        <w:t>需求偏弱。节后集中采购之后，近期终端需求重归平淡。10月汇丰</w:t>
      </w:r>
      <w:hyperlink r:id="rId44" w:tgtFrame="_blank" w:history="1">
        <w:r w:rsidRPr="00703A3B">
          <w:rPr>
            <w:rFonts w:ascii="新宋体" w:eastAsia="新宋体" w:hAnsi="新宋体"/>
          </w:rPr>
          <w:t>PMI</w:t>
        </w:r>
      </w:hyperlink>
      <w:r w:rsidRPr="00703A3B">
        <w:rPr>
          <w:rFonts w:ascii="新宋体" w:eastAsia="新宋体" w:hAnsi="新宋体"/>
          <w:sz w:val="21"/>
          <w:szCs w:val="21"/>
        </w:rPr>
        <w:t>初值50.4，较上月终值（50.2）回升，但是产出、新订单和新</w:t>
      </w:r>
      <w:hyperlink r:id="rId45" w:tgtFrame="_blank" w:history="1">
        <w:r w:rsidRPr="00703A3B">
          <w:rPr>
            <w:rFonts w:ascii="新宋体" w:eastAsia="新宋体" w:hAnsi="新宋体"/>
          </w:rPr>
          <w:t>出口</w:t>
        </w:r>
      </w:hyperlink>
      <w:r w:rsidRPr="00703A3B">
        <w:rPr>
          <w:rFonts w:ascii="新宋体" w:eastAsia="新宋体" w:hAnsi="新宋体"/>
          <w:sz w:val="21"/>
          <w:szCs w:val="21"/>
        </w:rPr>
        <w:t>订单均有回落，显示需求仍未好转。为了应对房地产下行带来的压力，近期国家陆续出台了房地产新政以期改善楼市情况。但笔者认为，当前房地产新政对钢铁行业的影响力主要基于心态预期，短期对供需结构不会造成较大冲击，而政策落地发挥作用也需要时间，房地产市场如今处于供大于求的格局，当前的弱势行情就是很好的证明。</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t>图21：我国粗钢产量进入低速增长期              图22：2014年以来</w:t>
      </w:r>
      <w:proofErr w:type="gramStart"/>
      <w:r w:rsidRPr="00703A3B">
        <w:rPr>
          <w:rFonts w:ascii="新宋体" w:eastAsia="新宋体" w:hAnsi="新宋体" w:hint="eastAsia"/>
          <w:sz w:val="21"/>
          <w:szCs w:val="21"/>
        </w:rPr>
        <w:t>粗钢日均</w:t>
      </w:r>
      <w:proofErr w:type="gramEnd"/>
      <w:r w:rsidRPr="00703A3B">
        <w:rPr>
          <w:rFonts w:ascii="新宋体" w:eastAsia="新宋体" w:hAnsi="新宋体" w:hint="eastAsia"/>
          <w:sz w:val="21"/>
          <w:szCs w:val="21"/>
        </w:rPr>
        <w:t>产量持续高高位</w:t>
      </w:r>
      <w:r w:rsidRPr="00703A3B">
        <w:rPr>
          <w:rFonts w:ascii="新宋体" w:eastAsia="新宋体" w:hAnsi="新宋体"/>
          <w:noProof/>
          <w:sz w:val="21"/>
          <w:szCs w:val="21"/>
        </w:rPr>
        <w:drawing>
          <wp:inline distT="0" distB="0" distL="0" distR="0">
            <wp:extent cx="2530549" cy="2094613"/>
            <wp:effectExtent l="19050" t="0" r="3101"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2451" cy="2096187"/>
                    </a:xfrm>
                    <a:prstGeom prst="rect">
                      <a:avLst/>
                    </a:prstGeom>
                    <a:noFill/>
                  </pic:spPr>
                </pic:pic>
              </a:graphicData>
            </a:graphic>
          </wp:inline>
        </w:drawing>
      </w:r>
      <w:r>
        <w:rPr>
          <w:rFonts w:ascii="新宋体" w:eastAsia="新宋体" w:hAnsi="新宋体" w:hint="eastAsia"/>
          <w:sz w:val="21"/>
          <w:szCs w:val="21"/>
        </w:rPr>
        <w:t xml:space="preserve">      </w:t>
      </w:r>
      <w:r w:rsidRPr="00703A3B">
        <w:rPr>
          <w:rFonts w:ascii="新宋体" w:eastAsia="新宋体" w:hAnsi="新宋体"/>
          <w:noProof/>
          <w:sz w:val="21"/>
          <w:szCs w:val="21"/>
        </w:rPr>
        <w:drawing>
          <wp:inline distT="0" distB="0" distL="0" distR="0">
            <wp:extent cx="2658139" cy="2094614"/>
            <wp:effectExtent l="19050" t="0" r="8861"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0134" cy="2096186"/>
                    </a:xfrm>
                    <a:prstGeom prst="rect">
                      <a:avLst/>
                    </a:prstGeom>
                    <a:noFill/>
                  </pic:spPr>
                </pic:pic>
              </a:graphicData>
            </a:graphic>
          </wp:inline>
        </w:drawing>
      </w:r>
    </w:p>
    <w:p w:rsidR="00703A3B" w:rsidRPr="00703A3B" w:rsidRDefault="00703A3B" w:rsidP="00703A3B">
      <w:pPr>
        <w:autoSpaceDE w:val="0"/>
        <w:autoSpaceDN w:val="0"/>
        <w:adjustRightInd w:val="0"/>
        <w:spacing w:after="0" w:line="360" w:lineRule="auto"/>
        <w:ind w:rightChars="-194" w:right="-427"/>
        <w:rPr>
          <w:rFonts w:ascii="新宋体" w:eastAsia="新宋体" w:hAnsi="新宋体"/>
          <w:sz w:val="21"/>
          <w:szCs w:val="21"/>
        </w:rPr>
      </w:pPr>
      <w:r w:rsidRPr="00703A3B">
        <w:rPr>
          <w:rFonts w:ascii="新宋体" w:eastAsia="新宋体" w:hAnsi="新宋体" w:hint="eastAsia"/>
          <w:sz w:val="21"/>
          <w:szCs w:val="21"/>
        </w:rPr>
        <w:t>资料来源：方正中期研究院，WIND，中钢协</w:t>
      </w:r>
    </w:p>
    <w:p w:rsidR="00703A3B" w:rsidRPr="00703A3B" w:rsidRDefault="00703A3B" w:rsidP="00703A3B">
      <w:pPr>
        <w:autoSpaceDE w:val="0"/>
        <w:autoSpaceDN w:val="0"/>
        <w:adjustRightInd w:val="0"/>
        <w:spacing w:after="0" w:line="360" w:lineRule="auto"/>
        <w:ind w:leftChars="-129" w:left="-284" w:rightChars="-194" w:right="-427"/>
        <w:rPr>
          <w:noProof/>
        </w:rPr>
      </w:pPr>
      <w:r w:rsidRPr="00703A3B">
        <w:rPr>
          <w:rFonts w:ascii="新宋体" w:eastAsia="新宋体" w:hAnsi="新宋体" w:hint="eastAsia"/>
          <w:sz w:val="21"/>
          <w:szCs w:val="21"/>
        </w:rPr>
        <w:t>图23：我国钢材社会库存继续保持下降               图24：重点钢厂钢材持续保持高位</w:t>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noProof/>
          <w:sz w:val="21"/>
          <w:szCs w:val="21"/>
        </w:rPr>
        <w:drawing>
          <wp:inline distT="0" distB="0" distL="0" distR="0">
            <wp:extent cx="2670987" cy="2200940"/>
            <wp:effectExtent l="1905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2992" cy="2202592"/>
                    </a:xfrm>
                    <a:prstGeom prst="rect">
                      <a:avLst/>
                    </a:prstGeom>
                    <a:noFill/>
                  </pic:spPr>
                </pic:pic>
              </a:graphicData>
            </a:graphic>
          </wp:inline>
        </w:drawing>
      </w:r>
      <w:r w:rsidRPr="00703A3B">
        <w:rPr>
          <w:rFonts w:ascii="新宋体" w:eastAsia="新宋体" w:hAnsi="新宋体"/>
          <w:noProof/>
          <w:sz w:val="21"/>
          <w:szCs w:val="21"/>
        </w:rPr>
        <w:drawing>
          <wp:inline distT="0" distB="0" distL="0" distR="0">
            <wp:extent cx="2690037" cy="2200940"/>
            <wp:effectExtent l="1905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4118" cy="2204279"/>
                    </a:xfrm>
                    <a:prstGeom prst="rect">
                      <a:avLst/>
                    </a:prstGeom>
                    <a:noFill/>
                  </pic:spPr>
                </pic:pic>
              </a:graphicData>
            </a:graphic>
          </wp:inline>
        </w:drawing>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t>资料来源：方正中期研究院，WIND</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2"/>
        <w:rPr>
          <w:rFonts w:ascii="新宋体" w:eastAsia="新宋体" w:hAnsi="新宋体"/>
          <w:b/>
          <w:sz w:val="21"/>
          <w:szCs w:val="21"/>
        </w:rPr>
      </w:pP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2"/>
        <w:rPr>
          <w:rFonts w:ascii="新宋体" w:eastAsia="新宋体" w:hAnsi="新宋体"/>
          <w:b/>
          <w:sz w:val="21"/>
          <w:szCs w:val="21"/>
        </w:rPr>
      </w:pP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2"/>
        <w:rPr>
          <w:rFonts w:ascii="新宋体" w:eastAsia="新宋体" w:hAnsi="新宋体"/>
          <w:b/>
          <w:sz w:val="21"/>
          <w:szCs w:val="21"/>
        </w:rPr>
      </w:pPr>
      <w:r w:rsidRPr="00703A3B">
        <w:rPr>
          <w:rFonts w:ascii="新宋体" w:eastAsia="新宋体" w:hAnsi="新宋体" w:hint="eastAsia"/>
          <w:b/>
          <w:sz w:val="21"/>
          <w:szCs w:val="21"/>
        </w:rPr>
        <w:lastRenderedPageBreak/>
        <w:t>（四）套利分析</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从跨月价差来看，国庆节后至10月中下旬铁矿石1501与1505跨月价差延续了9月底的扩大趋势，从9月26日的低点10扩大至10月26日的最高点46，价差扩大了近36点。我们在10月报中提示的买01卖05的跨月套利有所收益。但跨月价差在10月下旬从高点回落，预计价差缩小的趋势仍将在11月初延续。</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proofErr w:type="gramStart"/>
      <w:r w:rsidRPr="00703A3B">
        <w:rPr>
          <w:rFonts w:ascii="新宋体" w:eastAsia="新宋体" w:hAnsi="新宋体" w:hint="eastAsia"/>
          <w:sz w:val="21"/>
          <w:szCs w:val="21"/>
        </w:rPr>
        <w:t>从跨品种</w:t>
      </w:r>
      <w:proofErr w:type="gramEnd"/>
      <w:r w:rsidRPr="00703A3B">
        <w:rPr>
          <w:rFonts w:ascii="新宋体" w:eastAsia="新宋体" w:hAnsi="新宋体" w:hint="eastAsia"/>
          <w:sz w:val="21"/>
          <w:szCs w:val="21"/>
        </w:rPr>
        <w:t>套利来讲，进入10月后，螺纹钢1501/铁矿石1501比值开始大幅波动，给我们的套利操作带来难度，我们也未推荐策略。但10月15号后，两者的比值持续扩大，预期11月上旬比值扩大的趋势仍将延续，</w:t>
      </w:r>
      <w:proofErr w:type="gramStart"/>
      <w:r w:rsidRPr="00703A3B">
        <w:rPr>
          <w:rFonts w:ascii="新宋体" w:eastAsia="新宋体" w:hAnsi="新宋体" w:hint="eastAsia"/>
          <w:sz w:val="21"/>
          <w:szCs w:val="21"/>
        </w:rPr>
        <w:t>当前买螺卖矿</w:t>
      </w:r>
      <w:proofErr w:type="gramEnd"/>
      <w:r w:rsidRPr="00703A3B">
        <w:rPr>
          <w:rFonts w:ascii="新宋体" w:eastAsia="新宋体" w:hAnsi="新宋体" w:hint="eastAsia"/>
          <w:sz w:val="21"/>
          <w:szCs w:val="21"/>
        </w:rPr>
        <w:t>的套利操作可继续持有，但当前比值已达历史最高值4.85，投资者应在盘中选择高位获利了结。11月暂无套利机会推荐，但可关注买rb1505卖I1505的</w:t>
      </w:r>
      <w:proofErr w:type="gramStart"/>
      <w:r w:rsidRPr="00703A3B">
        <w:rPr>
          <w:rFonts w:ascii="新宋体" w:eastAsia="新宋体" w:hAnsi="新宋体" w:hint="eastAsia"/>
          <w:sz w:val="21"/>
          <w:szCs w:val="21"/>
        </w:rPr>
        <w:t>跨品种</w:t>
      </w:r>
      <w:proofErr w:type="gramEnd"/>
      <w:r w:rsidRPr="00703A3B">
        <w:rPr>
          <w:rFonts w:ascii="新宋体" w:eastAsia="新宋体" w:hAnsi="新宋体" w:hint="eastAsia"/>
          <w:sz w:val="21"/>
          <w:szCs w:val="21"/>
        </w:rPr>
        <w:t>套利操作，若有兴趣可持续关注我们的日常报告。</w:t>
      </w:r>
    </w:p>
    <w:p w:rsidR="00703A3B" w:rsidRPr="00703A3B" w:rsidRDefault="00703A3B" w:rsidP="00703A3B">
      <w:pPr>
        <w:autoSpaceDE w:val="0"/>
        <w:autoSpaceDN w:val="0"/>
        <w:adjustRightInd w:val="0"/>
        <w:spacing w:after="0"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图25：铁矿石1501与1505跨月价差走势</w:t>
      </w:r>
    </w:p>
    <w:p w:rsidR="00703A3B" w:rsidRPr="00703A3B" w:rsidRDefault="00703A3B" w:rsidP="00703A3B">
      <w:pPr>
        <w:autoSpaceDE w:val="0"/>
        <w:autoSpaceDN w:val="0"/>
        <w:adjustRightInd w:val="0"/>
        <w:spacing w:after="0" w:line="360" w:lineRule="auto"/>
        <w:ind w:leftChars="-129" w:left="-284" w:rightChars="-194" w:right="-427" w:firstLineChars="200" w:firstLine="440"/>
        <w:rPr>
          <w:rFonts w:ascii="新宋体" w:eastAsia="新宋体" w:hAnsi="新宋体"/>
          <w:sz w:val="21"/>
          <w:szCs w:val="21"/>
        </w:rPr>
      </w:pPr>
      <w:r w:rsidRPr="00703A3B">
        <w:rPr>
          <w:noProof/>
        </w:rPr>
        <w:drawing>
          <wp:inline distT="0" distB="0" distL="0" distR="0">
            <wp:extent cx="5071730" cy="2573079"/>
            <wp:effectExtent l="19050" t="1905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clrChange>
                        <a:clrFrom>
                          <a:srgbClr val="F5F5F5"/>
                        </a:clrFrom>
                        <a:clrTo>
                          <a:srgbClr val="F5F5F5">
                            <a:alpha val="0"/>
                          </a:srgbClr>
                        </a:clrTo>
                      </a:clrChange>
                    </a:blip>
                    <a:stretch>
                      <a:fillRect/>
                    </a:stretch>
                  </pic:blipFill>
                  <pic:spPr>
                    <a:xfrm>
                      <a:off x="0" y="0"/>
                      <a:ext cx="5079584" cy="2577064"/>
                    </a:xfrm>
                    <a:prstGeom prst="rect">
                      <a:avLst/>
                    </a:prstGeom>
                    <a:ln>
                      <a:solidFill>
                        <a:schemeClr val="bg2">
                          <a:lumMod val="75000"/>
                        </a:schemeClr>
                      </a:solidFill>
                    </a:ln>
                  </pic:spPr>
                </pic:pic>
              </a:graphicData>
            </a:graphic>
          </wp:inline>
        </w:drawing>
      </w:r>
    </w:p>
    <w:p w:rsidR="00703A3B" w:rsidRPr="00703A3B" w:rsidRDefault="00703A3B" w:rsidP="00703A3B">
      <w:pPr>
        <w:autoSpaceDE w:val="0"/>
        <w:autoSpaceDN w:val="0"/>
        <w:adjustRightInd w:val="0"/>
        <w:spacing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资料来源：方正中期研究院，文华财经</w:t>
      </w:r>
    </w:p>
    <w:p w:rsidR="00703A3B" w:rsidRPr="00703A3B" w:rsidRDefault="00703A3B" w:rsidP="00703A3B">
      <w:pPr>
        <w:autoSpaceDE w:val="0"/>
        <w:autoSpaceDN w:val="0"/>
        <w:adjustRightInd w:val="0"/>
        <w:spacing w:before="100" w:beforeAutospacing="1" w:after="0" w:line="360" w:lineRule="auto"/>
        <w:ind w:leftChars="-129" w:left="-284" w:rightChars="-194" w:right="-427" w:firstLineChars="200" w:firstLine="420"/>
        <w:rPr>
          <w:rFonts w:ascii="新宋体" w:eastAsia="新宋体" w:hAnsi="新宋体"/>
          <w:sz w:val="21"/>
          <w:szCs w:val="21"/>
        </w:rPr>
      </w:pPr>
    </w:p>
    <w:p w:rsidR="00703A3B" w:rsidRPr="00703A3B" w:rsidRDefault="00703A3B" w:rsidP="00703A3B">
      <w:pPr>
        <w:autoSpaceDE w:val="0"/>
        <w:autoSpaceDN w:val="0"/>
        <w:adjustRightInd w:val="0"/>
        <w:spacing w:before="100" w:beforeAutospacing="1" w:after="0" w:line="360" w:lineRule="auto"/>
        <w:ind w:leftChars="-129" w:left="-284" w:rightChars="-194" w:right="-427" w:firstLineChars="200" w:firstLine="420"/>
        <w:rPr>
          <w:rFonts w:ascii="新宋体" w:eastAsia="新宋体" w:hAnsi="新宋体"/>
          <w:sz w:val="21"/>
          <w:szCs w:val="21"/>
        </w:rPr>
      </w:pPr>
    </w:p>
    <w:p w:rsidR="00703A3B" w:rsidRPr="00703A3B" w:rsidRDefault="00703A3B" w:rsidP="00703A3B">
      <w:pPr>
        <w:autoSpaceDE w:val="0"/>
        <w:autoSpaceDN w:val="0"/>
        <w:adjustRightInd w:val="0"/>
        <w:spacing w:before="100" w:beforeAutospacing="1" w:after="0" w:line="360" w:lineRule="auto"/>
        <w:ind w:leftChars="-129" w:left="-284" w:rightChars="-194" w:right="-427" w:firstLineChars="200" w:firstLine="420"/>
        <w:rPr>
          <w:rFonts w:ascii="新宋体" w:eastAsia="新宋体" w:hAnsi="新宋体"/>
          <w:sz w:val="21"/>
          <w:szCs w:val="21"/>
        </w:rPr>
      </w:pPr>
    </w:p>
    <w:p w:rsidR="00703A3B" w:rsidRPr="00703A3B" w:rsidRDefault="00703A3B" w:rsidP="00703A3B">
      <w:pPr>
        <w:autoSpaceDE w:val="0"/>
        <w:autoSpaceDN w:val="0"/>
        <w:adjustRightInd w:val="0"/>
        <w:spacing w:before="100" w:beforeAutospacing="1" w:after="0" w:line="360" w:lineRule="auto"/>
        <w:ind w:leftChars="-129" w:left="-284" w:rightChars="-194" w:right="-427" w:firstLineChars="200" w:firstLine="420"/>
        <w:rPr>
          <w:rFonts w:ascii="新宋体" w:eastAsia="新宋体" w:hAnsi="新宋体"/>
          <w:sz w:val="21"/>
          <w:szCs w:val="21"/>
        </w:rPr>
      </w:pPr>
    </w:p>
    <w:p w:rsidR="00703A3B" w:rsidRPr="00703A3B" w:rsidRDefault="00703A3B" w:rsidP="00703A3B">
      <w:pPr>
        <w:autoSpaceDE w:val="0"/>
        <w:autoSpaceDN w:val="0"/>
        <w:adjustRightInd w:val="0"/>
        <w:spacing w:before="100" w:beforeAutospacing="1" w:after="0" w:line="360" w:lineRule="auto"/>
        <w:ind w:leftChars="-129" w:left="-284" w:rightChars="-194" w:right="-427" w:firstLineChars="200" w:firstLine="420"/>
        <w:rPr>
          <w:rFonts w:ascii="新宋体" w:eastAsia="新宋体" w:hAnsi="新宋体"/>
          <w:sz w:val="21"/>
          <w:szCs w:val="21"/>
        </w:rPr>
      </w:pPr>
    </w:p>
    <w:p w:rsidR="00703A3B" w:rsidRPr="00703A3B" w:rsidRDefault="00703A3B" w:rsidP="00703A3B">
      <w:pPr>
        <w:autoSpaceDE w:val="0"/>
        <w:autoSpaceDN w:val="0"/>
        <w:adjustRightInd w:val="0"/>
        <w:spacing w:before="100" w:beforeAutospacing="1" w:after="0"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图26：螺纹钢1501/铁矿石1501比值走势（6：1）</w:t>
      </w:r>
    </w:p>
    <w:p w:rsidR="00703A3B" w:rsidRPr="00703A3B" w:rsidRDefault="00703A3B" w:rsidP="00703A3B">
      <w:pPr>
        <w:spacing w:after="0" w:line="360" w:lineRule="auto"/>
        <w:ind w:firstLineChars="50" w:firstLine="110"/>
        <w:rPr>
          <w:rFonts w:ascii="新宋体" w:eastAsia="新宋体" w:hAnsi="新宋体"/>
          <w:b/>
          <w:sz w:val="28"/>
          <w:szCs w:val="28"/>
        </w:rPr>
      </w:pPr>
      <w:r w:rsidRPr="00703A3B">
        <w:rPr>
          <w:noProof/>
        </w:rPr>
        <w:drawing>
          <wp:inline distT="0" distB="0" distL="0" distR="0">
            <wp:extent cx="5103628" cy="2615609"/>
            <wp:effectExtent l="19050" t="19050" r="190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clrChange>
                        <a:clrFrom>
                          <a:srgbClr val="F5F5F5"/>
                        </a:clrFrom>
                        <a:clrTo>
                          <a:srgbClr val="F5F5F5">
                            <a:alpha val="0"/>
                          </a:srgbClr>
                        </a:clrTo>
                      </a:clrChange>
                    </a:blip>
                    <a:stretch>
                      <a:fillRect/>
                    </a:stretch>
                  </pic:blipFill>
                  <pic:spPr>
                    <a:xfrm>
                      <a:off x="0" y="0"/>
                      <a:ext cx="5113537" cy="2620687"/>
                    </a:xfrm>
                    <a:prstGeom prst="rect">
                      <a:avLst/>
                    </a:prstGeom>
                    <a:ln>
                      <a:solidFill>
                        <a:schemeClr val="bg2">
                          <a:lumMod val="75000"/>
                        </a:schemeClr>
                      </a:solidFill>
                    </a:ln>
                  </pic:spPr>
                </pic:pic>
              </a:graphicData>
            </a:graphic>
          </wp:inline>
        </w:drawing>
      </w:r>
    </w:p>
    <w:p w:rsidR="00703A3B" w:rsidRPr="00703A3B" w:rsidRDefault="00703A3B" w:rsidP="00703A3B">
      <w:pPr>
        <w:autoSpaceDE w:val="0"/>
        <w:autoSpaceDN w:val="0"/>
        <w:adjustRightInd w:val="0"/>
        <w:spacing w:after="0"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资料来源：方正中期研究院，文华财经</w:t>
      </w:r>
    </w:p>
    <w:p w:rsidR="00703A3B" w:rsidRPr="00703A3B" w:rsidRDefault="00703A3B" w:rsidP="00703A3B">
      <w:pPr>
        <w:autoSpaceDE w:val="0"/>
        <w:autoSpaceDN w:val="0"/>
        <w:adjustRightInd w:val="0"/>
        <w:spacing w:before="100" w:beforeAutospacing="1" w:after="0"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图27：螺纹钢1505/铁矿石1505比值走势（6：1）</w:t>
      </w:r>
    </w:p>
    <w:p w:rsidR="00703A3B" w:rsidRPr="00703A3B" w:rsidRDefault="00703A3B" w:rsidP="00703A3B">
      <w:pPr>
        <w:spacing w:before="100" w:beforeAutospacing="1" w:after="100" w:afterAutospacing="1" w:line="360" w:lineRule="auto"/>
        <w:ind w:firstLineChars="50" w:firstLine="110"/>
        <w:rPr>
          <w:rFonts w:ascii="新宋体" w:eastAsia="新宋体" w:hAnsi="新宋体"/>
          <w:b/>
          <w:sz w:val="28"/>
          <w:szCs w:val="28"/>
        </w:rPr>
      </w:pPr>
      <w:r w:rsidRPr="00703A3B">
        <w:rPr>
          <w:noProof/>
        </w:rPr>
        <w:drawing>
          <wp:inline distT="0" distB="0" distL="0" distR="0">
            <wp:extent cx="4996461" cy="2541182"/>
            <wp:effectExtent l="19050" t="1905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clrChange>
                        <a:clrFrom>
                          <a:srgbClr val="F5F5F5"/>
                        </a:clrFrom>
                        <a:clrTo>
                          <a:srgbClr val="F5F5F5">
                            <a:alpha val="0"/>
                          </a:srgbClr>
                        </a:clrTo>
                      </a:clrChange>
                    </a:blip>
                    <a:stretch>
                      <a:fillRect/>
                    </a:stretch>
                  </pic:blipFill>
                  <pic:spPr>
                    <a:xfrm>
                      <a:off x="0" y="0"/>
                      <a:ext cx="5052178" cy="2569519"/>
                    </a:xfrm>
                    <a:prstGeom prst="rect">
                      <a:avLst/>
                    </a:prstGeom>
                    <a:ln>
                      <a:solidFill>
                        <a:schemeClr val="bg2">
                          <a:lumMod val="75000"/>
                        </a:schemeClr>
                      </a:solidFill>
                    </a:ln>
                  </pic:spPr>
                </pic:pic>
              </a:graphicData>
            </a:graphic>
          </wp:inline>
        </w:drawing>
      </w:r>
    </w:p>
    <w:p w:rsidR="00703A3B" w:rsidRPr="00703A3B" w:rsidRDefault="00703A3B" w:rsidP="00703A3B">
      <w:pPr>
        <w:autoSpaceDE w:val="0"/>
        <w:autoSpaceDN w:val="0"/>
        <w:adjustRightInd w:val="0"/>
        <w:spacing w:after="0"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资料来源：方正中期研究院，文华财经</w:t>
      </w:r>
    </w:p>
    <w:p w:rsidR="00703A3B" w:rsidRPr="00703A3B" w:rsidRDefault="00703A3B" w:rsidP="00703A3B">
      <w:pPr>
        <w:spacing w:before="100" w:beforeAutospacing="1" w:after="100" w:afterAutospacing="1" w:line="360" w:lineRule="auto"/>
        <w:ind w:firstLineChars="50" w:firstLine="141"/>
        <w:rPr>
          <w:rFonts w:ascii="新宋体" w:eastAsia="新宋体" w:hAnsi="新宋体"/>
          <w:b/>
          <w:sz w:val="28"/>
          <w:szCs w:val="28"/>
        </w:rPr>
      </w:pPr>
      <w:r w:rsidRPr="00703A3B">
        <w:rPr>
          <w:rFonts w:ascii="新宋体" w:eastAsia="新宋体" w:hAnsi="新宋体" w:hint="eastAsia"/>
          <w:b/>
          <w:sz w:val="28"/>
          <w:szCs w:val="28"/>
        </w:rPr>
        <w:t>三、技术面分析</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hint="eastAsia"/>
          <w:sz w:val="21"/>
          <w:szCs w:val="21"/>
        </w:rPr>
        <w:t>从铁矿石期货主力合约I1505的图形走势来看，经过近一年的大幅下跌之后，在国庆节后的首个交易日触及最低点514后 ，铁矿石开始进入休整期，整个10月维持在514-557区间调整，虽然期</w:t>
      </w:r>
      <w:r w:rsidRPr="00703A3B">
        <w:rPr>
          <w:rFonts w:ascii="新宋体" w:eastAsia="新宋体" w:hAnsi="新宋体" w:hint="eastAsia"/>
          <w:sz w:val="21"/>
          <w:szCs w:val="21"/>
        </w:rPr>
        <w:lastRenderedPageBreak/>
        <w:t>间有所反弹，但在熊市面前都不值一提。接下来的11月继续维持在此区间调整的概率较大，但目前价格已经濒临震荡区间下沿，要想跌破也是轻而易举的事情，因此我们要谨防514支撑跌破后，向下空间继续打开。毕竟下跌通道保持良好，通道上沿的压力也不可小觑。当前仍处于向下寻底筑底的过程当中，大趋势仍然向下这个可以确定。</w:t>
      </w:r>
      <w:r w:rsidRPr="00703A3B">
        <w:rPr>
          <w:rFonts w:ascii="新宋体" w:eastAsia="新宋体" w:hAnsi="新宋体"/>
          <w:sz w:val="21"/>
          <w:szCs w:val="21"/>
        </w:rPr>
        <w:t>注意，笔者并没有对未来走势进行预测，只是一个概率较大走势的分析，因而可以去大胆的猜想。笔者自己也并不认为市场一定会这么走，毕竟市场分析是一个非常复杂和艰难的工作，今后也会根据实际情况修正本观点。实际操作中，切勿凭此操作，因为市场自有其运行节奏，若没有很好的心态和技术，是很难操作成功的，故一定要小心求证，</w:t>
      </w:r>
      <w:r w:rsidRPr="00703A3B">
        <w:rPr>
          <w:rFonts w:ascii="新宋体" w:eastAsia="新宋体" w:hAnsi="新宋体" w:hint="eastAsia"/>
          <w:sz w:val="21"/>
          <w:szCs w:val="21"/>
        </w:rPr>
        <w:t>当前价格正处于寻</w:t>
      </w:r>
      <w:proofErr w:type="gramStart"/>
      <w:r w:rsidRPr="00703A3B">
        <w:rPr>
          <w:rFonts w:ascii="新宋体" w:eastAsia="新宋体" w:hAnsi="新宋体" w:hint="eastAsia"/>
          <w:sz w:val="21"/>
          <w:szCs w:val="21"/>
        </w:rPr>
        <w:t>底过程</w:t>
      </w:r>
      <w:proofErr w:type="gramEnd"/>
      <w:r w:rsidRPr="00703A3B">
        <w:rPr>
          <w:rFonts w:ascii="新宋体" w:eastAsia="新宋体" w:hAnsi="新宋体" w:hint="eastAsia"/>
          <w:sz w:val="21"/>
          <w:szCs w:val="21"/>
        </w:rPr>
        <w:t>中，提醒投资者</w:t>
      </w:r>
      <w:r w:rsidRPr="00703A3B">
        <w:rPr>
          <w:rFonts w:ascii="新宋体" w:eastAsia="新宋体" w:hAnsi="新宋体"/>
          <w:sz w:val="21"/>
          <w:szCs w:val="21"/>
        </w:rPr>
        <w:t>在真实的交易中顺势而为</w:t>
      </w:r>
      <w:r w:rsidRPr="00703A3B">
        <w:rPr>
          <w:rFonts w:ascii="新宋体" w:eastAsia="新宋体" w:hAnsi="新宋体" w:hint="eastAsia"/>
          <w:sz w:val="21"/>
          <w:szCs w:val="21"/>
        </w:rPr>
        <w:t>才是王道，不要盲目抄底</w:t>
      </w:r>
      <w:r w:rsidRPr="00703A3B">
        <w:rPr>
          <w:rFonts w:ascii="新宋体" w:eastAsia="新宋体" w:hAnsi="新宋体"/>
          <w:sz w:val="21"/>
          <w:szCs w:val="21"/>
        </w:rPr>
        <w:t>。若有兴趣，后期可持续关注我们对市场分析的动态。</w:t>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noProof/>
          <w:sz w:val="21"/>
          <w:szCs w:val="21"/>
        </w:rPr>
        <w:pict>
          <v:oval id="_x0000_s1027" style="position:absolute;left:0;text-align:left;margin-left:167.65pt;margin-top:185pt;width:119.75pt;height:31.95pt;z-index:251661312" filled="f" stroked="f">
            <v:stroke dashstyle="dash"/>
            <v:textbox>
              <w:txbxContent>
                <w:p w:rsidR="00703A3B" w:rsidRDefault="00703A3B" w:rsidP="00703A3B">
                  <w:r>
                    <w:rPr>
                      <w:rFonts w:hint="eastAsia"/>
                    </w:rPr>
                    <w:t>漫漫寻底之旅</w:t>
                  </w:r>
                </w:p>
              </w:txbxContent>
            </v:textbox>
          </v:oval>
        </w:pict>
      </w:r>
      <w:r w:rsidRPr="00703A3B">
        <w:rPr>
          <w:rFonts w:ascii="新宋体" w:eastAsia="新宋体" w:hAnsi="新宋体"/>
          <w:noProof/>
          <w:sz w:val="21"/>
          <w:szCs w:val="21"/>
        </w:rPr>
        <w:pict>
          <v:oval id="_x0000_s1026" style="position:absolute;left:0;text-align:left;margin-left:372.8pt;margin-top:178.1pt;width:35.2pt;height:187.5pt;z-index:251660288" filled="f">
            <v:stroke dashstyle="dash"/>
          </v:oval>
        </w:pict>
      </w:r>
      <w:r w:rsidRPr="00703A3B">
        <w:rPr>
          <w:rFonts w:ascii="新宋体" w:eastAsia="新宋体" w:hAnsi="新宋体" w:hint="eastAsia"/>
          <w:sz w:val="21"/>
          <w:szCs w:val="21"/>
        </w:rPr>
        <w:t>图27：铁矿石期货I1505日K线技术图解</w:t>
      </w:r>
      <w:r w:rsidRPr="00703A3B">
        <w:rPr>
          <w:noProof/>
        </w:rPr>
        <w:drawing>
          <wp:inline distT="0" distB="0" distL="0" distR="0">
            <wp:extent cx="5486400" cy="4564380"/>
            <wp:effectExtent l="19050" t="1905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clrChange>
                        <a:clrFrom>
                          <a:srgbClr val="F5F5F5"/>
                        </a:clrFrom>
                        <a:clrTo>
                          <a:srgbClr val="F5F5F5">
                            <a:alpha val="0"/>
                          </a:srgbClr>
                        </a:clrTo>
                      </a:clrChange>
                    </a:blip>
                    <a:stretch>
                      <a:fillRect/>
                    </a:stretch>
                  </pic:blipFill>
                  <pic:spPr>
                    <a:xfrm>
                      <a:off x="0" y="0"/>
                      <a:ext cx="5486400" cy="4564380"/>
                    </a:xfrm>
                    <a:prstGeom prst="rect">
                      <a:avLst/>
                    </a:prstGeom>
                    <a:ln>
                      <a:solidFill>
                        <a:schemeClr val="bg2">
                          <a:lumMod val="75000"/>
                        </a:schemeClr>
                      </a:solidFill>
                    </a:ln>
                  </pic:spPr>
                </pic:pic>
              </a:graphicData>
            </a:graphic>
          </wp:inline>
        </w:drawing>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t>资料来源：方正中期研究院，文华财经</w:t>
      </w:r>
    </w:p>
    <w:p w:rsidR="00703A3B" w:rsidRPr="00703A3B" w:rsidRDefault="00703A3B" w:rsidP="00703A3B">
      <w:pPr>
        <w:autoSpaceDE w:val="0"/>
        <w:autoSpaceDN w:val="0"/>
        <w:adjustRightInd w:val="0"/>
        <w:spacing w:before="100" w:beforeAutospacing="1" w:after="0" w:line="360" w:lineRule="auto"/>
        <w:ind w:leftChars="-129" w:left="-284" w:rightChars="-194" w:right="-427"/>
        <w:rPr>
          <w:rFonts w:ascii="新宋体" w:eastAsia="新宋体" w:hAnsi="新宋体"/>
          <w:sz w:val="21"/>
          <w:szCs w:val="21"/>
        </w:rPr>
      </w:pPr>
    </w:p>
    <w:p w:rsidR="00703A3B" w:rsidRPr="00703A3B" w:rsidRDefault="00703A3B" w:rsidP="00703A3B">
      <w:pPr>
        <w:autoSpaceDE w:val="0"/>
        <w:autoSpaceDN w:val="0"/>
        <w:adjustRightInd w:val="0"/>
        <w:spacing w:before="100" w:beforeAutospacing="1" w:after="0" w:line="360" w:lineRule="auto"/>
        <w:ind w:leftChars="-129" w:left="-284" w:rightChars="-194" w:right="-427"/>
        <w:rPr>
          <w:rFonts w:ascii="新宋体" w:eastAsia="新宋体" w:hAnsi="新宋体"/>
          <w:sz w:val="21"/>
          <w:szCs w:val="21"/>
        </w:rPr>
      </w:pPr>
    </w:p>
    <w:p w:rsidR="00703A3B" w:rsidRPr="00703A3B" w:rsidRDefault="00703A3B" w:rsidP="00703A3B">
      <w:pPr>
        <w:autoSpaceDE w:val="0"/>
        <w:autoSpaceDN w:val="0"/>
        <w:adjustRightInd w:val="0"/>
        <w:spacing w:before="100" w:beforeAutospacing="1" w:after="0"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t>图28：铁矿石期货I1505周K线技术图解</w:t>
      </w:r>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bookmarkStart w:id="1" w:name="_GoBack"/>
      <w:r w:rsidRPr="00703A3B">
        <w:rPr>
          <w:noProof/>
        </w:rPr>
        <w:drawing>
          <wp:inline distT="0" distB="0" distL="0" distR="0">
            <wp:extent cx="5486400" cy="4207422"/>
            <wp:effectExtent l="19050" t="19050" r="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clrChange>
                        <a:clrFrom>
                          <a:srgbClr val="F5F5F5"/>
                        </a:clrFrom>
                        <a:clrTo>
                          <a:srgbClr val="F5F5F5">
                            <a:alpha val="0"/>
                          </a:srgbClr>
                        </a:clrTo>
                      </a:clrChange>
                    </a:blip>
                    <a:stretch>
                      <a:fillRect/>
                    </a:stretch>
                  </pic:blipFill>
                  <pic:spPr>
                    <a:xfrm>
                      <a:off x="0" y="0"/>
                      <a:ext cx="5486400" cy="4207422"/>
                    </a:xfrm>
                    <a:prstGeom prst="rect">
                      <a:avLst/>
                    </a:prstGeom>
                    <a:ln>
                      <a:solidFill>
                        <a:schemeClr val="bg2">
                          <a:lumMod val="75000"/>
                        </a:schemeClr>
                      </a:solidFill>
                    </a:ln>
                  </pic:spPr>
                </pic:pic>
              </a:graphicData>
            </a:graphic>
          </wp:inline>
        </w:drawing>
      </w:r>
      <w:bookmarkEnd w:id="1"/>
    </w:p>
    <w:p w:rsidR="00703A3B" w:rsidRPr="00703A3B" w:rsidRDefault="00703A3B" w:rsidP="00703A3B">
      <w:pPr>
        <w:autoSpaceDE w:val="0"/>
        <w:autoSpaceDN w:val="0"/>
        <w:adjustRightInd w:val="0"/>
        <w:spacing w:after="0" w:line="360" w:lineRule="auto"/>
        <w:ind w:leftChars="-129" w:left="-284" w:rightChars="-194" w:right="-427"/>
        <w:rPr>
          <w:rFonts w:ascii="新宋体" w:eastAsia="新宋体" w:hAnsi="新宋体"/>
          <w:sz w:val="21"/>
          <w:szCs w:val="21"/>
        </w:rPr>
      </w:pPr>
      <w:r w:rsidRPr="00703A3B">
        <w:rPr>
          <w:rFonts w:ascii="新宋体" w:eastAsia="新宋体" w:hAnsi="新宋体" w:hint="eastAsia"/>
          <w:sz w:val="21"/>
          <w:szCs w:val="21"/>
        </w:rPr>
        <w:t>资料来源：方正中期研究院，文华财经</w:t>
      </w:r>
    </w:p>
    <w:p w:rsidR="00703A3B" w:rsidRPr="00703A3B" w:rsidRDefault="00703A3B" w:rsidP="00703A3B">
      <w:pPr>
        <w:autoSpaceDE w:val="0"/>
        <w:autoSpaceDN w:val="0"/>
        <w:adjustRightInd w:val="0"/>
        <w:spacing w:before="100" w:beforeAutospacing="1" w:after="100" w:afterAutospacing="1" w:line="360" w:lineRule="auto"/>
        <w:ind w:rightChars="-194" w:right="-427" w:firstLineChars="100" w:firstLine="281"/>
        <w:rPr>
          <w:rFonts w:ascii="新宋体" w:eastAsia="新宋体" w:hAnsi="新宋体"/>
          <w:b/>
          <w:sz w:val="28"/>
          <w:szCs w:val="28"/>
        </w:rPr>
      </w:pPr>
      <w:r w:rsidRPr="00703A3B">
        <w:rPr>
          <w:rFonts w:ascii="新宋体" w:eastAsia="新宋体" w:hAnsi="新宋体" w:hint="eastAsia"/>
          <w:b/>
          <w:sz w:val="28"/>
          <w:szCs w:val="28"/>
        </w:rPr>
        <w:t>四、后市行情展望及操作建议</w:t>
      </w:r>
    </w:p>
    <w:p w:rsidR="00703A3B" w:rsidRPr="00703A3B" w:rsidRDefault="00703A3B" w:rsidP="00703A3B">
      <w:pPr>
        <w:autoSpaceDE w:val="0"/>
        <w:autoSpaceDN w:val="0"/>
        <w:adjustRightInd w:val="0"/>
        <w:spacing w:before="100" w:beforeAutospacing="1" w:after="100" w:afterAutospacing="1" w:line="360" w:lineRule="auto"/>
        <w:ind w:leftChars="-129" w:left="-284" w:rightChars="-194" w:right="-427" w:firstLineChars="200" w:firstLine="420"/>
        <w:rPr>
          <w:rFonts w:ascii="新宋体" w:eastAsia="新宋体" w:hAnsi="新宋体"/>
          <w:sz w:val="21"/>
          <w:szCs w:val="21"/>
        </w:rPr>
      </w:pPr>
      <w:r w:rsidRPr="00703A3B">
        <w:rPr>
          <w:rFonts w:ascii="新宋体" w:eastAsia="新宋体" w:hAnsi="新宋体"/>
          <w:sz w:val="21"/>
          <w:szCs w:val="21"/>
        </w:rPr>
        <w:t>从宏观整体经济面来看，10月份</w:t>
      </w:r>
      <w:r w:rsidRPr="00703A3B">
        <w:rPr>
          <w:rFonts w:ascii="新宋体" w:eastAsia="新宋体" w:hAnsi="新宋体" w:hint="eastAsia"/>
          <w:sz w:val="21"/>
          <w:szCs w:val="21"/>
        </w:rPr>
        <w:t>公布的一系列宏观经济数据仍不佳，10月的</w:t>
      </w:r>
      <w:hyperlink r:id="rId55" w:tgtFrame="_blank" w:history="1">
        <w:r w:rsidRPr="00703A3B">
          <w:rPr>
            <w:rFonts w:ascii="新宋体" w:eastAsia="新宋体" w:hAnsi="新宋体"/>
          </w:rPr>
          <w:t>制造业</w:t>
        </w:r>
      </w:hyperlink>
      <w:hyperlink r:id="rId56" w:tgtFrame="_blank" w:history="1">
        <w:r w:rsidRPr="00703A3B">
          <w:rPr>
            <w:rFonts w:ascii="新宋体" w:eastAsia="新宋体" w:hAnsi="新宋体"/>
          </w:rPr>
          <w:t>PMI</w:t>
        </w:r>
      </w:hyperlink>
      <w:r w:rsidRPr="00703A3B">
        <w:rPr>
          <w:rFonts w:ascii="新宋体" w:eastAsia="新宋体" w:hAnsi="新宋体"/>
          <w:sz w:val="21"/>
          <w:szCs w:val="21"/>
        </w:rPr>
        <w:t>数据依旧不理想，第四季度的头并未给予市场太多信心</w:t>
      </w:r>
      <w:r w:rsidRPr="00703A3B">
        <w:rPr>
          <w:rFonts w:ascii="新宋体" w:eastAsia="新宋体" w:hAnsi="新宋体" w:hint="eastAsia"/>
          <w:sz w:val="21"/>
          <w:szCs w:val="21"/>
        </w:rPr>
        <w:t>。</w:t>
      </w:r>
      <w:r w:rsidRPr="00703A3B">
        <w:rPr>
          <w:rFonts w:ascii="新宋体" w:eastAsia="新宋体" w:hAnsi="新宋体"/>
          <w:sz w:val="21"/>
          <w:szCs w:val="21"/>
        </w:rPr>
        <w:t>房地产虽然以</w:t>
      </w:r>
      <w:proofErr w:type="gramStart"/>
      <w:r w:rsidRPr="00703A3B">
        <w:rPr>
          <w:rFonts w:ascii="新宋体" w:eastAsia="新宋体" w:hAnsi="新宋体"/>
          <w:sz w:val="21"/>
          <w:szCs w:val="21"/>
        </w:rPr>
        <w:t>价换量</w:t>
      </w:r>
      <w:proofErr w:type="gramEnd"/>
      <w:r w:rsidRPr="00703A3B">
        <w:rPr>
          <w:rFonts w:ascii="新宋体" w:eastAsia="新宋体" w:hAnsi="新宋体"/>
          <w:sz w:val="21"/>
          <w:szCs w:val="21"/>
        </w:rPr>
        <w:t>，但是宽松政策之后的市场，需求整体尚可，后期会对整体钢铁市场有所支持</w:t>
      </w:r>
      <w:r w:rsidRPr="00703A3B">
        <w:rPr>
          <w:rFonts w:ascii="新宋体" w:eastAsia="新宋体" w:hAnsi="新宋体" w:hint="eastAsia"/>
          <w:sz w:val="21"/>
          <w:szCs w:val="21"/>
        </w:rPr>
        <w:t>，但</w:t>
      </w:r>
      <w:proofErr w:type="gramStart"/>
      <w:r w:rsidRPr="00703A3B">
        <w:rPr>
          <w:rFonts w:ascii="新宋体" w:eastAsia="新宋体" w:hAnsi="新宋体" w:hint="eastAsia"/>
          <w:sz w:val="21"/>
          <w:szCs w:val="21"/>
        </w:rPr>
        <w:t>但</w:t>
      </w:r>
      <w:proofErr w:type="gramEnd"/>
      <w:r w:rsidRPr="00703A3B">
        <w:rPr>
          <w:rFonts w:ascii="新宋体" w:eastAsia="新宋体" w:hAnsi="新宋体" w:hint="eastAsia"/>
          <w:sz w:val="21"/>
          <w:szCs w:val="21"/>
        </w:rPr>
        <w:t>房地产企业仍面临着库存高资金紧等问题，短期房地产开发投资或延续低速增长。基建投资仍受制于地方财政紧张，全国新开工项目计划投资增速还在下滑，而工业品需求复苏力度依然乏力。</w:t>
      </w:r>
      <w:r w:rsidRPr="00703A3B">
        <w:rPr>
          <w:rFonts w:ascii="新宋体" w:eastAsia="新宋体" w:hAnsi="新宋体"/>
          <w:sz w:val="21"/>
          <w:szCs w:val="21"/>
        </w:rPr>
        <w:t>然而</w:t>
      </w:r>
      <w:r w:rsidRPr="00703A3B">
        <w:rPr>
          <w:rFonts w:ascii="新宋体" w:eastAsia="新宋体" w:hAnsi="新宋体" w:hint="eastAsia"/>
          <w:sz w:val="21"/>
          <w:szCs w:val="21"/>
        </w:rPr>
        <w:t>虽然价格跌</w:t>
      </w:r>
      <w:proofErr w:type="gramStart"/>
      <w:r w:rsidRPr="00703A3B">
        <w:rPr>
          <w:rFonts w:ascii="新宋体" w:eastAsia="新宋体" w:hAnsi="新宋体" w:hint="eastAsia"/>
          <w:sz w:val="21"/>
          <w:szCs w:val="21"/>
        </w:rPr>
        <w:t>跌</w:t>
      </w:r>
      <w:proofErr w:type="gramEnd"/>
      <w:r w:rsidRPr="00703A3B">
        <w:rPr>
          <w:rFonts w:ascii="新宋体" w:eastAsia="新宋体" w:hAnsi="新宋体" w:hint="eastAsia"/>
          <w:sz w:val="21"/>
          <w:szCs w:val="21"/>
        </w:rPr>
        <w:t>不休，而国内外矿山仍在增产，铁矿石市场的</w:t>
      </w:r>
      <w:r w:rsidRPr="00703A3B">
        <w:rPr>
          <w:rFonts w:ascii="新宋体" w:eastAsia="新宋体" w:hAnsi="新宋体"/>
          <w:sz w:val="21"/>
          <w:szCs w:val="21"/>
        </w:rPr>
        <w:t>供需矛盾的问题</w:t>
      </w:r>
      <w:r w:rsidRPr="00703A3B">
        <w:rPr>
          <w:rFonts w:ascii="新宋体" w:eastAsia="新宋体" w:hAnsi="新宋体" w:hint="eastAsia"/>
          <w:sz w:val="21"/>
          <w:szCs w:val="21"/>
        </w:rPr>
        <w:t>已经明显，短期仍</w:t>
      </w:r>
      <w:r w:rsidRPr="00703A3B">
        <w:rPr>
          <w:rFonts w:ascii="新宋体" w:eastAsia="新宋体" w:hAnsi="新宋体"/>
          <w:sz w:val="21"/>
          <w:szCs w:val="21"/>
        </w:rPr>
        <w:t>无法实质解决</w:t>
      </w:r>
      <w:r w:rsidRPr="00703A3B">
        <w:rPr>
          <w:rFonts w:ascii="新宋体" w:eastAsia="新宋体" w:hAnsi="新宋体" w:hint="eastAsia"/>
          <w:sz w:val="21"/>
          <w:szCs w:val="21"/>
        </w:rPr>
        <w:t>。</w:t>
      </w:r>
      <w:r w:rsidRPr="00703A3B">
        <w:rPr>
          <w:rFonts w:ascii="新宋体" w:eastAsia="新宋体" w:hAnsi="新宋体"/>
          <w:sz w:val="21"/>
          <w:szCs w:val="21"/>
        </w:rPr>
        <w:t>现在钢厂为了防止市场下跌风险，都尽量压缩库存因此</w:t>
      </w:r>
      <w:proofErr w:type="gramStart"/>
      <w:r w:rsidRPr="00703A3B">
        <w:rPr>
          <w:rFonts w:ascii="新宋体" w:eastAsia="新宋体" w:hAnsi="新宋体"/>
          <w:sz w:val="21"/>
          <w:szCs w:val="21"/>
        </w:rPr>
        <w:t>少量低采仍旧</w:t>
      </w:r>
      <w:proofErr w:type="gramEnd"/>
      <w:r w:rsidRPr="00703A3B">
        <w:rPr>
          <w:rFonts w:ascii="新宋体" w:eastAsia="新宋体" w:hAnsi="新宋体"/>
          <w:sz w:val="21"/>
          <w:szCs w:val="21"/>
        </w:rPr>
        <w:t>为常态，</w:t>
      </w:r>
      <w:r w:rsidRPr="00703A3B">
        <w:rPr>
          <w:rFonts w:ascii="新宋体" w:eastAsia="新宋体" w:hAnsi="新宋体" w:hint="eastAsia"/>
          <w:sz w:val="21"/>
          <w:szCs w:val="21"/>
        </w:rPr>
        <w:t>加之钢铁行业整体资金紧张局面仍没有改善，</w:t>
      </w:r>
      <w:r w:rsidRPr="00703A3B">
        <w:rPr>
          <w:rFonts w:ascii="新宋体" w:eastAsia="新宋体" w:hAnsi="新宋体"/>
          <w:sz w:val="21"/>
          <w:szCs w:val="21"/>
        </w:rPr>
        <w:t>所以进口矿上涨缺乏条件</w:t>
      </w:r>
      <w:r w:rsidRPr="00703A3B">
        <w:rPr>
          <w:rFonts w:ascii="新宋体" w:eastAsia="新宋体" w:hAnsi="新宋体" w:hint="eastAsia"/>
          <w:sz w:val="21"/>
          <w:szCs w:val="21"/>
        </w:rPr>
        <w:t>，中长期来看矿石仍面临震荡调整的压力。从操作上看，建议投资者不要盲目抄底，</w:t>
      </w:r>
      <w:r w:rsidRPr="00703A3B">
        <w:rPr>
          <w:rFonts w:ascii="新宋体" w:eastAsia="新宋体" w:hAnsi="新宋体" w:hint="eastAsia"/>
          <w:sz w:val="21"/>
          <w:szCs w:val="21"/>
        </w:rPr>
        <w:lastRenderedPageBreak/>
        <w:t>短线维持514-560区间调整思路对待。在重要支撑和阻力位控制好</w:t>
      </w:r>
      <w:proofErr w:type="gramStart"/>
      <w:r w:rsidRPr="00703A3B">
        <w:rPr>
          <w:rFonts w:ascii="新宋体" w:eastAsia="新宋体" w:hAnsi="新宋体" w:hint="eastAsia"/>
          <w:sz w:val="21"/>
          <w:szCs w:val="21"/>
        </w:rPr>
        <w:t>仓位</w:t>
      </w:r>
      <w:proofErr w:type="gramEnd"/>
      <w:r w:rsidRPr="00703A3B">
        <w:rPr>
          <w:rFonts w:ascii="新宋体" w:eastAsia="新宋体" w:hAnsi="新宋体" w:hint="eastAsia"/>
          <w:sz w:val="21"/>
          <w:szCs w:val="21"/>
        </w:rPr>
        <w:t>风险，多看少动，以免在调整行情中吞噬利润，踏错节奏。一旦价格向下或向下突破，则顺势跟进。</w:t>
      </w:r>
    </w:p>
    <w:p w:rsidR="00703A3B" w:rsidRPr="00703A3B" w:rsidRDefault="00703A3B">
      <w:pPr>
        <w:spacing w:after="0" w:line="240" w:lineRule="auto"/>
        <w:rPr>
          <w:rFonts w:ascii="新宋体" w:eastAsia="新宋体" w:hAnsi="新宋体"/>
          <w:sz w:val="21"/>
          <w:szCs w:val="21"/>
        </w:rPr>
      </w:pPr>
    </w:p>
    <w:p w:rsidR="00703A3B" w:rsidRPr="00703A3B" w:rsidRDefault="00703A3B" w:rsidP="00703A3B">
      <w:pPr>
        <w:autoSpaceDE w:val="0"/>
        <w:autoSpaceDN w:val="0"/>
        <w:adjustRightInd w:val="0"/>
        <w:spacing w:before="100" w:beforeAutospacing="1" w:after="100" w:afterAutospacing="1" w:line="360" w:lineRule="auto"/>
        <w:ind w:rightChars="-50" w:right="-110" w:firstLineChars="200" w:firstLine="420"/>
        <w:rPr>
          <w:rFonts w:ascii="新宋体" w:eastAsia="新宋体" w:hAnsi="新宋体"/>
          <w:sz w:val="21"/>
          <w:szCs w:val="21"/>
        </w:rPr>
      </w:pPr>
    </w:p>
    <w:p w:rsidR="00C20E91" w:rsidRPr="00703A3B" w:rsidRDefault="00C20E91"/>
    <w:sectPr w:rsidR="00C20E91" w:rsidRPr="00703A3B" w:rsidSect="00C20E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3A3B"/>
    <w:rsid w:val="000438C2"/>
    <w:rsid w:val="0006190C"/>
    <w:rsid w:val="000E598C"/>
    <w:rsid w:val="001A2A5B"/>
    <w:rsid w:val="00237E79"/>
    <w:rsid w:val="00241301"/>
    <w:rsid w:val="00274A99"/>
    <w:rsid w:val="002B37A3"/>
    <w:rsid w:val="002C02A5"/>
    <w:rsid w:val="003443C0"/>
    <w:rsid w:val="00356BF9"/>
    <w:rsid w:val="00491CF2"/>
    <w:rsid w:val="004B314A"/>
    <w:rsid w:val="00545B8B"/>
    <w:rsid w:val="00547869"/>
    <w:rsid w:val="00564288"/>
    <w:rsid w:val="00576AF6"/>
    <w:rsid w:val="005905D3"/>
    <w:rsid w:val="00591C3F"/>
    <w:rsid w:val="005D658A"/>
    <w:rsid w:val="005F20A4"/>
    <w:rsid w:val="006F60C8"/>
    <w:rsid w:val="006F74C5"/>
    <w:rsid w:val="00703A3B"/>
    <w:rsid w:val="00706B3A"/>
    <w:rsid w:val="007D5DD3"/>
    <w:rsid w:val="007E0999"/>
    <w:rsid w:val="008853D5"/>
    <w:rsid w:val="00891990"/>
    <w:rsid w:val="008D409E"/>
    <w:rsid w:val="008F14CF"/>
    <w:rsid w:val="009221B1"/>
    <w:rsid w:val="00937DE3"/>
    <w:rsid w:val="00965F44"/>
    <w:rsid w:val="009701BE"/>
    <w:rsid w:val="009C61D0"/>
    <w:rsid w:val="00AF25F6"/>
    <w:rsid w:val="00B07FFD"/>
    <w:rsid w:val="00B439F8"/>
    <w:rsid w:val="00C20E91"/>
    <w:rsid w:val="00C35725"/>
    <w:rsid w:val="00C640C1"/>
    <w:rsid w:val="00C839DE"/>
    <w:rsid w:val="00CA305B"/>
    <w:rsid w:val="00CB7E53"/>
    <w:rsid w:val="00CC3C0A"/>
    <w:rsid w:val="00CE3AA7"/>
    <w:rsid w:val="00DF7A59"/>
    <w:rsid w:val="00E41CB7"/>
    <w:rsid w:val="00E87E3C"/>
    <w:rsid w:val="00E91C1C"/>
    <w:rsid w:val="00EA15A8"/>
    <w:rsid w:val="00ED55A0"/>
    <w:rsid w:val="00F12C2C"/>
    <w:rsid w:val="00F26FD8"/>
    <w:rsid w:val="00F30047"/>
    <w:rsid w:val="00F373B5"/>
    <w:rsid w:val="00F76EE5"/>
    <w:rsid w:val="00FA522E"/>
    <w:rsid w:val="00FB22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A3B"/>
    <w:pPr>
      <w:spacing w:after="200" w:line="276" w:lineRule="auto"/>
    </w:pPr>
    <w:rPr>
      <w:rFonts w:ascii="Calibri" w:eastAsia="宋体" w:hAnsi="Calibr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3A3B"/>
    <w:pPr>
      <w:spacing w:after="0" w:line="240" w:lineRule="auto"/>
    </w:pPr>
    <w:rPr>
      <w:sz w:val="18"/>
      <w:szCs w:val="18"/>
    </w:rPr>
  </w:style>
  <w:style w:type="character" w:customStyle="1" w:styleId="Char">
    <w:name w:val="批注框文本 Char"/>
    <w:basedOn w:val="a0"/>
    <w:link w:val="a3"/>
    <w:uiPriority w:val="99"/>
    <w:semiHidden/>
    <w:rsid w:val="00703A3B"/>
    <w:rPr>
      <w:rFonts w:ascii="Calibri" w:eastAsia="宋体" w:hAnsi="Calibri"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baike.sososteel.com/doc/view/43798.html" TargetMode="External"/><Relationship Id="rId39" Type="http://schemas.openxmlformats.org/officeDocument/2006/relationships/image" Target="media/image20.png"/><Relationship Id="rId21" Type="http://schemas.openxmlformats.org/officeDocument/2006/relationships/image" Target="media/image11.png"/><Relationship Id="rId34" Type="http://schemas.openxmlformats.org/officeDocument/2006/relationships/image" Target="media/image19.png"/><Relationship Id="rId42" Type="http://schemas.openxmlformats.org/officeDocument/2006/relationships/hyperlink" Target="http://baike.sososteel.com/doc/view/41644.html" TargetMode="External"/><Relationship Id="rId47" Type="http://schemas.openxmlformats.org/officeDocument/2006/relationships/image" Target="media/image22.png"/><Relationship Id="rId50" Type="http://schemas.openxmlformats.org/officeDocument/2006/relationships/image" Target="media/image25.png"/><Relationship Id="rId55" Type="http://schemas.openxmlformats.org/officeDocument/2006/relationships/hyperlink" Target="http://baike.sososteel.com/doc/view/69421.html" TargetMode="External"/><Relationship Id="rId7" Type="http://schemas.openxmlformats.org/officeDocument/2006/relationships/hyperlink" Target="http://baike.sososteel.com/doc/view/69390.html"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baike.sososteel.com/doc/view/46765.html" TargetMode="External"/><Relationship Id="rId33" Type="http://schemas.openxmlformats.org/officeDocument/2006/relationships/image" Target="media/image18.png"/><Relationship Id="rId38" Type="http://schemas.openxmlformats.org/officeDocument/2006/relationships/hyperlink" Target="http://baike.sososteel.com/doc/view/69401.html" TargetMode="External"/><Relationship Id="rId46" Type="http://schemas.openxmlformats.org/officeDocument/2006/relationships/image" Target="media/image21.pn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hyperlink" Target="http://baike.sososteel.com/doc/view/67004.html" TargetMode="External"/><Relationship Id="rId29" Type="http://schemas.openxmlformats.org/officeDocument/2006/relationships/image" Target="media/image16.png"/><Relationship Id="rId41" Type="http://schemas.openxmlformats.org/officeDocument/2006/relationships/hyperlink" Target="http://baike.sososteel.com/doc/view/68762.html" TargetMode="External"/><Relationship Id="rId54" Type="http://schemas.openxmlformats.org/officeDocument/2006/relationships/image" Target="media/image29.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hyperlink" Target="http://baike.sososteel.com/doc/view/38159.html" TargetMode="External"/><Relationship Id="rId37" Type="http://schemas.openxmlformats.org/officeDocument/2006/relationships/hyperlink" Target="http://baike.sososteel.com/doc/view/72379.html" TargetMode="External"/><Relationship Id="rId40" Type="http://schemas.openxmlformats.org/officeDocument/2006/relationships/hyperlink" Target="http://baike.sososteel.com/doc/view/63213.html" TargetMode="External"/><Relationship Id="rId45" Type="http://schemas.openxmlformats.org/officeDocument/2006/relationships/hyperlink" Target="http://baike.sososteel.com/doc/view/69401.html" TargetMode="External"/><Relationship Id="rId53" Type="http://schemas.openxmlformats.org/officeDocument/2006/relationships/image" Target="media/image28.png"/><Relationship Id="rId58"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image" Target="media/image15.png"/><Relationship Id="rId36" Type="http://schemas.openxmlformats.org/officeDocument/2006/relationships/hyperlink" Target="http://baike.sososteel.com/doc/view/68916.html" TargetMode="External"/><Relationship Id="rId49" Type="http://schemas.openxmlformats.org/officeDocument/2006/relationships/image" Target="media/image24.png"/><Relationship Id="rId57" Type="http://schemas.openxmlformats.org/officeDocument/2006/relationships/fontTable" Target="fontTable.xml"/><Relationship Id="rId10" Type="http://schemas.openxmlformats.org/officeDocument/2006/relationships/hyperlink" Target="http://baike.sososteel.com/doc/view/67010.html" TargetMode="External"/><Relationship Id="rId19" Type="http://schemas.openxmlformats.org/officeDocument/2006/relationships/hyperlink" Target="http://baike.sososteel.com/doc/view/46765.html" TargetMode="External"/><Relationship Id="rId31" Type="http://schemas.openxmlformats.org/officeDocument/2006/relationships/hyperlink" Target="http://baike.sososteel.com/doc/view/69397.html" TargetMode="External"/><Relationship Id="rId44" Type="http://schemas.openxmlformats.org/officeDocument/2006/relationships/hyperlink" Target="http://baike.sososteel.com/doc/view/67010.html" TargetMode="External"/><Relationship Id="rId52" Type="http://schemas.openxmlformats.org/officeDocument/2006/relationships/image" Target="media/image27.png"/><Relationship Id="rId4" Type="http://schemas.openxmlformats.org/officeDocument/2006/relationships/hyperlink" Target="http://baike.sososteel.com/doc/view/67010.html" TargetMode="External"/><Relationship Id="rId9" Type="http://schemas.openxmlformats.org/officeDocument/2006/relationships/hyperlink" Target="http://baike.sososteel.com/doc/view/35050.html" TargetMode="External"/><Relationship Id="rId14" Type="http://schemas.openxmlformats.org/officeDocument/2006/relationships/image" Target="media/image6.png"/><Relationship Id="rId22" Type="http://schemas.openxmlformats.org/officeDocument/2006/relationships/hyperlink" Target="http://baike.sososteel.com/doc/view/68916.html" TargetMode="External"/><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http://baike.sososteel.com/doc/view/72422.html" TargetMode="External"/><Relationship Id="rId43" Type="http://schemas.openxmlformats.org/officeDocument/2006/relationships/hyperlink" Target="http://baike.sososteel.com/doc/view/34255.html" TargetMode="External"/><Relationship Id="rId48" Type="http://schemas.openxmlformats.org/officeDocument/2006/relationships/image" Target="media/image23.png"/><Relationship Id="rId56" Type="http://schemas.openxmlformats.org/officeDocument/2006/relationships/hyperlink" Target="http://baike.sososteel.com/doc/view/67010.html" TargetMode="External"/><Relationship Id="rId8" Type="http://schemas.openxmlformats.org/officeDocument/2006/relationships/hyperlink" Target="http://baike.sososteel.com/doc/view/69421.html" TargetMode="External"/><Relationship Id="rId51" Type="http://schemas.openxmlformats.org/officeDocument/2006/relationships/image" Target="media/image26.png"/><Relationship Id="rId3"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2019</Words>
  <Characters>11512</Characters>
  <Application>Microsoft Office Word</Application>
  <DocSecurity>0</DocSecurity>
  <Lines>95</Lines>
  <Paragraphs>27</Paragraphs>
  <ScaleCrop>false</ScaleCrop>
  <Company>微软中国</Company>
  <LinksUpToDate>false</LinksUpToDate>
  <CharactersWithSpaces>13504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2014-11-13T09:57:00Z</dcterms:created>
  <dcterms:modified xsi:type="dcterms:W3CDTF">2014-11-13T10:03:00Z</dcterms:modified>
</cp:coreProperties>
</file>