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CD8" w:rsidRPr="00866477" w:rsidRDefault="00866477" w:rsidP="00866477">
      <w:pPr>
        <w:jc w:val="center"/>
        <w:rPr>
          <w:rFonts w:hint="eastAsia"/>
          <w:b/>
          <w:sz w:val="36"/>
          <w:szCs w:val="36"/>
        </w:rPr>
      </w:pPr>
      <w:r w:rsidRPr="00866477">
        <w:rPr>
          <w:rFonts w:hint="eastAsia"/>
          <w:b/>
          <w:sz w:val="36"/>
          <w:szCs w:val="36"/>
        </w:rPr>
        <w:t>铁矿石仍持震荡偏空操作思路</w:t>
      </w:r>
    </w:p>
    <w:p w:rsidR="00866477" w:rsidRDefault="00866477" w:rsidP="00866477">
      <w:pPr>
        <w:jc w:val="center"/>
        <w:rPr>
          <w:rFonts w:hint="eastAsia"/>
        </w:rPr>
      </w:pPr>
    </w:p>
    <w:p w:rsidR="00CB458A" w:rsidRDefault="00866477" w:rsidP="00866477">
      <w:pPr>
        <w:jc w:val="center"/>
        <w:rPr>
          <w:rFonts w:hint="eastAsia"/>
        </w:rPr>
      </w:pPr>
      <w:r>
        <w:rPr>
          <w:rFonts w:hint="eastAsia"/>
        </w:rPr>
        <w:t>方正中期</w:t>
      </w:r>
      <w:r>
        <w:rPr>
          <w:rFonts w:hint="eastAsia"/>
        </w:rPr>
        <w:t xml:space="preserve"> </w:t>
      </w:r>
      <w:proofErr w:type="gramStart"/>
      <w:r>
        <w:rPr>
          <w:rFonts w:hint="eastAsia"/>
        </w:rPr>
        <w:t>牛秋乐</w:t>
      </w:r>
      <w:proofErr w:type="gramEnd"/>
    </w:p>
    <w:p w:rsidR="00866477" w:rsidRDefault="00866477" w:rsidP="00866477">
      <w:pPr>
        <w:jc w:val="center"/>
        <w:rPr>
          <w:rFonts w:hint="eastAsia"/>
        </w:rPr>
      </w:pPr>
    </w:p>
    <w:p w:rsidR="00CB458A" w:rsidRPr="008C3F8F" w:rsidRDefault="00CB458A" w:rsidP="00CB458A">
      <w:pPr>
        <w:pStyle w:val="a5"/>
        <w:numPr>
          <w:ilvl w:val="0"/>
          <w:numId w:val="1"/>
        </w:numPr>
        <w:ind w:firstLineChars="0"/>
        <w:rPr>
          <w:b/>
          <w:sz w:val="28"/>
          <w:szCs w:val="28"/>
        </w:rPr>
      </w:pPr>
      <w:r>
        <w:rPr>
          <w:rFonts w:hint="eastAsia"/>
          <w:b/>
          <w:sz w:val="28"/>
          <w:szCs w:val="28"/>
        </w:rPr>
        <w:t>实体经济疲弱拖累建材类上下游需求</w:t>
      </w:r>
    </w:p>
    <w:p w:rsidR="00CB458A" w:rsidRPr="008A07F0" w:rsidRDefault="00CB458A" w:rsidP="00CB458A">
      <w:pPr>
        <w:widowControl/>
        <w:spacing w:after="200" w:line="360" w:lineRule="auto"/>
        <w:jc w:val="left"/>
        <w:rPr>
          <w:rFonts w:ascii="宋体" w:eastAsia="宋体" w:hAnsi="宋体" w:cs="Times New Roman"/>
          <w:b/>
          <w:kern w:val="0"/>
          <w:sz w:val="24"/>
        </w:rPr>
      </w:pPr>
      <w:r w:rsidRPr="008A07F0">
        <w:rPr>
          <w:rFonts w:ascii="宋体" w:eastAsia="宋体" w:hAnsi="宋体" w:cs="Times New Roman" w:hint="eastAsia"/>
          <w:b/>
          <w:kern w:val="0"/>
          <w:sz w:val="24"/>
        </w:rPr>
        <w:t>1、</w:t>
      </w:r>
      <w:r>
        <w:rPr>
          <w:rFonts w:ascii="宋体" w:eastAsia="宋体" w:hAnsi="宋体" w:cs="Times New Roman" w:hint="eastAsia"/>
          <w:b/>
          <w:kern w:val="0"/>
          <w:sz w:val="24"/>
        </w:rPr>
        <w:t>地产投资拖累实体经济下滑</w:t>
      </w:r>
    </w:p>
    <w:p w:rsidR="00CB458A" w:rsidRPr="008A07F0" w:rsidRDefault="00CB458A" w:rsidP="00CB458A">
      <w:pPr>
        <w:widowControl/>
        <w:spacing w:after="200" w:line="360" w:lineRule="auto"/>
        <w:ind w:firstLineChars="200" w:firstLine="480"/>
        <w:jc w:val="left"/>
        <w:rPr>
          <w:rFonts w:ascii="宋体" w:eastAsia="宋体" w:hAnsi="宋体" w:cs="Times New Roman"/>
          <w:kern w:val="0"/>
          <w:sz w:val="24"/>
        </w:rPr>
      </w:pPr>
      <w:r w:rsidRPr="008A07F0">
        <w:rPr>
          <w:rFonts w:ascii="宋体" w:eastAsia="宋体" w:hAnsi="宋体" w:cs="Times New Roman" w:hint="eastAsia"/>
          <w:kern w:val="0"/>
          <w:sz w:val="24"/>
        </w:rPr>
        <w:t>3季度国内GDP增速下滑至7.3%，并创下近6年新低，仅次于08年4季度及09年一季度的6.6%。GDP同比增速放缓一方面来自于房地产市场大幅降温以及地产投资增速显著下滑的拖累，另一方面，去年3季度基数较高，也导致同比增速受到高基数的影响。目前国内经济进入新常态，为应对经济转型，经济增速从原来8%以上的高速区间</w:t>
      </w:r>
      <w:r>
        <w:rPr>
          <w:rFonts w:ascii="宋体" w:eastAsia="宋体" w:hAnsi="宋体" w:cs="Times New Roman" w:hint="eastAsia"/>
          <w:kern w:val="0"/>
          <w:sz w:val="24"/>
        </w:rPr>
        <w:t>降</w:t>
      </w:r>
      <w:r w:rsidRPr="008A07F0">
        <w:rPr>
          <w:rFonts w:ascii="宋体" w:eastAsia="宋体" w:hAnsi="宋体" w:cs="Times New Roman" w:hint="eastAsia"/>
          <w:kern w:val="0"/>
          <w:sz w:val="24"/>
        </w:rPr>
        <w:t>至6%-8%的中速增长。前三季度7.4%的整体增速使得全年7.5%目前较难完成，我们预计年底前随着铁路与基建投资的发力，经济增速将有一定回升，但强力型的刺激政策难以出台。长期来看，国内经济转型、实体经济去杠杆，经济增速将进一步向潜在增速回归。</w:t>
      </w:r>
    </w:p>
    <w:p w:rsidR="00CB458A" w:rsidRPr="00400A2B" w:rsidRDefault="00CB458A" w:rsidP="00CB458A">
      <w:pPr>
        <w:spacing w:line="360" w:lineRule="auto"/>
        <w:rPr>
          <w:rFonts w:ascii="Times New Roman" w:hAnsi="Times New Roman"/>
          <w:b/>
          <w:szCs w:val="21"/>
        </w:rPr>
      </w:pPr>
      <w:r w:rsidRPr="00477DD1">
        <w:rPr>
          <w:rFonts w:ascii="Times New Roman" w:hAnsi="Times New Roman" w:hint="eastAsia"/>
          <w:b/>
          <w:szCs w:val="21"/>
        </w:rPr>
        <w:t>图</w:t>
      </w:r>
      <w:r>
        <w:rPr>
          <w:rFonts w:ascii="Times New Roman" w:hAnsi="Times New Roman" w:hint="eastAsia"/>
          <w:b/>
          <w:szCs w:val="21"/>
        </w:rPr>
        <w:t>1</w:t>
      </w:r>
      <w:r w:rsidRPr="00477DD1">
        <w:rPr>
          <w:rFonts w:ascii="Times New Roman" w:hAnsi="Times New Roman" w:hint="eastAsia"/>
          <w:b/>
          <w:szCs w:val="21"/>
        </w:rPr>
        <w:t>：</w:t>
      </w:r>
      <w:r>
        <w:rPr>
          <w:rFonts w:ascii="Times New Roman" w:hAnsi="Times New Roman" w:hint="eastAsia"/>
          <w:b/>
          <w:szCs w:val="21"/>
        </w:rPr>
        <w:t>国内</w:t>
      </w:r>
      <w:r>
        <w:rPr>
          <w:rFonts w:ascii="Times New Roman" w:hAnsi="Times New Roman" w:hint="eastAsia"/>
          <w:b/>
          <w:szCs w:val="21"/>
        </w:rPr>
        <w:t>GDP</w:t>
      </w:r>
      <w:r>
        <w:rPr>
          <w:rFonts w:ascii="Times New Roman" w:hAnsi="Times New Roman" w:hint="eastAsia"/>
          <w:b/>
          <w:szCs w:val="21"/>
        </w:rPr>
        <w:t>增速</w:t>
      </w:r>
      <w:r>
        <w:rPr>
          <w:rFonts w:ascii="Times New Roman" w:hAnsi="Times New Roman" w:hint="eastAsia"/>
          <w:b/>
          <w:szCs w:val="21"/>
        </w:rPr>
        <w:t xml:space="preserve">                      </w:t>
      </w:r>
      <w:r w:rsidRPr="00477DD1">
        <w:rPr>
          <w:rFonts w:ascii="Times New Roman" w:hAnsi="Times New Roman" w:hint="eastAsia"/>
          <w:b/>
          <w:szCs w:val="21"/>
        </w:rPr>
        <w:t>图</w:t>
      </w:r>
      <w:r>
        <w:rPr>
          <w:rFonts w:ascii="Times New Roman" w:hAnsi="Times New Roman" w:hint="eastAsia"/>
          <w:b/>
          <w:szCs w:val="21"/>
        </w:rPr>
        <w:t>2</w:t>
      </w:r>
      <w:r w:rsidRPr="00477DD1">
        <w:rPr>
          <w:rFonts w:ascii="Times New Roman" w:hAnsi="Times New Roman" w:hint="eastAsia"/>
          <w:b/>
          <w:szCs w:val="21"/>
        </w:rPr>
        <w:t>：</w:t>
      </w:r>
      <w:r>
        <w:rPr>
          <w:rFonts w:ascii="Times New Roman" w:hAnsi="Times New Roman" w:hint="eastAsia"/>
          <w:b/>
          <w:szCs w:val="21"/>
        </w:rPr>
        <w:t>国内经济增长同比与环比</w:t>
      </w:r>
    </w:p>
    <w:p w:rsidR="00CB458A" w:rsidRDefault="00CB458A" w:rsidP="00CB458A">
      <w:pPr>
        <w:rPr>
          <w:noProof/>
        </w:rPr>
      </w:pPr>
      <w:r>
        <w:rPr>
          <w:noProof/>
        </w:rPr>
        <w:drawing>
          <wp:inline distT="0" distB="0" distL="0" distR="0" wp14:anchorId="0ED8C85F" wp14:editId="2D8B94FE">
            <wp:extent cx="2567940" cy="19659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281" cy="1964690"/>
                    </a:xfrm>
                    <a:prstGeom prst="rect">
                      <a:avLst/>
                    </a:prstGeom>
                    <a:noFill/>
                  </pic:spPr>
                </pic:pic>
              </a:graphicData>
            </a:graphic>
          </wp:inline>
        </w:drawing>
      </w:r>
      <w:r>
        <w:rPr>
          <w:rFonts w:hint="eastAsia"/>
        </w:rPr>
        <w:t xml:space="preserve"> </w:t>
      </w:r>
      <w:r>
        <w:rPr>
          <w:noProof/>
        </w:rPr>
        <w:drawing>
          <wp:inline distT="0" distB="0" distL="0" distR="0" wp14:anchorId="5EDF9BC1" wp14:editId="43671FE4">
            <wp:extent cx="2545080" cy="1960033"/>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219" cy="1961680"/>
                    </a:xfrm>
                    <a:prstGeom prst="rect">
                      <a:avLst/>
                    </a:prstGeom>
                    <a:noFill/>
                  </pic:spPr>
                </pic:pic>
              </a:graphicData>
            </a:graphic>
          </wp:inline>
        </w:drawing>
      </w:r>
    </w:p>
    <w:p w:rsidR="00CB458A" w:rsidRDefault="00CB458A" w:rsidP="00CB458A">
      <w:pPr>
        <w:spacing w:line="360" w:lineRule="auto"/>
        <w:ind w:leftChars="-270" w:left="-567" w:rightChars="-108" w:right="-227"/>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Pr>
          <w:rFonts w:ascii="Times New Roman" w:hAnsi="Times New Roman" w:hint="eastAsia"/>
          <w:b/>
          <w:szCs w:val="21"/>
        </w:rPr>
        <w:t xml:space="preserve">   </w:t>
      </w: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p>
    <w:p w:rsidR="00CB458A" w:rsidRDefault="00CB458A" w:rsidP="00CB458A">
      <w:pPr>
        <w:widowControl/>
        <w:spacing w:after="200" w:line="360" w:lineRule="auto"/>
        <w:ind w:firstLineChars="200" w:firstLine="482"/>
        <w:jc w:val="left"/>
        <w:rPr>
          <w:rFonts w:ascii="宋体" w:eastAsia="宋体" w:hAnsi="宋体" w:cs="Times New Roman" w:hint="eastAsia"/>
          <w:b/>
          <w:kern w:val="0"/>
          <w:sz w:val="24"/>
        </w:rPr>
      </w:pPr>
    </w:p>
    <w:p w:rsidR="00CB458A" w:rsidRPr="00CB458A" w:rsidRDefault="00CB458A" w:rsidP="00CB458A">
      <w:pPr>
        <w:widowControl/>
        <w:spacing w:after="200" w:line="360" w:lineRule="auto"/>
        <w:jc w:val="left"/>
        <w:rPr>
          <w:rFonts w:ascii="宋体" w:eastAsia="宋体" w:hAnsi="宋体" w:cs="Times New Roman" w:hint="eastAsia"/>
          <w:b/>
          <w:kern w:val="0"/>
          <w:sz w:val="24"/>
        </w:rPr>
      </w:pPr>
      <w:r>
        <w:rPr>
          <w:rFonts w:ascii="宋体" w:eastAsia="宋体" w:hAnsi="宋体" w:cs="Times New Roman" w:hint="eastAsia"/>
          <w:b/>
          <w:kern w:val="0"/>
          <w:sz w:val="24"/>
        </w:rPr>
        <w:t>2</w:t>
      </w:r>
      <w:r w:rsidRPr="008A07F0">
        <w:rPr>
          <w:rFonts w:ascii="宋体" w:eastAsia="宋体" w:hAnsi="宋体" w:cs="Times New Roman" w:hint="eastAsia"/>
          <w:b/>
          <w:kern w:val="0"/>
          <w:sz w:val="24"/>
        </w:rPr>
        <w:t>、</w:t>
      </w:r>
      <w:r>
        <w:rPr>
          <w:rFonts w:ascii="宋体" w:eastAsia="宋体" w:hAnsi="宋体" w:cs="Times New Roman" w:hint="eastAsia"/>
          <w:b/>
          <w:kern w:val="0"/>
          <w:sz w:val="24"/>
        </w:rPr>
        <w:t>先行指数仍然疲弱</w:t>
      </w:r>
    </w:p>
    <w:p w:rsidR="00CB458A" w:rsidRPr="00CB458A" w:rsidRDefault="00CB458A" w:rsidP="00CB458A">
      <w:pPr>
        <w:widowControl/>
        <w:spacing w:after="200" w:line="360" w:lineRule="auto"/>
        <w:ind w:firstLineChars="200" w:firstLine="480"/>
        <w:jc w:val="left"/>
        <w:rPr>
          <w:rFonts w:ascii="宋体" w:eastAsia="宋体" w:hAnsi="宋体" w:cs="Times New Roman" w:hint="eastAsia"/>
          <w:kern w:val="0"/>
          <w:sz w:val="24"/>
        </w:rPr>
      </w:pPr>
      <w:r w:rsidRPr="00CB458A">
        <w:rPr>
          <w:rFonts w:ascii="宋体" w:eastAsia="宋体" w:hAnsi="宋体" w:cs="Times New Roman" w:hint="eastAsia"/>
          <w:kern w:val="0"/>
          <w:sz w:val="24"/>
        </w:rPr>
        <w:t>11月1日，中国物流与采购联合会、国家统计局服务业调查中心联合发布，2014年10月，中国制造业采购经理指数（PMI）为50.8%，较上月回落0.3个百分点，并创下近五个月的新低。</w:t>
      </w:r>
    </w:p>
    <w:p w:rsidR="00CB458A" w:rsidRPr="00400A2B" w:rsidRDefault="00CB458A" w:rsidP="00CB458A">
      <w:pPr>
        <w:spacing w:line="360" w:lineRule="auto"/>
        <w:jc w:val="center"/>
        <w:rPr>
          <w:rFonts w:ascii="Times New Roman" w:hAnsi="Times New Roman"/>
          <w:b/>
          <w:szCs w:val="21"/>
        </w:rPr>
      </w:pPr>
      <w:r w:rsidRPr="00477DD1">
        <w:rPr>
          <w:rFonts w:ascii="Times New Roman" w:hAnsi="Times New Roman" w:hint="eastAsia"/>
          <w:b/>
          <w:szCs w:val="21"/>
        </w:rPr>
        <w:lastRenderedPageBreak/>
        <w:t>图</w:t>
      </w:r>
      <w:r w:rsidR="00866477">
        <w:rPr>
          <w:rFonts w:ascii="Times New Roman" w:hAnsi="Times New Roman" w:hint="eastAsia"/>
          <w:b/>
          <w:szCs w:val="21"/>
        </w:rPr>
        <w:t>3</w:t>
      </w:r>
      <w:r w:rsidRPr="00477DD1">
        <w:rPr>
          <w:rFonts w:ascii="Times New Roman" w:hAnsi="Times New Roman" w:hint="eastAsia"/>
          <w:b/>
          <w:szCs w:val="21"/>
        </w:rPr>
        <w:t>：</w:t>
      </w:r>
      <w:r>
        <w:rPr>
          <w:rFonts w:ascii="Times New Roman" w:hAnsi="Times New Roman" w:hint="eastAsia"/>
          <w:b/>
          <w:szCs w:val="21"/>
        </w:rPr>
        <w:t>国内制造业</w:t>
      </w:r>
      <w:r>
        <w:rPr>
          <w:rFonts w:ascii="Times New Roman" w:hAnsi="Times New Roman" w:hint="eastAsia"/>
          <w:b/>
          <w:szCs w:val="21"/>
        </w:rPr>
        <w:t>PMI</w:t>
      </w:r>
      <w:r>
        <w:rPr>
          <w:rFonts w:ascii="Times New Roman" w:hAnsi="Times New Roman" w:hint="eastAsia"/>
          <w:b/>
          <w:szCs w:val="21"/>
        </w:rPr>
        <w:t>连续走低</w:t>
      </w:r>
    </w:p>
    <w:p w:rsidR="00CB458A" w:rsidRDefault="00CB458A" w:rsidP="00CB458A">
      <w:pPr>
        <w:jc w:val="center"/>
        <w:rPr>
          <w:rFonts w:hint="eastAsia"/>
          <w:noProof/>
        </w:rPr>
      </w:pPr>
      <w:r>
        <w:rPr>
          <w:noProof/>
        </w:rPr>
        <w:drawing>
          <wp:inline distT="0" distB="0" distL="0" distR="0">
            <wp:extent cx="4130040" cy="293370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0040" cy="2933700"/>
                    </a:xfrm>
                    <a:prstGeom prst="rect">
                      <a:avLst/>
                    </a:prstGeom>
                    <a:noFill/>
                    <a:ln>
                      <a:noFill/>
                    </a:ln>
                  </pic:spPr>
                </pic:pic>
              </a:graphicData>
            </a:graphic>
          </wp:inline>
        </w:drawing>
      </w:r>
    </w:p>
    <w:p w:rsidR="00CB458A" w:rsidRDefault="00CB458A" w:rsidP="00CB458A">
      <w:pPr>
        <w:spacing w:line="360" w:lineRule="auto"/>
        <w:ind w:leftChars="-270" w:left="-567" w:rightChars="-108" w:right="-227"/>
        <w:jc w:val="center"/>
        <w:rPr>
          <w:rFonts w:ascii="Times New Roman" w:hAnsi="Times New Roman" w:hint="eastAsia"/>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B458A" w:rsidRPr="00400A2B" w:rsidRDefault="00CB458A" w:rsidP="00CB458A">
      <w:pPr>
        <w:spacing w:line="360" w:lineRule="auto"/>
        <w:jc w:val="center"/>
        <w:rPr>
          <w:rFonts w:ascii="Times New Roman" w:hAnsi="Times New Roman"/>
          <w:b/>
          <w:szCs w:val="21"/>
        </w:rPr>
      </w:pPr>
      <w:r w:rsidRPr="00477DD1">
        <w:rPr>
          <w:rFonts w:ascii="Times New Roman" w:hAnsi="Times New Roman" w:hint="eastAsia"/>
          <w:b/>
          <w:szCs w:val="21"/>
        </w:rPr>
        <w:t>图</w:t>
      </w:r>
      <w:r w:rsidR="00866477">
        <w:rPr>
          <w:rFonts w:ascii="Times New Roman" w:hAnsi="Times New Roman" w:hint="eastAsia"/>
          <w:b/>
          <w:szCs w:val="21"/>
        </w:rPr>
        <w:t>4</w:t>
      </w:r>
      <w:r w:rsidRPr="00477DD1">
        <w:rPr>
          <w:rFonts w:ascii="Times New Roman" w:hAnsi="Times New Roman" w:hint="eastAsia"/>
          <w:b/>
          <w:szCs w:val="21"/>
        </w:rPr>
        <w:t>：</w:t>
      </w:r>
      <w:r>
        <w:rPr>
          <w:rFonts w:ascii="Times New Roman" w:hAnsi="Times New Roman" w:hint="eastAsia"/>
          <w:b/>
          <w:szCs w:val="21"/>
        </w:rPr>
        <w:t>汇丰制造业</w:t>
      </w:r>
      <w:r>
        <w:rPr>
          <w:rFonts w:ascii="Times New Roman" w:hAnsi="Times New Roman" w:hint="eastAsia"/>
          <w:b/>
          <w:szCs w:val="21"/>
        </w:rPr>
        <w:t>PMI</w:t>
      </w:r>
      <w:r>
        <w:rPr>
          <w:rFonts w:ascii="Times New Roman" w:hAnsi="Times New Roman" w:hint="eastAsia"/>
          <w:b/>
          <w:szCs w:val="21"/>
        </w:rPr>
        <w:t>小幅回升</w:t>
      </w:r>
    </w:p>
    <w:p w:rsidR="00CB458A" w:rsidRDefault="00CB458A" w:rsidP="00CB458A">
      <w:pPr>
        <w:jc w:val="center"/>
        <w:rPr>
          <w:rFonts w:hint="eastAsia"/>
          <w:noProof/>
        </w:rPr>
      </w:pPr>
      <w:r>
        <w:rPr>
          <w:noProof/>
        </w:rPr>
        <w:drawing>
          <wp:inline distT="0" distB="0" distL="0" distR="0">
            <wp:extent cx="4130040" cy="29032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0040" cy="2903220"/>
                    </a:xfrm>
                    <a:prstGeom prst="rect">
                      <a:avLst/>
                    </a:prstGeom>
                    <a:noFill/>
                    <a:ln>
                      <a:noFill/>
                    </a:ln>
                  </pic:spPr>
                </pic:pic>
              </a:graphicData>
            </a:graphic>
          </wp:inline>
        </w:drawing>
      </w:r>
    </w:p>
    <w:p w:rsidR="00CB458A" w:rsidRPr="00DE4ACC" w:rsidRDefault="00CB458A" w:rsidP="00CB458A">
      <w:pPr>
        <w:spacing w:line="360" w:lineRule="auto"/>
        <w:ind w:leftChars="-270" w:left="-567" w:rightChars="-108" w:right="-227"/>
        <w:jc w:val="center"/>
        <w:rPr>
          <w:rFonts w:ascii="Times New Roman" w:hAnsi="Times New Roman" w:hint="eastAsia"/>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B458A" w:rsidRDefault="00CB458A" w:rsidP="00CB458A">
      <w:pPr>
        <w:widowControl/>
        <w:spacing w:after="200" w:line="360" w:lineRule="auto"/>
        <w:ind w:firstLineChars="200" w:firstLine="480"/>
        <w:jc w:val="left"/>
        <w:rPr>
          <w:rFonts w:ascii="宋体" w:eastAsia="宋体" w:hAnsi="宋体" w:cs="Times New Roman" w:hint="eastAsia"/>
          <w:kern w:val="0"/>
          <w:sz w:val="24"/>
        </w:rPr>
      </w:pPr>
      <w:r w:rsidRPr="00CB458A">
        <w:rPr>
          <w:rFonts w:ascii="宋体" w:eastAsia="宋体" w:hAnsi="宋体" w:cs="Times New Roman" w:hint="eastAsia"/>
          <w:kern w:val="0"/>
          <w:sz w:val="24"/>
        </w:rPr>
        <w:t>由经济的先行指标制造业PMI数据来看，</w:t>
      </w:r>
      <w:proofErr w:type="gramStart"/>
      <w:r w:rsidRPr="00CB458A">
        <w:rPr>
          <w:rFonts w:ascii="宋体" w:eastAsia="宋体" w:hAnsi="宋体" w:cs="Times New Roman" w:hint="eastAsia"/>
          <w:kern w:val="0"/>
          <w:sz w:val="24"/>
        </w:rPr>
        <w:t>稳增长</w:t>
      </w:r>
      <w:proofErr w:type="gramEnd"/>
      <w:r w:rsidRPr="00CB458A">
        <w:rPr>
          <w:rFonts w:ascii="宋体" w:eastAsia="宋体" w:hAnsi="宋体" w:cs="Times New Roman" w:hint="eastAsia"/>
          <w:kern w:val="0"/>
          <w:sz w:val="24"/>
        </w:rPr>
        <w:t>在实体经济领域发挥的作用仍未体现。自2012年以来小型企业PMI数据长期维持在枯荣分界线以下，中小企业生存状况恶劣。虽然大中型企业PMI指数长期维持在50%以上，对于经济增长起到了明显的稳定作用，但资源配置的倾斜导致经济活力持续下降。</w:t>
      </w:r>
    </w:p>
    <w:p w:rsidR="00CB458A" w:rsidRDefault="00CB458A" w:rsidP="00CB458A">
      <w:pPr>
        <w:widowControl/>
        <w:spacing w:after="200" w:line="360" w:lineRule="auto"/>
        <w:ind w:firstLineChars="200" w:firstLine="480"/>
        <w:jc w:val="left"/>
        <w:rPr>
          <w:rFonts w:ascii="宋体" w:hAnsi="宋体" w:hint="eastAsia"/>
          <w:sz w:val="24"/>
        </w:rPr>
      </w:pPr>
      <w:r>
        <w:rPr>
          <w:rFonts w:ascii="宋体" w:hAnsi="宋体" w:hint="eastAsia"/>
          <w:sz w:val="24"/>
        </w:rPr>
        <w:lastRenderedPageBreak/>
        <w:t>虽然制造业PMI数据仍处于临界点以上，但在10月份季节性回升的情况下，制造业PMI继续恶化说明实体经济非常疲弱。</w:t>
      </w:r>
      <w:proofErr w:type="gramStart"/>
      <w:r w:rsidRPr="008A07F0">
        <w:rPr>
          <w:rFonts w:ascii="宋体" w:hAnsi="宋体" w:hint="eastAsia"/>
          <w:sz w:val="24"/>
        </w:rPr>
        <w:t>国家发改委</w:t>
      </w:r>
      <w:proofErr w:type="gramEnd"/>
      <w:r w:rsidRPr="008A07F0">
        <w:rPr>
          <w:rFonts w:ascii="宋体" w:hAnsi="宋体" w:hint="eastAsia"/>
          <w:sz w:val="24"/>
        </w:rPr>
        <w:t>和地方政府近期密集发布包括铁路、机场等基建项目在内的公共设施项目</w:t>
      </w:r>
      <w:r>
        <w:rPr>
          <w:rFonts w:ascii="宋体" w:hAnsi="宋体" w:hint="eastAsia"/>
          <w:sz w:val="24"/>
        </w:rPr>
        <w:t>。</w:t>
      </w:r>
      <w:r w:rsidRPr="008A07F0">
        <w:rPr>
          <w:rFonts w:ascii="宋体" w:hAnsi="宋体" w:hint="eastAsia"/>
          <w:sz w:val="24"/>
        </w:rPr>
        <w:t>通过扩大铁路等基建项目对冲固定资产投资整体下滑的趋势，表明中央发出经济</w:t>
      </w:r>
      <w:proofErr w:type="gramStart"/>
      <w:r w:rsidRPr="008A07F0">
        <w:rPr>
          <w:rFonts w:ascii="宋体" w:hAnsi="宋体" w:hint="eastAsia"/>
          <w:sz w:val="24"/>
        </w:rPr>
        <w:t>稳增长</w:t>
      </w:r>
      <w:proofErr w:type="gramEnd"/>
      <w:r w:rsidRPr="008A07F0">
        <w:rPr>
          <w:rFonts w:ascii="宋体" w:hAnsi="宋体" w:hint="eastAsia"/>
          <w:sz w:val="24"/>
        </w:rPr>
        <w:t>的明确信号。年底前随着铁路与基建投资的发力，经济增速将有一定回升，但</w:t>
      </w:r>
      <w:r>
        <w:rPr>
          <w:rFonts w:ascii="宋体" w:hAnsi="宋体" w:hint="eastAsia"/>
          <w:sz w:val="24"/>
        </w:rPr>
        <w:t>目前投资仅为</w:t>
      </w:r>
      <w:proofErr w:type="gramStart"/>
      <w:r>
        <w:rPr>
          <w:rFonts w:ascii="宋体" w:hAnsi="宋体" w:hint="eastAsia"/>
          <w:sz w:val="24"/>
        </w:rPr>
        <w:t>稳增长</w:t>
      </w:r>
      <w:proofErr w:type="gramEnd"/>
      <w:r>
        <w:rPr>
          <w:rFonts w:ascii="宋体" w:hAnsi="宋体" w:hint="eastAsia"/>
          <w:sz w:val="24"/>
        </w:rPr>
        <w:t>配合经济改革，</w:t>
      </w:r>
      <w:r w:rsidRPr="008A07F0">
        <w:rPr>
          <w:rFonts w:ascii="宋体" w:hAnsi="宋体" w:hint="eastAsia"/>
          <w:sz w:val="24"/>
        </w:rPr>
        <w:t>强力型的刺激政策</w:t>
      </w:r>
      <w:r>
        <w:rPr>
          <w:rFonts w:ascii="宋体" w:hAnsi="宋体" w:hint="eastAsia"/>
          <w:sz w:val="24"/>
        </w:rPr>
        <w:t>料</w:t>
      </w:r>
      <w:r w:rsidRPr="008A07F0">
        <w:rPr>
          <w:rFonts w:ascii="宋体" w:hAnsi="宋体" w:hint="eastAsia"/>
          <w:sz w:val="24"/>
        </w:rPr>
        <w:t>难以出台。</w:t>
      </w:r>
    </w:p>
    <w:p w:rsidR="00CB458A" w:rsidRPr="00400A2B" w:rsidRDefault="00CB458A" w:rsidP="00CB458A">
      <w:pPr>
        <w:spacing w:line="360" w:lineRule="auto"/>
        <w:jc w:val="center"/>
        <w:rPr>
          <w:rFonts w:ascii="Times New Roman" w:hAnsi="Times New Roman"/>
          <w:b/>
          <w:szCs w:val="21"/>
        </w:rPr>
      </w:pPr>
      <w:r w:rsidRPr="00477DD1">
        <w:rPr>
          <w:rFonts w:ascii="Times New Roman" w:hAnsi="Times New Roman" w:hint="eastAsia"/>
          <w:b/>
          <w:szCs w:val="21"/>
        </w:rPr>
        <w:t>图</w:t>
      </w:r>
      <w:r w:rsidR="00866477">
        <w:rPr>
          <w:rFonts w:ascii="Times New Roman" w:hAnsi="Times New Roman" w:hint="eastAsia"/>
          <w:b/>
          <w:szCs w:val="21"/>
        </w:rPr>
        <w:t>5</w:t>
      </w:r>
      <w:r w:rsidRPr="00477DD1">
        <w:rPr>
          <w:rFonts w:ascii="Times New Roman" w:hAnsi="Times New Roman" w:hint="eastAsia"/>
          <w:b/>
          <w:szCs w:val="21"/>
        </w:rPr>
        <w:t>：</w:t>
      </w:r>
      <w:r>
        <w:rPr>
          <w:rFonts w:ascii="Times New Roman" w:hAnsi="Times New Roman" w:hint="eastAsia"/>
          <w:b/>
          <w:szCs w:val="21"/>
        </w:rPr>
        <w:t>制造业</w:t>
      </w:r>
      <w:r>
        <w:rPr>
          <w:rFonts w:ascii="Times New Roman" w:hAnsi="Times New Roman" w:hint="eastAsia"/>
          <w:b/>
          <w:szCs w:val="21"/>
        </w:rPr>
        <w:t>PMI</w:t>
      </w:r>
      <w:r>
        <w:rPr>
          <w:rFonts w:ascii="Times New Roman" w:hAnsi="Times New Roman" w:hint="eastAsia"/>
          <w:b/>
          <w:szCs w:val="21"/>
        </w:rPr>
        <w:t>季节性</w:t>
      </w:r>
    </w:p>
    <w:p w:rsidR="00CB458A" w:rsidRDefault="00CB458A" w:rsidP="00CB458A">
      <w:pPr>
        <w:jc w:val="center"/>
        <w:rPr>
          <w:rFonts w:hint="eastAsia"/>
          <w:noProof/>
        </w:rPr>
      </w:pPr>
      <w:r>
        <w:rPr>
          <w:noProof/>
        </w:rPr>
        <w:drawing>
          <wp:inline distT="0" distB="0" distL="0" distR="0">
            <wp:extent cx="4419600" cy="32156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215640"/>
                    </a:xfrm>
                    <a:prstGeom prst="rect">
                      <a:avLst/>
                    </a:prstGeom>
                    <a:noFill/>
                    <a:ln>
                      <a:noFill/>
                    </a:ln>
                  </pic:spPr>
                </pic:pic>
              </a:graphicData>
            </a:graphic>
          </wp:inline>
        </w:drawing>
      </w:r>
    </w:p>
    <w:p w:rsidR="00CB458A" w:rsidRPr="00C86AAA" w:rsidRDefault="00CB458A" w:rsidP="00CB458A">
      <w:pPr>
        <w:spacing w:line="360" w:lineRule="auto"/>
        <w:ind w:leftChars="-270" w:left="-567" w:rightChars="-108" w:right="-227"/>
        <w:jc w:val="center"/>
        <w:rPr>
          <w:rFonts w:ascii="Times New Roman" w:hAnsi="Times New Roman" w:hint="eastAsia"/>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B458A" w:rsidRPr="00400A2B" w:rsidRDefault="00CB458A" w:rsidP="00CB458A">
      <w:pPr>
        <w:spacing w:line="360" w:lineRule="auto"/>
        <w:ind w:firstLineChars="200" w:firstLine="480"/>
        <w:rPr>
          <w:rFonts w:ascii="宋体" w:hAnsi="宋体"/>
          <w:sz w:val="24"/>
        </w:rPr>
      </w:pPr>
      <w:r>
        <w:rPr>
          <w:rFonts w:ascii="宋体" w:hAnsi="宋体" w:hint="eastAsia"/>
          <w:sz w:val="24"/>
        </w:rPr>
        <w:t>10月份企业产成品库存再次出现快速回升，原材料库存进一步下降。在国际大宗商品价格上涨乏力的情况下，企业原材料购进动力较低，产成品销售</w:t>
      </w:r>
      <w:proofErr w:type="gramStart"/>
      <w:r>
        <w:rPr>
          <w:rFonts w:ascii="宋体" w:hAnsi="宋体" w:hint="eastAsia"/>
          <w:sz w:val="24"/>
        </w:rPr>
        <w:t>端出现</w:t>
      </w:r>
      <w:proofErr w:type="gramEnd"/>
      <w:r>
        <w:rPr>
          <w:rFonts w:ascii="宋体" w:hAnsi="宋体" w:hint="eastAsia"/>
          <w:sz w:val="24"/>
        </w:rPr>
        <w:t>一定放缓也进一步抑制企业原材料采购需求。</w:t>
      </w:r>
    </w:p>
    <w:p w:rsidR="00CB458A" w:rsidRPr="00400A2B" w:rsidRDefault="00CB458A" w:rsidP="00CB458A">
      <w:pPr>
        <w:spacing w:line="360" w:lineRule="auto"/>
        <w:jc w:val="center"/>
        <w:rPr>
          <w:rFonts w:ascii="Times New Roman" w:hAnsi="Times New Roman"/>
          <w:b/>
          <w:szCs w:val="21"/>
        </w:rPr>
      </w:pPr>
      <w:r w:rsidRPr="00477DD1">
        <w:rPr>
          <w:rFonts w:ascii="Times New Roman" w:hAnsi="Times New Roman" w:hint="eastAsia"/>
          <w:b/>
          <w:szCs w:val="21"/>
        </w:rPr>
        <w:t>图</w:t>
      </w:r>
      <w:r w:rsidR="00866477">
        <w:rPr>
          <w:rFonts w:ascii="Times New Roman" w:hAnsi="Times New Roman" w:hint="eastAsia"/>
          <w:b/>
          <w:szCs w:val="21"/>
        </w:rPr>
        <w:t>6</w:t>
      </w:r>
      <w:r w:rsidRPr="00477DD1">
        <w:rPr>
          <w:rFonts w:ascii="Times New Roman" w:hAnsi="Times New Roman" w:hint="eastAsia"/>
          <w:b/>
          <w:szCs w:val="21"/>
        </w:rPr>
        <w:t>：</w:t>
      </w:r>
      <w:r>
        <w:rPr>
          <w:rFonts w:ascii="Times New Roman" w:hAnsi="Times New Roman" w:hint="eastAsia"/>
          <w:b/>
          <w:szCs w:val="21"/>
        </w:rPr>
        <w:t>企业库存情况</w:t>
      </w:r>
    </w:p>
    <w:p w:rsidR="00CB458A" w:rsidRDefault="00CB458A" w:rsidP="00CB458A">
      <w:pPr>
        <w:jc w:val="center"/>
        <w:rPr>
          <w:rFonts w:hint="eastAsia"/>
          <w:noProof/>
        </w:rPr>
      </w:pPr>
      <w:r>
        <w:rPr>
          <w:noProof/>
        </w:rPr>
        <w:lastRenderedPageBreak/>
        <w:drawing>
          <wp:inline distT="0" distB="0" distL="0" distR="0">
            <wp:extent cx="4457700" cy="3169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3169920"/>
                    </a:xfrm>
                    <a:prstGeom prst="rect">
                      <a:avLst/>
                    </a:prstGeom>
                    <a:noFill/>
                    <a:ln>
                      <a:noFill/>
                    </a:ln>
                  </pic:spPr>
                </pic:pic>
              </a:graphicData>
            </a:graphic>
          </wp:inline>
        </w:drawing>
      </w:r>
    </w:p>
    <w:p w:rsidR="00CB458A" w:rsidRPr="00C86AAA" w:rsidRDefault="00CB458A" w:rsidP="00CB458A">
      <w:pPr>
        <w:spacing w:line="360" w:lineRule="auto"/>
        <w:ind w:leftChars="-270" w:left="-567" w:rightChars="-108" w:right="-227"/>
        <w:jc w:val="center"/>
        <w:rPr>
          <w:rFonts w:ascii="Times New Roman" w:hAnsi="Times New Roman" w:hint="eastAsia"/>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B458A" w:rsidRPr="00CB458A" w:rsidRDefault="00CB458A" w:rsidP="00CB458A">
      <w:pPr>
        <w:pStyle w:val="a5"/>
        <w:numPr>
          <w:ilvl w:val="0"/>
          <w:numId w:val="1"/>
        </w:numPr>
        <w:ind w:firstLineChars="0"/>
        <w:rPr>
          <w:rFonts w:hint="eastAsia"/>
          <w:b/>
          <w:sz w:val="28"/>
          <w:szCs w:val="28"/>
        </w:rPr>
      </w:pPr>
      <w:r w:rsidRPr="00CB458A">
        <w:rPr>
          <w:rFonts w:hint="eastAsia"/>
          <w:b/>
          <w:sz w:val="28"/>
          <w:szCs w:val="28"/>
        </w:rPr>
        <w:t>黑色</w:t>
      </w:r>
      <w:proofErr w:type="gramStart"/>
      <w:r w:rsidRPr="00CB458A">
        <w:rPr>
          <w:rFonts w:hint="eastAsia"/>
          <w:b/>
          <w:sz w:val="28"/>
          <w:szCs w:val="28"/>
        </w:rPr>
        <w:t>产业链仍处于</w:t>
      </w:r>
      <w:proofErr w:type="gramEnd"/>
      <w:r w:rsidRPr="00CB458A">
        <w:rPr>
          <w:rFonts w:hint="eastAsia"/>
          <w:b/>
          <w:sz w:val="28"/>
          <w:szCs w:val="28"/>
        </w:rPr>
        <w:t>产能过剩的去库存阶段</w:t>
      </w:r>
    </w:p>
    <w:p w:rsidR="00CB458A" w:rsidRPr="00CB458A" w:rsidRDefault="00CB458A" w:rsidP="00CB458A">
      <w:pPr>
        <w:spacing w:line="360" w:lineRule="auto"/>
        <w:ind w:firstLineChars="200" w:firstLine="480"/>
        <w:rPr>
          <w:rFonts w:ascii="宋体" w:hAnsi="宋体"/>
          <w:sz w:val="24"/>
        </w:rPr>
      </w:pPr>
      <w:r w:rsidRPr="00CB458A">
        <w:rPr>
          <w:rFonts w:ascii="宋体" w:hAnsi="宋体" w:hint="eastAsia"/>
          <w:sz w:val="24"/>
        </w:rPr>
        <w:t>由于黑色产业处于产能过剩，去库存周期调整过程中，今年以来黑色品种持续下行寻底。进入传统旺季9月，黑色品种的跌势也并没有改变。随着经济下行压力的增大，10月到11月政府“托底”意图明显，政策刺激不断。“二套房新政”“铁路项目投资提速”“各种自贸区”“丝绸之路”</w:t>
      </w:r>
      <w:r w:rsidRPr="00CB458A">
        <w:rPr>
          <w:rFonts w:ascii="宋体" w:hAnsi="宋体"/>
          <w:sz w:val="24"/>
        </w:rPr>
        <w:t>……等等题材不断</w:t>
      </w:r>
      <w:r w:rsidRPr="00CB458A">
        <w:rPr>
          <w:rFonts w:ascii="宋体" w:hAnsi="宋体" w:hint="eastAsia"/>
          <w:sz w:val="24"/>
        </w:rPr>
        <w:t>，</w:t>
      </w:r>
      <w:r w:rsidRPr="00CB458A">
        <w:rPr>
          <w:rFonts w:ascii="宋体" w:hAnsi="宋体"/>
          <w:sz w:val="24"/>
        </w:rPr>
        <w:t>政策的轮番上阵也使得股市不断刷新高点</w:t>
      </w:r>
      <w:r w:rsidRPr="00CB458A">
        <w:rPr>
          <w:rFonts w:ascii="宋体" w:hAnsi="宋体" w:hint="eastAsia"/>
          <w:sz w:val="24"/>
        </w:rPr>
        <w:t>，</w:t>
      </w:r>
      <w:r w:rsidRPr="00CB458A">
        <w:rPr>
          <w:rFonts w:ascii="宋体" w:hAnsi="宋体"/>
          <w:sz w:val="24"/>
        </w:rPr>
        <w:t>市场做多热情高涨</w:t>
      </w:r>
      <w:r w:rsidRPr="00CB458A">
        <w:rPr>
          <w:rFonts w:ascii="宋体" w:hAnsi="宋体" w:hint="eastAsia"/>
          <w:sz w:val="24"/>
        </w:rPr>
        <w:t>。</w:t>
      </w:r>
      <w:r w:rsidRPr="00CB458A">
        <w:rPr>
          <w:rFonts w:ascii="宋体" w:hAnsi="宋体"/>
          <w:sz w:val="24"/>
        </w:rPr>
        <w:t>受其鼓舞</w:t>
      </w:r>
      <w:r w:rsidRPr="00CB458A">
        <w:rPr>
          <w:rFonts w:ascii="宋体" w:hAnsi="宋体" w:hint="eastAsia"/>
          <w:sz w:val="24"/>
        </w:rPr>
        <w:t>，10月后黑色品种跌幅明显放缓，且在“APEC会议限产”题材的带动下，黑色品种起底反弹。但天气变冷黑色系终端实际需求持续减弱，叠加去库存周期，在经济环境没有明显起</w:t>
      </w:r>
      <w:proofErr w:type="gramStart"/>
      <w:r w:rsidRPr="00CB458A">
        <w:rPr>
          <w:rFonts w:ascii="宋体" w:hAnsi="宋体" w:hint="eastAsia"/>
          <w:sz w:val="24"/>
        </w:rPr>
        <w:t>底恢复</w:t>
      </w:r>
      <w:proofErr w:type="gramEnd"/>
      <w:r w:rsidRPr="00CB458A">
        <w:rPr>
          <w:rFonts w:ascii="宋体" w:hAnsi="宋体" w:hint="eastAsia"/>
          <w:sz w:val="24"/>
        </w:rPr>
        <w:t>或者行业经历新一轮洗牌之前，产能过剩去库存周期仍然是主题。但是政府行为可以将这个周期滞后，基于此判断，</w:t>
      </w:r>
      <w:r>
        <w:rPr>
          <w:rFonts w:ascii="宋体" w:hAnsi="宋体" w:hint="eastAsia"/>
          <w:sz w:val="24"/>
        </w:rPr>
        <w:t>铁矿石在操作上仍需持</w:t>
      </w:r>
      <w:r w:rsidRPr="00CB458A">
        <w:rPr>
          <w:rFonts w:ascii="宋体" w:hAnsi="宋体" w:hint="eastAsia"/>
          <w:sz w:val="24"/>
        </w:rPr>
        <w:t>震荡</w:t>
      </w:r>
      <w:r>
        <w:rPr>
          <w:rFonts w:ascii="宋体" w:hAnsi="宋体" w:hint="eastAsia"/>
          <w:sz w:val="24"/>
        </w:rPr>
        <w:t>偏空的</w:t>
      </w:r>
      <w:r w:rsidRPr="00CB458A">
        <w:rPr>
          <w:rFonts w:ascii="宋体" w:hAnsi="宋体" w:hint="eastAsia"/>
          <w:sz w:val="24"/>
        </w:rPr>
        <w:t>操作思路。</w:t>
      </w:r>
    </w:p>
    <w:p w:rsidR="00CB458A" w:rsidRPr="00CB458A" w:rsidRDefault="00CB458A" w:rsidP="00CB458A">
      <w:pPr>
        <w:widowControl/>
        <w:spacing w:after="200" w:line="360" w:lineRule="auto"/>
        <w:jc w:val="left"/>
        <w:rPr>
          <w:rFonts w:ascii="宋体" w:eastAsia="宋体" w:hAnsi="宋体" w:cs="Times New Roman"/>
          <w:b/>
          <w:kern w:val="0"/>
          <w:sz w:val="24"/>
        </w:rPr>
      </w:pPr>
      <w:r>
        <w:rPr>
          <w:rFonts w:ascii="宋体" w:eastAsia="宋体" w:hAnsi="宋体" w:cs="Times New Roman" w:hint="eastAsia"/>
          <w:b/>
          <w:kern w:val="0"/>
          <w:sz w:val="24"/>
        </w:rPr>
        <w:t>1、</w:t>
      </w:r>
      <w:r w:rsidRPr="00CB458A">
        <w:rPr>
          <w:rFonts w:ascii="宋体" w:eastAsia="宋体" w:hAnsi="宋体" w:cs="Times New Roman" w:hint="eastAsia"/>
          <w:b/>
          <w:kern w:val="0"/>
          <w:sz w:val="24"/>
        </w:rPr>
        <w:t>下游钢铁产量维持高位但同比增速不快</w:t>
      </w:r>
    </w:p>
    <w:p w:rsidR="00CB458A" w:rsidRPr="00CB458A" w:rsidRDefault="00CB458A" w:rsidP="00CB458A">
      <w:pPr>
        <w:spacing w:line="360" w:lineRule="auto"/>
        <w:ind w:firstLineChars="200" w:firstLine="480"/>
        <w:rPr>
          <w:rFonts w:ascii="宋体" w:hAnsi="宋体"/>
          <w:sz w:val="24"/>
        </w:rPr>
      </w:pPr>
      <w:r w:rsidRPr="00CB458A">
        <w:rPr>
          <w:rFonts w:ascii="宋体" w:hAnsi="宋体" w:hint="eastAsia"/>
          <w:sz w:val="24"/>
        </w:rPr>
        <w:t>整体来看，国内粗钢在2014年上半年保持不错的产量水平，但同比增速不快。中国国家统计局数据显示，2014年9月我国粗钢产量6754万吨，同比增长0.02%；1-9月我国粗钢产量61800万吨，同比增长2.3%。。</w:t>
      </w:r>
      <w:proofErr w:type="gramStart"/>
      <w:r w:rsidRPr="00CB458A">
        <w:rPr>
          <w:rFonts w:ascii="宋体" w:hAnsi="宋体" w:hint="eastAsia"/>
          <w:sz w:val="24"/>
        </w:rPr>
        <w:t>今年下半年钢企库存</w:t>
      </w:r>
      <w:proofErr w:type="gramEnd"/>
      <w:r w:rsidRPr="00CB458A">
        <w:rPr>
          <w:rFonts w:ascii="宋体" w:hAnsi="宋体" w:hint="eastAsia"/>
          <w:sz w:val="24"/>
        </w:rPr>
        <w:t>逐步攀升，迫使企业加大供给端收缩力度。同时，随着气温下降、APEC会议的</w:t>
      </w:r>
      <w:r w:rsidRPr="00CB458A">
        <w:rPr>
          <w:rFonts w:ascii="宋体" w:hAnsi="宋体" w:hint="eastAsia"/>
          <w:sz w:val="24"/>
        </w:rPr>
        <w:lastRenderedPageBreak/>
        <w:t>召开，</w:t>
      </w:r>
      <w:proofErr w:type="gramStart"/>
      <w:r w:rsidRPr="00CB458A">
        <w:rPr>
          <w:rFonts w:ascii="宋体" w:hAnsi="宋体" w:hint="eastAsia"/>
          <w:sz w:val="24"/>
        </w:rPr>
        <w:t>钢企将</w:t>
      </w:r>
      <w:proofErr w:type="gramEnd"/>
      <w:r w:rsidRPr="00CB458A">
        <w:rPr>
          <w:rFonts w:ascii="宋体" w:hAnsi="宋体" w:hint="eastAsia"/>
          <w:sz w:val="24"/>
        </w:rPr>
        <w:t>进一步加大减产检修力度。不过，南方地区钢厂盈利尚可，减产积极性较低，北方地区钢厂仍将担当减产主力，后期全国</w:t>
      </w:r>
      <w:proofErr w:type="gramStart"/>
      <w:r w:rsidRPr="00CB458A">
        <w:rPr>
          <w:rFonts w:ascii="宋体" w:hAnsi="宋体" w:hint="eastAsia"/>
          <w:sz w:val="24"/>
        </w:rPr>
        <w:t>粗钢日均</w:t>
      </w:r>
      <w:proofErr w:type="gramEnd"/>
      <w:r w:rsidRPr="00CB458A">
        <w:rPr>
          <w:rFonts w:ascii="宋体" w:hAnsi="宋体" w:hint="eastAsia"/>
          <w:sz w:val="24"/>
        </w:rPr>
        <w:t>产量跌破220万吨是大概率事件。由于房地产市场低迷、基建投资受制于地方财政紧张，也拖累了工程机械、家电等相关行业，</w:t>
      </w:r>
      <w:proofErr w:type="gramStart"/>
      <w:r w:rsidRPr="00CB458A">
        <w:rPr>
          <w:rFonts w:ascii="宋体" w:hAnsi="宋体" w:hint="eastAsia"/>
          <w:sz w:val="24"/>
        </w:rPr>
        <w:t>钢市整体</w:t>
      </w:r>
      <w:proofErr w:type="gramEnd"/>
      <w:r w:rsidRPr="00CB458A">
        <w:rPr>
          <w:rFonts w:ascii="宋体" w:hAnsi="宋体" w:hint="eastAsia"/>
          <w:sz w:val="24"/>
        </w:rPr>
        <w:t>需求偏弱。节后集中采购之后，近期终端需求重归平淡。10月汇丰PMI初值50.4，较上月终值（50.2）回升，但是产出、新订单和新出口订单均有回落，显示需求仍未好转。不过，一些利好因素也在持续发酵。房贷新政的推出，楼市销量已有回暖迹象。央行继续加大定向宽松力度，四季度经济走稳的概率较大。最后，近期北方钢厂减产力度逐渐加大，对市场信心也有支撑作用，预计</w:t>
      </w:r>
      <w:proofErr w:type="gramStart"/>
      <w:r w:rsidRPr="00CB458A">
        <w:rPr>
          <w:rFonts w:ascii="宋体" w:hAnsi="宋体" w:hint="eastAsia"/>
          <w:sz w:val="24"/>
        </w:rPr>
        <w:t>短期内钢价</w:t>
      </w:r>
      <w:proofErr w:type="gramEnd"/>
      <w:r w:rsidRPr="00CB458A">
        <w:rPr>
          <w:rFonts w:ascii="宋体" w:hAnsi="宋体" w:hint="eastAsia"/>
          <w:sz w:val="24"/>
        </w:rPr>
        <w:t>或震荡运行，呈现涨跌互现态势。</w:t>
      </w:r>
    </w:p>
    <w:p w:rsidR="00CB458A" w:rsidRDefault="00CB458A" w:rsidP="00CB458A"/>
    <w:p w:rsidR="00CB458A" w:rsidRPr="00CB458A" w:rsidRDefault="00CB458A" w:rsidP="00CB458A">
      <w:pPr>
        <w:spacing w:line="360" w:lineRule="auto"/>
        <w:jc w:val="center"/>
        <w:rPr>
          <w:rFonts w:ascii="Times New Roman" w:hAnsi="Times New Roman"/>
          <w:b/>
          <w:szCs w:val="21"/>
        </w:rPr>
      </w:pPr>
      <w:r w:rsidRPr="00CB458A">
        <w:rPr>
          <w:rFonts w:ascii="Times New Roman" w:hAnsi="Times New Roman" w:hint="eastAsia"/>
          <w:b/>
          <w:szCs w:val="21"/>
        </w:rPr>
        <w:t>图</w:t>
      </w:r>
      <w:r w:rsidRPr="00CB458A">
        <w:rPr>
          <w:rFonts w:ascii="Times New Roman" w:hAnsi="Times New Roman"/>
          <w:b/>
          <w:szCs w:val="21"/>
        </w:rPr>
        <w:t>7</w:t>
      </w:r>
      <w:r w:rsidRPr="00CB458A">
        <w:rPr>
          <w:rFonts w:ascii="Times New Roman" w:hAnsi="Times New Roman" w:hint="eastAsia"/>
          <w:b/>
          <w:szCs w:val="21"/>
        </w:rPr>
        <w:t>：国内粗钢产量与同比走势</w:t>
      </w:r>
    </w:p>
    <w:p w:rsidR="00CB458A" w:rsidRDefault="00CB458A" w:rsidP="00CB458A">
      <w:pPr>
        <w:jc w:val="center"/>
      </w:pPr>
      <w:r>
        <w:rPr>
          <w:noProof/>
        </w:rPr>
        <w:drawing>
          <wp:inline distT="0" distB="0" distL="0" distR="0" wp14:anchorId="745BFF87" wp14:editId="0866DDCD">
            <wp:extent cx="4267200" cy="2400300"/>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6"/>
                    <pic:cNvPicPr>
                      <a:picLocks noChangeArrowheads="1"/>
                    </pic:cNvPicPr>
                  </pic:nvPicPr>
                  <pic:blipFill>
                    <a:blip r:embed="rId14">
                      <a:extLst>
                        <a:ext uri="{28A0092B-C50C-407E-A947-70E740481C1C}">
                          <a14:useLocalDpi xmlns:a14="http://schemas.microsoft.com/office/drawing/2010/main" val="0"/>
                        </a:ext>
                      </a:extLst>
                    </a:blip>
                    <a:srcRect b="-53"/>
                    <a:stretch>
                      <a:fillRect/>
                    </a:stretch>
                  </pic:blipFill>
                  <pic:spPr bwMode="auto">
                    <a:xfrm>
                      <a:off x="0" y="0"/>
                      <a:ext cx="4267200" cy="2400300"/>
                    </a:xfrm>
                    <a:prstGeom prst="rect">
                      <a:avLst/>
                    </a:prstGeom>
                    <a:noFill/>
                    <a:ln>
                      <a:noFill/>
                    </a:ln>
                  </pic:spPr>
                </pic:pic>
              </a:graphicData>
            </a:graphic>
          </wp:inline>
        </w:drawing>
      </w:r>
    </w:p>
    <w:p w:rsidR="00CB458A" w:rsidRPr="00CB458A" w:rsidRDefault="00CB458A" w:rsidP="00CB458A">
      <w:pPr>
        <w:spacing w:line="360" w:lineRule="auto"/>
        <w:jc w:val="center"/>
        <w:rPr>
          <w:rFonts w:ascii="Times New Roman" w:hAnsi="Times New Roman"/>
          <w:b/>
          <w:szCs w:val="21"/>
        </w:rPr>
      </w:pPr>
      <w:r w:rsidRPr="00CB458A">
        <w:rPr>
          <w:rFonts w:ascii="Times New Roman" w:hAnsi="Times New Roman" w:hint="eastAsia"/>
          <w:b/>
          <w:szCs w:val="21"/>
        </w:rPr>
        <w:t>数据来源：中钢协、方正中期期货研究院整理</w:t>
      </w:r>
    </w:p>
    <w:p w:rsidR="00CB458A" w:rsidRPr="00CB458A" w:rsidRDefault="00CB458A" w:rsidP="00CB458A">
      <w:pPr>
        <w:spacing w:line="360" w:lineRule="auto"/>
        <w:jc w:val="center"/>
        <w:rPr>
          <w:rFonts w:ascii="Times New Roman" w:hAnsi="Times New Roman"/>
          <w:b/>
          <w:szCs w:val="21"/>
        </w:rPr>
      </w:pPr>
      <w:r w:rsidRPr="00CB458A">
        <w:rPr>
          <w:rFonts w:ascii="Times New Roman" w:hAnsi="Times New Roman" w:hint="eastAsia"/>
          <w:b/>
          <w:szCs w:val="21"/>
        </w:rPr>
        <w:t>图</w:t>
      </w:r>
      <w:r w:rsidRPr="00CB458A">
        <w:rPr>
          <w:rFonts w:ascii="Times New Roman" w:hAnsi="Times New Roman"/>
          <w:b/>
          <w:szCs w:val="21"/>
        </w:rPr>
        <w:t>8</w:t>
      </w:r>
      <w:r w:rsidRPr="00CB458A">
        <w:rPr>
          <w:rFonts w:ascii="Times New Roman" w:hAnsi="Times New Roman" w:hint="eastAsia"/>
          <w:b/>
          <w:szCs w:val="21"/>
        </w:rPr>
        <w:t>：国内主要城市钢材库存与同比走势</w:t>
      </w:r>
    </w:p>
    <w:p w:rsidR="00CB458A" w:rsidRPr="00244A4A" w:rsidRDefault="00CB458A" w:rsidP="00CB458A">
      <w:pPr>
        <w:jc w:val="center"/>
      </w:pPr>
      <w:r>
        <w:rPr>
          <w:noProof/>
        </w:rPr>
        <w:drawing>
          <wp:inline distT="0" distB="0" distL="0" distR="0" wp14:anchorId="6D57A968" wp14:editId="570AF3DD">
            <wp:extent cx="4251960" cy="2339340"/>
            <wp:effectExtent l="0" t="0" r="0" b="381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1960" cy="2339340"/>
                    </a:xfrm>
                    <a:prstGeom prst="rect">
                      <a:avLst/>
                    </a:prstGeom>
                    <a:noFill/>
                    <a:ln>
                      <a:noFill/>
                    </a:ln>
                  </pic:spPr>
                </pic:pic>
              </a:graphicData>
            </a:graphic>
          </wp:inline>
        </w:drawing>
      </w:r>
    </w:p>
    <w:p w:rsidR="00CB458A" w:rsidRPr="00CB458A" w:rsidRDefault="00CB458A" w:rsidP="00CB458A">
      <w:pPr>
        <w:spacing w:line="360" w:lineRule="auto"/>
        <w:jc w:val="center"/>
        <w:rPr>
          <w:rFonts w:ascii="Times New Roman" w:hAnsi="Times New Roman"/>
          <w:b/>
          <w:szCs w:val="21"/>
        </w:rPr>
      </w:pPr>
      <w:r w:rsidRPr="00CB458A">
        <w:rPr>
          <w:rFonts w:ascii="Times New Roman" w:hAnsi="Times New Roman" w:hint="eastAsia"/>
          <w:b/>
          <w:szCs w:val="21"/>
        </w:rPr>
        <w:lastRenderedPageBreak/>
        <w:t>数据来源：</w:t>
      </w:r>
      <w:r w:rsidRPr="00CB458A">
        <w:rPr>
          <w:rFonts w:ascii="Times New Roman" w:hAnsi="Times New Roman" w:hint="eastAsia"/>
          <w:b/>
          <w:szCs w:val="21"/>
        </w:rPr>
        <w:t>wind</w:t>
      </w:r>
      <w:r w:rsidRPr="00CB458A">
        <w:rPr>
          <w:rFonts w:ascii="Times New Roman" w:hAnsi="Times New Roman" w:hint="eastAsia"/>
          <w:b/>
          <w:szCs w:val="21"/>
        </w:rPr>
        <w:t>、方正中期期货研究院整理</w:t>
      </w:r>
    </w:p>
    <w:p w:rsidR="00CB458A" w:rsidRPr="00CB458A" w:rsidRDefault="00CB458A" w:rsidP="00CB458A">
      <w:pPr>
        <w:spacing w:line="360" w:lineRule="auto"/>
        <w:jc w:val="center"/>
        <w:rPr>
          <w:rFonts w:ascii="Times New Roman" w:hAnsi="Times New Roman"/>
          <w:b/>
          <w:szCs w:val="21"/>
        </w:rPr>
      </w:pPr>
      <w:r w:rsidRPr="00CB458A">
        <w:rPr>
          <w:rFonts w:ascii="Times New Roman" w:hAnsi="Times New Roman" w:hint="eastAsia"/>
          <w:b/>
          <w:szCs w:val="21"/>
        </w:rPr>
        <w:t>图</w:t>
      </w:r>
      <w:r w:rsidRPr="00CB458A">
        <w:rPr>
          <w:rFonts w:ascii="Times New Roman" w:hAnsi="Times New Roman"/>
          <w:b/>
          <w:szCs w:val="21"/>
        </w:rPr>
        <w:t>9</w:t>
      </w:r>
      <w:r w:rsidRPr="00CB458A">
        <w:rPr>
          <w:rFonts w:ascii="Times New Roman" w:hAnsi="Times New Roman" w:hint="eastAsia"/>
          <w:b/>
          <w:szCs w:val="21"/>
        </w:rPr>
        <w:t>：国内主要钢材品种价格走势</w:t>
      </w:r>
    </w:p>
    <w:p w:rsidR="00CB458A" w:rsidRDefault="00CB458A" w:rsidP="00CB458A">
      <w:pPr>
        <w:jc w:val="center"/>
      </w:pPr>
      <w:r>
        <w:rPr>
          <w:noProof/>
        </w:rPr>
        <w:drawing>
          <wp:inline distT="0" distB="0" distL="0" distR="0" wp14:anchorId="5A3A5381" wp14:editId="0AA25D20">
            <wp:extent cx="4381500" cy="225552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5"/>
                    <pic:cNvPicPr>
                      <a:picLocks noChangeArrowheads="1"/>
                    </pic:cNvPicPr>
                  </pic:nvPicPr>
                  <pic:blipFill>
                    <a:blip r:embed="rId16">
                      <a:extLst>
                        <a:ext uri="{28A0092B-C50C-407E-A947-70E740481C1C}">
                          <a14:useLocalDpi xmlns:a14="http://schemas.microsoft.com/office/drawing/2010/main" val="0"/>
                        </a:ext>
                      </a:extLst>
                    </a:blip>
                    <a:srcRect l="-1253" t="-5762" r="-1813" b="-6773"/>
                    <a:stretch>
                      <a:fillRect/>
                    </a:stretch>
                  </pic:blipFill>
                  <pic:spPr bwMode="auto">
                    <a:xfrm>
                      <a:off x="0" y="0"/>
                      <a:ext cx="4381500" cy="2255520"/>
                    </a:xfrm>
                    <a:prstGeom prst="rect">
                      <a:avLst/>
                    </a:prstGeom>
                    <a:noFill/>
                    <a:ln>
                      <a:noFill/>
                    </a:ln>
                  </pic:spPr>
                </pic:pic>
              </a:graphicData>
            </a:graphic>
          </wp:inline>
        </w:drawing>
      </w:r>
    </w:p>
    <w:p w:rsidR="00CB458A" w:rsidRDefault="00CB458A" w:rsidP="00CB458A">
      <w:pPr>
        <w:jc w:val="center"/>
        <w:rPr>
          <w:rFonts w:ascii="Times New Roman" w:hAnsi="Times New Roman" w:hint="eastAsia"/>
          <w:b/>
          <w:szCs w:val="21"/>
        </w:rPr>
      </w:pPr>
      <w:r w:rsidRPr="00CB458A">
        <w:rPr>
          <w:rFonts w:ascii="Times New Roman" w:hAnsi="Times New Roman" w:hint="eastAsia"/>
          <w:b/>
          <w:szCs w:val="21"/>
        </w:rPr>
        <w:t>数据来源：</w:t>
      </w:r>
      <w:r w:rsidRPr="00CB458A">
        <w:rPr>
          <w:rFonts w:ascii="Times New Roman" w:hAnsi="Times New Roman" w:hint="eastAsia"/>
          <w:b/>
          <w:szCs w:val="21"/>
        </w:rPr>
        <w:t>wind</w:t>
      </w:r>
      <w:r w:rsidRPr="00CB458A">
        <w:rPr>
          <w:rFonts w:ascii="Times New Roman" w:hAnsi="Times New Roman" w:hint="eastAsia"/>
          <w:b/>
          <w:szCs w:val="21"/>
        </w:rPr>
        <w:t>、方正中期期货研究院整理</w:t>
      </w:r>
    </w:p>
    <w:p w:rsidR="00866477" w:rsidRPr="00CB458A" w:rsidRDefault="00866477" w:rsidP="00CB458A">
      <w:pPr>
        <w:jc w:val="center"/>
        <w:rPr>
          <w:rFonts w:ascii="Times New Roman" w:hAnsi="Times New Roman"/>
          <w:b/>
          <w:szCs w:val="21"/>
        </w:rPr>
      </w:pPr>
    </w:p>
    <w:p w:rsidR="00CB458A" w:rsidRPr="00866477" w:rsidRDefault="00866477" w:rsidP="00866477">
      <w:pPr>
        <w:widowControl/>
        <w:spacing w:after="200" w:line="360" w:lineRule="auto"/>
        <w:jc w:val="left"/>
        <w:rPr>
          <w:rFonts w:ascii="宋体" w:eastAsia="宋体" w:hAnsi="宋体" w:cs="Times New Roman" w:hint="eastAsia"/>
          <w:b/>
          <w:kern w:val="0"/>
          <w:sz w:val="24"/>
        </w:rPr>
      </w:pPr>
      <w:r>
        <w:rPr>
          <w:rFonts w:ascii="宋体" w:eastAsia="宋体" w:hAnsi="宋体" w:cs="Times New Roman" w:hint="eastAsia"/>
          <w:b/>
          <w:kern w:val="0"/>
          <w:sz w:val="24"/>
        </w:rPr>
        <w:t>2、</w:t>
      </w:r>
      <w:r w:rsidR="00CB458A" w:rsidRPr="00866477">
        <w:rPr>
          <w:rFonts w:ascii="宋体" w:eastAsia="宋体" w:hAnsi="宋体" w:cs="Times New Roman" w:hint="eastAsia"/>
          <w:b/>
          <w:kern w:val="0"/>
          <w:sz w:val="24"/>
        </w:rPr>
        <w:t>铁矿石中期仍有调整压力</w:t>
      </w:r>
    </w:p>
    <w:p w:rsidR="00CB458A" w:rsidRPr="00CB458A" w:rsidRDefault="00CB458A" w:rsidP="00CB458A">
      <w:pPr>
        <w:spacing w:line="360" w:lineRule="auto"/>
        <w:ind w:firstLineChars="200" w:firstLine="480"/>
        <w:rPr>
          <w:rFonts w:ascii="宋体" w:hAnsi="宋体"/>
          <w:sz w:val="24"/>
        </w:rPr>
      </w:pPr>
      <w:r w:rsidRPr="00CB458A">
        <w:rPr>
          <w:rFonts w:ascii="宋体" w:hAnsi="宋体"/>
          <w:sz w:val="24"/>
        </w:rPr>
        <w:t>相比焦煤焦炭市场</w:t>
      </w:r>
      <w:r w:rsidRPr="00CB458A">
        <w:rPr>
          <w:rFonts w:ascii="宋体" w:hAnsi="宋体" w:hint="eastAsia"/>
          <w:sz w:val="24"/>
        </w:rPr>
        <w:t>，铁矿石市场市场化成分更高，产业调整期行业洗牌</w:t>
      </w:r>
      <w:proofErr w:type="gramStart"/>
      <w:r w:rsidRPr="00CB458A">
        <w:rPr>
          <w:rFonts w:ascii="宋体" w:hAnsi="宋体" w:hint="eastAsia"/>
          <w:sz w:val="24"/>
        </w:rPr>
        <w:t>整合迹象</w:t>
      </w:r>
      <w:proofErr w:type="gramEnd"/>
      <w:r w:rsidRPr="00CB458A">
        <w:rPr>
          <w:rFonts w:ascii="宋体" w:hAnsi="宋体" w:hint="eastAsia"/>
          <w:sz w:val="24"/>
        </w:rPr>
        <w:t>更加明显。</w:t>
      </w:r>
    </w:p>
    <w:p w:rsidR="00CB458A" w:rsidRPr="00CB458A" w:rsidRDefault="00CB458A" w:rsidP="00CB458A">
      <w:pPr>
        <w:spacing w:line="360" w:lineRule="auto"/>
        <w:ind w:firstLineChars="200" w:firstLine="480"/>
        <w:rPr>
          <w:rFonts w:ascii="宋体" w:hAnsi="宋体"/>
          <w:sz w:val="24"/>
        </w:rPr>
      </w:pPr>
      <w:r w:rsidRPr="00CB458A">
        <w:rPr>
          <w:rFonts w:ascii="宋体" w:hAnsi="宋体" w:hint="eastAsia"/>
          <w:sz w:val="24"/>
        </w:rPr>
        <w:t>从最新的数据来看，</w:t>
      </w:r>
      <w:proofErr w:type="gramStart"/>
      <w:r w:rsidRPr="00CB458A">
        <w:rPr>
          <w:rFonts w:ascii="宋体" w:hAnsi="宋体" w:hint="eastAsia"/>
          <w:sz w:val="24"/>
        </w:rPr>
        <w:t>虽然矿价仍在跌跌</w:t>
      </w:r>
      <w:proofErr w:type="gramEnd"/>
      <w:r w:rsidRPr="00CB458A">
        <w:rPr>
          <w:rFonts w:ascii="宋体" w:hAnsi="宋体" w:hint="eastAsia"/>
          <w:sz w:val="24"/>
        </w:rPr>
        <w:t>不休，但这并不影响四大矿商增产的势头。世界第二大矿商力拓公司发布最新运营报告，3季度铁矿石产量创新高，同比增12%至7680万吨，环比增5%，按股权计产量为6045万吨，同比增13.2%。铁矿石发货量同比增15%至7800万吨，环比增3%，亦达创记录水平。今年前9个月，力拓铁矿石产量为2.16亿吨（按股份计1.7亿吨），发货量为2.2亿吨（按股份计1.74亿吨），创同期最高纪录。力拓维持2014年铁矿石产量目标在2.95亿吨，发货量目标维持在3亿吨。Vale三季度的铁矿石产量达8570万吨(不包含</w:t>
      </w:r>
      <w:proofErr w:type="spellStart"/>
      <w:r w:rsidRPr="00CB458A">
        <w:rPr>
          <w:rFonts w:ascii="宋体" w:hAnsi="宋体" w:hint="eastAsia"/>
          <w:sz w:val="24"/>
        </w:rPr>
        <w:t>Samarco</w:t>
      </w:r>
      <w:proofErr w:type="spellEnd"/>
      <w:r w:rsidRPr="00CB458A">
        <w:rPr>
          <w:rFonts w:ascii="宋体" w:hAnsi="宋体" w:hint="eastAsia"/>
          <w:sz w:val="24"/>
        </w:rPr>
        <w:t>产量)，环比增7.9%，同比增3.1%，创下其产量历史新高。2014年1-9月，Vale铁矿产量共计2.362亿吨，超过原先2008年前三季度的2.322亿吨的历史记录。</w:t>
      </w:r>
    </w:p>
    <w:p w:rsidR="00CB458A" w:rsidRPr="00CB458A" w:rsidRDefault="00CB458A" w:rsidP="00CB458A">
      <w:pPr>
        <w:spacing w:line="360" w:lineRule="auto"/>
        <w:ind w:firstLineChars="200" w:firstLine="480"/>
        <w:rPr>
          <w:rFonts w:ascii="宋体" w:hAnsi="宋体"/>
          <w:sz w:val="24"/>
        </w:rPr>
      </w:pPr>
      <w:proofErr w:type="gramStart"/>
      <w:r w:rsidRPr="00CB458A">
        <w:rPr>
          <w:rFonts w:ascii="宋体" w:hAnsi="宋体" w:hint="eastAsia"/>
          <w:sz w:val="24"/>
        </w:rPr>
        <w:t>相比四</w:t>
      </w:r>
      <w:proofErr w:type="gramEnd"/>
      <w:r w:rsidRPr="00CB458A">
        <w:rPr>
          <w:rFonts w:ascii="宋体" w:hAnsi="宋体" w:hint="eastAsia"/>
          <w:sz w:val="24"/>
        </w:rPr>
        <w:t>大矿山积极扩产，国内则更像是刹不住车的高速列车。国内从1990年到2013年年底，矿山累计投资约9000亿元，其中有7000亿元是2008年以后投资的，国内矿石的供应也随着产能的释放而有所增加。数据显示，我国铁矿石原矿产量从2001年的21138万吨，增长至2013年的145101万吨，增长近6倍，年均增长17.4%，年增幅最高达39.9%。据统计局数据显示：全国原矿产量保持</w:t>
      </w:r>
      <w:r w:rsidRPr="00CB458A">
        <w:rPr>
          <w:rFonts w:ascii="宋体" w:hAnsi="宋体" w:hint="eastAsia"/>
          <w:sz w:val="24"/>
        </w:rPr>
        <w:lastRenderedPageBreak/>
        <w:t>增长态势，但增速有所回落，1-9月份全国原矿产量同比增长7.2%。预计到2015年国产矿原矿产量将达到16亿吨。</w:t>
      </w:r>
    </w:p>
    <w:p w:rsidR="00CB458A" w:rsidRPr="00CB458A" w:rsidRDefault="00CB458A" w:rsidP="00CB458A">
      <w:pPr>
        <w:spacing w:line="360" w:lineRule="auto"/>
        <w:ind w:firstLineChars="200" w:firstLine="480"/>
        <w:rPr>
          <w:rFonts w:ascii="宋体" w:hAnsi="宋体"/>
          <w:sz w:val="24"/>
        </w:rPr>
      </w:pPr>
      <w:r w:rsidRPr="00CB458A">
        <w:rPr>
          <w:rFonts w:ascii="宋体" w:hAnsi="宋体" w:hint="eastAsia"/>
          <w:sz w:val="24"/>
        </w:rPr>
        <w:t>从国产矿山来看，一方面，今年钢厂附属矿山、国有矿山基本都正常生产，前期扩产项目也正在推进。大型民营矿山当前停产减产力度依然较小，且今年新增产能较多，整体产量减少有限。另一方面，国内矿山减产主要集中在中小型民营矿山，这部分矿山数量众多但产量占比相对较少，停产数量占全国的30%—40%，从6月开始陆续进入停产状态。国内铁精粉整体减量不足20%，远低于市场此前预期。且由于钢厂多数提高了进口矿配比，导致国产</w:t>
      </w:r>
      <w:proofErr w:type="gramStart"/>
      <w:r w:rsidRPr="00CB458A">
        <w:rPr>
          <w:rFonts w:ascii="宋体" w:hAnsi="宋体" w:hint="eastAsia"/>
          <w:sz w:val="24"/>
        </w:rPr>
        <w:t>矿销售</w:t>
      </w:r>
      <w:proofErr w:type="gramEnd"/>
      <w:r w:rsidRPr="00CB458A">
        <w:rPr>
          <w:rFonts w:ascii="宋体" w:hAnsi="宋体" w:hint="eastAsia"/>
          <w:sz w:val="24"/>
        </w:rPr>
        <w:t>困难，原矿库存大幅提高，库存压力或将制约后期反弹高度。1-9月份全国矿山铁精粉库存累计增长1583万吨。</w:t>
      </w:r>
    </w:p>
    <w:p w:rsidR="00CB458A" w:rsidRPr="00CB458A" w:rsidRDefault="00CB458A" w:rsidP="00CB458A">
      <w:pPr>
        <w:spacing w:line="360" w:lineRule="auto"/>
        <w:ind w:firstLineChars="200" w:firstLine="480"/>
        <w:rPr>
          <w:rFonts w:ascii="宋体" w:hAnsi="宋体"/>
          <w:sz w:val="24"/>
        </w:rPr>
      </w:pPr>
      <w:r w:rsidRPr="00CB458A">
        <w:rPr>
          <w:rFonts w:ascii="宋体" w:hAnsi="宋体" w:hint="eastAsia"/>
          <w:sz w:val="24"/>
        </w:rPr>
        <w:t>进入到下半年，国内矿山停产减产的力度有所加大，尤其是中小矿山停产数量众多，使得国内精粉产量出现了一定的下降，这对国产矿的价格起到了一定的支撑作用，但目前最大的问题还是国内矿山如何去库存化。只有改变钢厂</w:t>
      </w:r>
      <w:proofErr w:type="gramStart"/>
      <w:r w:rsidRPr="00CB458A">
        <w:rPr>
          <w:rFonts w:ascii="宋体" w:hAnsi="宋体" w:hint="eastAsia"/>
          <w:sz w:val="24"/>
        </w:rPr>
        <w:t>进口矿高配比</w:t>
      </w:r>
      <w:proofErr w:type="gramEnd"/>
      <w:r w:rsidRPr="00CB458A">
        <w:rPr>
          <w:rFonts w:ascii="宋体" w:hAnsi="宋体" w:hint="eastAsia"/>
          <w:sz w:val="24"/>
        </w:rPr>
        <w:t>的状况，才能促使钢厂对内矿的需求重新回升，而钢厂调整内外矿配比主要是根据性价比原则，目前的内外矿价差过高，导致进口</w:t>
      </w:r>
      <w:proofErr w:type="gramStart"/>
      <w:r w:rsidRPr="00CB458A">
        <w:rPr>
          <w:rFonts w:ascii="宋体" w:hAnsi="宋体" w:hint="eastAsia"/>
          <w:sz w:val="24"/>
        </w:rPr>
        <w:t>矿价格</w:t>
      </w:r>
      <w:proofErr w:type="gramEnd"/>
      <w:r w:rsidRPr="00CB458A">
        <w:rPr>
          <w:rFonts w:ascii="宋体" w:hAnsi="宋体" w:hint="eastAsia"/>
          <w:sz w:val="24"/>
        </w:rPr>
        <w:t>优势明显。</w:t>
      </w:r>
    </w:p>
    <w:p w:rsidR="00CB458A" w:rsidRPr="00CB458A" w:rsidRDefault="00CB458A" w:rsidP="00CB458A">
      <w:pPr>
        <w:spacing w:line="360" w:lineRule="auto"/>
        <w:ind w:firstLineChars="200" w:firstLine="480"/>
        <w:rPr>
          <w:rFonts w:ascii="宋体" w:hAnsi="宋体"/>
          <w:sz w:val="24"/>
        </w:rPr>
      </w:pPr>
      <w:r w:rsidRPr="00CB458A">
        <w:rPr>
          <w:rFonts w:ascii="宋体" w:hAnsi="宋体"/>
          <w:sz w:val="24"/>
        </w:rPr>
        <w:t>与超过</w:t>
      </w:r>
      <w:r w:rsidRPr="00CB458A">
        <w:rPr>
          <w:rFonts w:ascii="宋体" w:hAnsi="宋体" w:hint="eastAsia"/>
          <w:sz w:val="24"/>
        </w:rPr>
        <w:t>10%增长的矿石供应对照的是，增速日益放缓的粗钢产量。</w:t>
      </w:r>
    </w:p>
    <w:p w:rsidR="00CB458A" w:rsidRPr="00866477" w:rsidRDefault="00CB458A" w:rsidP="00CB458A">
      <w:pPr>
        <w:jc w:val="center"/>
        <w:rPr>
          <w:rFonts w:ascii="Times New Roman" w:hAnsi="Times New Roman"/>
          <w:b/>
          <w:szCs w:val="21"/>
        </w:rPr>
      </w:pPr>
      <w:r w:rsidRPr="00866477">
        <w:rPr>
          <w:rFonts w:ascii="Times New Roman" w:hAnsi="Times New Roman" w:hint="eastAsia"/>
          <w:b/>
          <w:szCs w:val="21"/>
        </w:rPr>
        <w:t>图</w:t>
      </w:r>
      <w:r w:rsidRPr="00866477">
        <w:rPr>
          <w:rFonts w:ascii="Times New Roman" w:hAnsi="Times New Roman"/>
          <w:b/>
          <w:szCs w:val="21"/>
        </w:rPr>
        <w:t>1</w:t>
      </w:r>
      <w:r w:rsidR="00866477">
        <w:rPr>
          <w:rFonts w:ascii="Times New Roman" w:hAnsi="Times New Roman" w:hint="eastAsia"/>
          <w:b/>
          <w:szCs w:val="21"/>
        </w:rPr>
        <w:t>0</w:t>
      </w:r>
      <w:bookmarkStart w:id="0" w:name="_GoBack"/>
      <w:bookmarkEnd w:id="0"/>
      <w:r w:rsidRPr="00866477">
        <w:rPr>
          <w:rFonts w:ascii="Times New Roman" w:hAnsi="Times New Roman" w:hint="eastAsia"/>
          <w:b/>
          <w:szCs w:val="21"/>
        </w:rPr>
        <w:t>：铁矿石进口量与钢材产量对比</w:t>
      </w:r>
    </w:p>
    <w:p w:rsidR="00CB458A" w:rsidRDefault="00CB458A" w:rsidP="00CB458A">
      <w:pPr>
        <w:ind w:firstLine="420"/>
        <w:jc w:val="center"/>
      </w:pPr>
      <w:r>
        <w:rPr>
          <w:noProof/>
        </w:rPr>
        <w:drawing>
          <wp:inline distT="0" distB="0" distL="0" distR="0" wp14:anchorId="564C720B" wp14:editId="4DBFF500">
            <wp:extent cx="4320000" cy="2520000"/>
            <wp:effectExtent l="0" t="0" r="4445" b="1397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458A" w:rsidRPr="00866477" w:rsidRDefault="00CB458A" w:rsidP="00CB458A">
      <w:pPr>
        <w:jc w:val="center"/>
        <w:rPr>
          <w:rFonts w:ascii="Times New Roman" w:hAnsi="Times New Roman"/>
          <w:b/>
          <w:szCs w:val="21"/>
        </w:rPr>
      </w:pPr>
      <w:r w:rsidRPr="00866477">
        <w:rPr>
          <w:rFonts w:ascii="Times New Roman" w:hAnsi="Times New Roman" w:hint="eastAsia"/>
          <w:b/>
          <w:szCs w:val="21"/>
        </w:rPr>
        <w:t>数据来源：方正中期期货研究院整理</w:t>
      </w:r>
    </w:p>
    <w:p w:rsidR="00CB458A" w:rsidRPr="00866477" w:rsidRDefault="00CB458A" w:rsidP="00866477">
      <w:pPr>
        <w:spacing w:line="360" w:lineRule="auto"/>
        <w:ind w:firstLineChars="200" w:firstLine="480"/>
        <w:rPr>
          <w:rFonts w:ascii="宋体" w:hAnsi="宋体"/>
          <w:sz w:val="24"/>
        </w:rPr>
      </w:pPr>
      <w:r w:rsidRPr="00866477">
        <w:rPr>
          <w:rFonts w:ascii="宋体" w:hAnsi="宋体" w:hint="eastAsia"/>
          <w:sz w:val="24"/>
        </w:rPr>
        <w:t>随着气温下降、APEC会议的召开，</w:t>
      </w:r>
      <w:proofErr w:type="gramStart"/>
      <w:r w:rsidRPr="00866477">
        <w:rPr>
          <w:rFonts w:ascii="宋体" w:hAnsi="宋体" w:hint="eastAsia"/>
          <w:sz w:val="24"/>
        </w:rPr>
        <w:t>钢企将</w:t>
      </w:r>
      <w:proofErr w:type="gramEnd"/>
      <w:r w:rsidRPr="00866477">
        <w:rPr>
          <w:rFonts w:ascii="宋体" w:hAnsi="宋体" w:hint="eastAsia"/>
          <w:sz w:val="24"/>
        </w:rPr>
        <w:t>进一步加大减产检修力度。不过，南方地区钢厂盈利尚可，减产积极性较低，北方地区钢厂仍将担当减产主力，后期全国</w:t>
      </w:r>
      <w:proofErr w:type="gramStart"/>
      <w:r w:rsidRPr="00866477">
        <w:rPr>
          <w:rFonts w:ascii="宋体" w:hAnsi="宋体" w:hint="eastAsia"/>
          <w:sz w:val="24"/>
        </w:rPr>
        <w:t>粗钢日均</w:t>
      </w:r>
      <w:proofErr w:type="gramEnd"/>
      <w:r w:rsidRPr="00866477">
        <w:rPr>
          <w:rFonts w:ascii="宋体" w:hAnsi="宋体" w:hint="eastAsia"/>
          <w:sz w:val="24"/>
        </w:rPr>
        <w:t>产量跌破220万吨是大概率事件。</w:t>
      </w:r>
    </w:p>
    <w:p w:rsidR="00CB458A" w:rsidRPr="00866477" w:rsidRDefault="00866477" w:rsidP="00866477">
      <w:pPr>
        <w:pStyle w:val="a5"/>
        <w:numPr>
          <w:ilvl w:val="0"/>
          <w:numId w:val="1"/>
        </w:numPr>
        <w:ind w:firstLineChars="0"/>
        <w:rPr>
          <w:rFonts w:hint="eastAsia"/>
          <w:b/>
          <w:sz w:val="28"/>
          <w:szCs w:val="28"/>
        </w:rPr>
      </w:pPr>
      <w:r w:rsidRPr="00866477">
        <w:rPr>
          <w:rFonts w:hint="eastAsia"/>
          <w:b/>
          <w:sz w:val="28"/>
          <w:szCs w:val="28"/>
        </w:rPr>
        <w:lastRenderedPageBreak/>
        <w:t>铁矿石震荡偏空操作思路不变</w:t>
      </w:r>
    </w:p>
    <w:p w:rsidR="00866477" w:rsidRPr="00866477" w:rsidRDefault="00866477" w:rsidP="00866477">
      <w:pPr>
        <w:spacing w:line="360" w:lineRule="auto"/>
        <w:ind w:firstLineChars="200" w:firstLine="480"/>
        <w:rPr>
          <w:rFonts w:ascii="宋体" w:hAnsi="宋体"/>
          <w:sz w:val="24"/>
        </w:rPr>
      </w:pPr>
      <w:r w:rsidRPr="00866477">
        <w:rPr>
          <w:rFonts w:ascii="宋体" w:hAnsi="宋体" w:hint="eastAsia"/>
          <w:sz w:val="24"/>
        </w:rPr>
        <w:t>黑色系主线钢铁市场来看，看涨看跌预期交织，炉料市场难有明显的反转基础。但不同品种之间强弱仍有区别。其中对于焦煤焦炭而言，随着煤炭进口政策的调整带来的进口量的萎缩以及APEC会议的召开，对主消费地华北带来的原料需求的缩减或继续抵消一部分供给上的缩减作用，都会对焦煤焦炭价格起到一定支撑。因此，11月焦煤焦炭价格将面临上有压力，下有支撑的局面。而矿石由于进口矿供给压力较大，建议投资者不要盲目抄底，短线维持514-560区间调整思路对待。</w:t>
      </w:r>
    </w:p>
    <w:sectPr w:rsidR="00866477" w:rsidRPr="008664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BBC" w:rsidRDefault="00785BBC" w:rsidP="00CB458A">
      <w:r>
        <w:separator/>
      </w:r>
    </w:p>
  </w:endnote>
  <w:endnote w:type="continuationSeparator" w:id="0">
    <w:p w:rsidR="00785BBC" w:rsidRDefault="00785BBC" w:rsidP="00CB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BBC" w:rsidRDefault="00785BBC" w:rsidP="00CB458A">
      <w:r>
        <w:separator/>
      </w:r>
    </w:p>
  </w:footnote>
  <w:footnote w:type="continuationSeparator" w:id="0">
    <w:p w:rsidR="00785BBC" w:rsidRDefault="00785BBC" w:rsidP="00CB4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B4F30"/>
    <w:multiLevelType w:val="hybridMultilevel"/>
    <w:tmpl w:val="B31247C8"/>
    <w:lvl w:ilvl="0" w:tplc="711E1818">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231"/>
    <w:rsid w:val="00785BBC"/>
    <w:rsid w:val="00866477"/>
    <w:rsid w:val="00CB458A"/>
    <w:rsid w:val="00D77231"/>
    <w:rsid w:val="00FD5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5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45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458A"/>
    <w:rPr>
      <w:sz w:val="18"/>
      <w:szCs w:val="18"/>
    </w:rPr>
  </w:style>
  <w:style w:type="paragraph" w:styleId="a4">
    <w:name w:val="footer"/>
    <w:basedOn w:val="a"/>
    <w:link w:val="Char0"/>
    <w:uiPriority w:val="99"/>
    <w:unhideWhenUsed/>
    <w:rsid w:val="00CB458A"/>
    <w:pPr>
      <w:tabs>
        <w:tab w:val="center" w:pos="4153"/>
        <w:tab w:val="right" w:pos="8306"/>
      </w:tabs>
      <w:snapToGrid w:val="0"/>
      <w:jc w:val="left"/>
    </w:pPr>
    <w:rPr>
      <w:sz w:val="18"/>
      <w:szCs w:val="18"/>
    </w:rPr>
  </w:style>
  <w:style w:type="character" w:customStyle="1" w:styleId="Char0">
    <w:name w:val="页脚 Char"/>
    <w:basedOn w:val="a0"/>
    <w:link w:val="a4"/>
    <w:uiPriority w:val="99"/>
    <w:rsid w:val="00CB458A"/>
    <w:rPr>
      <w:sz w:val="18"/>
      <w:szCs w:val="18"/>
    </w:rPr>
  </w:style>
  <w:style w:type="paragraph" w:styleId="a5">
    <w:name w:val="List Paragraph"/>
    <w:basedOn w:val="a"/>
    <w:uiPriority w:val="34"/>
    <w:qFormat/>
    <w:rsid w:val="00CB458A"/>
    <w:pPr>
      <w:ind w:firstLineChars="200" w:firstLine="420"/>
    </w:pPr>
  </w:style>
  <w:style w:type="paragraph" w:styleId="a6">
    <w:name w:val="Balloon Text"/>
    <w:basedOn w:val="a"/>
    <w:link w:val="Char1"/>
    <w:uiPriority w:val="99"/>
    <w:semiHidden/>
    <w:unhideWhenUsed/>
    <w:rsid w:val="00CB458A"/>
    <w:rPr>
      <w:sz w:val="18"/>
      <w:szCs w:val="18"/>
    </w:rPr>
  </w:style>
  <w:style w:type="character" w:customStyle="1" w:styleId="Char1">
    <w:name w:val="批注框文本 Char"/>
    <w:basedOn w:val="a0"/>
    <w:link w:val="a6"/>
    <w:uiPriority w:val="99"/>
    <w:semiHidden/>
    <w:rsid w:val="00CB45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5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45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B458A"/>
    <w:rPr>
      <w:sz w:val="18"/>
      <w:szCs w:val="18"/>
    </w:rPr>
  </w:style>
  <w:style w:type="paragraph" w:styleId="a4">
    <w:name w:val="footer"/>
    <w:basedOn w:val="a"/>
    <w:link w:val="Char0"/>
    <w:uiPriority w:val="99"/>
    <w:unhideWhenUsed/>
    <w:rsid w:val="00CB458A"/>
    <w:pPr>
      <w:tabs>
        <w:tab w:val="center" w:pos="4153"/>
        <w:tab w:val="right" w:pos="8306"/>
      </w:tabs>
      <w:snapToGrid w:val="0"/>
      <w:jc w:val="left"/>
    </w:pPr>
    <w:rPr>
      <w:sz w:val="18"/>
      <w:szCs w:val="18"/>
    </w:rPr>
  </w:style>
  <w:style w:type="character" w:customStyle="1" w:styleId="Char0">
    <w:name w:val="页脚 Char"/>
    <w:basedOn w:val="a0"/>
    <w:link w:val="a4"/>
    <w:uiPriority w:val="99"/>
    <w:rsid w:val="00CB458A"/>
    <w:rPr>
      <w:sz w:val="18"/>
      <w:szCs w:val="18"/>
    </w:rPr>
  </w:style>
  <w:style w:type="paragraph" w:styleId="a5">
    <w:name w:val="List Paragraph"/>
    <w:basedOn w:val="a"/>
    <w:uiPriority w:val="34"/>
    <w:qFormat/>
    <w:rsid w:val="00CB458A"/>
    <w:pPr>
      <w:ind w:firstLineChars="200" w:firstLine="420"/>
    </w:pPr>
  </w:style>
  <w:style w:type="paragraph" w:styleId="a6">
    <w:name w:val="Balloon Text"/>
    <w:basedOn w:val="a"/>
    <w:link w:val="Char1"/>
    <w:uiPriority w:val="99"/>
    <w:semiHidden/>
    <w:unhideWhenUsed/>
    <w:rsid w:val="00CB458A"/>
    <w:rPr>
      <w:sz w:val="18"/>
      <w:szCs w:val="18"/>
    </w:rPr>
  </w:style>
  <w:style w:type="character" w:customStyle="1" w:styleId="Char1">
    <w:name w:val="批注框文本 Char"/>
    <w:basedOn w:val="a0"/>
    <w:link w:val="a6"/>
    <w:uiPriority w:val="99"/>
    <w:semiHidden/>
    <w:rsid w:val="00CB45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[方正中期研究院：钢材期货研究体系与数据库 (自动保存的).xlsx]Sheet8!数据透视表1</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pivotFmt>
      <c:pivotFmt>
        <c:idx val="4"/>
        <c:spPr>
          <a:solidFill>
            <a:schemeClr val="accent1"/>
          </a:solidFill>
          <a:ln w="28575" cap="rnd">
            <a:solidFill>
              <a:schemeClr val="accent1"/>
            </a:solidFill>
            <a:round/>
          </a:ln>
          <a:effectLst/>
        </c:spPr>
        <c:marker>
          <c:symbol val="none"/>
        </c:marker>
      </c:pivotFmt>
      <c:pivotFmt>
        <c:idx val="5"/>
        <c:spPr>
          <a:solidFill>
            <a:schemeClr val="accent1"/>
          </a:solidFill>
          <a:ln w="28575" cap="rnd">
            <a:solidFill>
              <a:schemeClr val="accent1"/>
            </a:solidFill>
            <a:round/>
          </a:ln>
          <a:effectLst/>
        </c:spPr>
        <c:marker>
          <c:symbol val="none"/>
        </c:marker>
      </c:pivotFmt>
      <c:pivotFmt>
        <c:idx val="6"/>
        <c:spPr>
          <a:solidFill>
            <a:schemeClr val="accent1"/>
          </a:solidFill>
          <a:ln w="28575" cap="rnd">
            <a:solidFill>
              <a:schemeClr val="accent1"/>
            </a:solidFill>
            <a:round/>
          </a:ln>
          <a:effectLst/>
        </c:spPr>
        <c:marker>
          <c:symbol val="none"/>
        </c:marker>
      </c:pivotFmt>
      <c:pivotFmt>
        <c:idx val="7"/>
        <c:spPr>
          <a:solidFill>
            <a:schemeClr val="accent1"/>
          </a:solidFill>
          <a:ln w="28575" cap="rnd">
            <a:solidFill>
              <a:schemeClr val="accent1"/>
            </a:solidFill>
            <a:round/>
          </a:ln>
          <a:effectLst/>
        </c:spPr>
        <c:marker>
          <c:symbol val="none"/>
        </c:marker>
      </c:pivotFmt>
      <c:pivotFmt>
        <c:idx val="8"/>
        <c:spPr>
          <a:solidFill>
            <a:schemeClr val="accent1"/>
          </a:solidFill>
          <a:ln w="28575" cap="rnd">
            <a:solidFill>
              <a:schemeClr val="accent1"/>
            </a:solidFill>
            <a:round/>
          </a:ln>
          <a:effectLst/>
        </c:spPr>
        <c:marker>
          <c:symbol val="none"/>
        </c:marker>
      </c:pivotFmt>
      <c:pivotFmt>
        <c:idx val="9"/>
        <c:spPr>
          <a:solidFill>
            <a:schemeClr val="accent1"/>
          </a:solidFill>
          <a:ln w="28575" cap="rnd">
            <a:solidFill>
              <a:schemeClr val="accent1"/>
            </a:solidFill>
            <a:round/>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s>
    <c:plotArea>
      <c:layout>
        <c:manualLayout>
          <c:layoutTarget val="inner"/>
          <c:xMode val="edge"/>
          <c:yMode val="edge"/>
          <c:x val="7.9247594050743664E-2"/>
          <c:y val="5.0925925925925923E-2"/>
          <c:w val="0.90598709536307964"/>
          <c:h val="0.62557596967045781"/>
        </c:manualLayout>
      </c:layout>
      <c:barChart>
        <c:barDir val="col"/>
        <c:grouping val="clustered"/>
        <c:varyColors val="0"/>
        <c:ser>
          <c:idx val="0"/>
          <c:order val="0"/>
          <c:tx>
            <c:strRef>
              <c:f>Sheet8!$B$1</c:f>
              <c:strCache>
                <c:ptCount val="1"/>
                <c:pt idx="0">
                  <c:v> 产量:铁矿石原矿量:当月同比</c:v>
                </c:pt>
              </c:strCache>
            </c:strRef>
          </c:tx>
          <c:spPr>
            <a:solidFill>
              <a:schemeClr val="accent1"/>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Sheet8!$B$2:$B$11</c:f>
              <c:numCache>
                <c:formatCode>General</c:formatCode>
                <c:ptCount val="10"/>
                <c:pt idx="2">
                  <c:v>10</c:v>
                </c:pt>
                <c:pt idx="3">
                  <c:v>12.291700000000001</c:v>
                </c:pt>
                <c:pt idx="4">
                  <c:v>12.674899999999999</c:v>
                </c:pt>
                <c:pt idx="5">
                  <c:v>7.2907999999999999</c:v>
                </c:pt>
                <c:pt idx="6">
                  <c:v>11.397500000000001</c:v>
                </c:pt>
                <c:pt idx="7">
                  <c:v>3.9396</c:v>
                </c:pt>
                <c:pt idx="8">
                  <c:v>-0.35720000000000002</c:v>
                </c:pt>
              </c:numCache>
            </c:numRef>
          </c:val>
        </c:ser>
        <c:ser>
          <c:idx val="1"/>
          <c:order val="1"/>
          <c:tx>
            <c:strRef>
              <c:f>Sheet8!$C$1</c:f>
              <c:strCache>
                <c:ptCount val="1"/>
                <c:pt idx="0">
                  <c:v> 产量:生铁:当月同比</c:v>
                </c:pt>
              </c:strCache>
            </c:strRef>
          </c:tx>
          <c:spPr>
            <a:solidFill>
              <a:schemeClr val="accent2"/>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Sheet8!$C$2:$C$11</c:f>
              <c:numCache>
                <c:formatCode>General</c:formatCode>
                <c:ptCount val="10"/>
                <c:pt idx="2">
                  <c:v>-0.9</c:v>
                </c:pt>
                <c:pt idx="3">
                  <c:v>-0.75109999999999999</c:v>
                </c:pt>
                <c:pt idx="4">
                  <c:v>0.19950000000000001</c:v>
                </c:pt>
                <c:pt idx="5">
                  <c:v>2.2812000000000001</c:v>
                </c:pt>
                <c:pt idx="6">
                  <c:v>-0.5968</c:v>
                </c:pt>
                <c:pt idx="7">
                  <c:v>0.158</c:v>
                </c:pt>
                <c:pt idx="8">
                  <c:v>-0.54210000000000003</c:v>
                </c:pt>
              </c:numCache>
            </c:numRef>
          </c:val>
        </c:ser>
        <c:ser>
          <c:idx val="2"/>
          <c:order val="2"/>
          <c:tx>
            <c:strRef>
              <c:f>Sheet8!$D$1</c:f>
              <c:strCache>
                <c:ptCount val="1"/>
                <c:pt idx="0">
                  <c:v> 产量:粗钢:当月同比</c:v>
                </c:pt>
              </c:strCache>
            </c:strRef>
          </c:tx>
          <c:spPr>
            <a:solidFill>
              <a:schemeClr val="accent3"/>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Sheet8!$D$2:$D$11</c:f>
              <c:numCache>
                <c:formatCode>General</c:formatCode>
                <c:ptCount val="10"/>
                <c:pt idx="2">
                  <c:v>2.2000000000000002</c:v>
                </c:pt>
                <c:pt idx="3">
                  <c:v>2.1482999999999999</c:v>
                </c:pt>
                <c:pt idx="4">
                  <c:v>2.5583</c:v>
                </c:pt>
                <c:pt idx="5">
                  <c:v>4.5118999999999998</c:v>
                </c:pt>
                <c:pt idx="6">
                  <c:v>1.526</c:v>
                </c:pt>
                <c:pt idx="7">
                  <c:v>1.0398000000000001</c:v>
                </c:pt>
                <c:pt idx="8">
                  <c:v>1.7500000000000002E-2</c:v>
                </c:pt>
              </c:numCache>
            </c:numRef>
          </c:val>
        </c:ser>
        <c:ser>
          <c:idx val="3"/>
          <c:order val="3"/>
          <c:tx>
            <c:strRef>
              <c:f>Sheet8!$E$1</c:f>
              <c:strCache>
                <c:ptCount val="1"/>
                <c:pt idx="0">
                  <c:v> 产量:钢材:当月同比</c:v>
                </c:pt>
              </c:strCache>
            </c:strRef>
          </c:tx>
          <c:spPr>
            <a:solidFill>
              <a:schemeClr val="accent4"/>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Sheet8!$E$2:$E$11</c:f>
              <c:numCache>
                <c:formatCode>General</c:formatCode>
                <c:ptCount val="10"/>
                <c:pt idx="2">
                  <c:v>5</c:v>
                </c:pt>
                <c:pt idx="3">
                  <c:v>5.4047000000000001</c:v>
                </c:pt>
                <c:pt idx="4">
                  <c:v>6.0857999999999999</c:v>
                </c:pt>
                <c:pt idx="5">
                  <c:v>7.1014999999999997</c:v>
                </c:pt>
                <c:pt idx="6">
                  <c:v>3.6871999999999998</c:v>
                </c:pt>
                <c:pt idx="7">
                  <c:v>2.4277000000000002</c:v>
                </c:pt>
                <c:pt idx="8">
                  <c:v>1.7267999999999999</c:v>
                </c:pt>
              </c:numCache>
            </c:numRef>
          </c:val>
        </c:ser>
        <c:ser>
          <c:idx val="4"/>
          <c:order val="4"/>
          <c:tx>
            <c:strRef>
              <c:f>Sheet8!$F$1</c:f>
              <c:strCache>
                <c:ptCount val="1"/>
                <c:pt idx="0">
                  <c:v> 铁矿砂及其精矿进口量:当月值同比</c:v>
                </c:pt>
              </c:strCache>
            </c:strRef>
          </c:tx>
          <c:spPr>
            <a:solidFill>
              <a:schemeClr val="accent5"/>
            </a:solidFill>
            <a:ln>
              <a:noFill/>
            </a:ln>
            <a:effectLst/>
          </c:spPr>
          <c:invertIfNegative val="0"/>
          <c:cat>
            <c:strRef>
              <c:f>Sheet8!$A$2:$A$11</c:f>
              <c:strCache>
                <c:ptCount val="10"/>
                <c:pt idx="0">
                  <c:v>2014-01</c:v>
                </c:pt>
                <c:pt idx="1">
                  <c:v>2014-02</c:v>
                </c:pt>
                <c:pt idx="2">
                  <c:v>2014-03</c:v>
                </c:pt>
                <c:pt idx="3">
                  <c:v>2014-04</c:v>
                </c:pt>
                <c:pt idx="4">
                  <c:v>2014-05</c:v>
                </c:pt>
                <c:pt idx="5">
                  <c:v>2014-06</c:v>
                </c:pt>
                <c:pt idx="6">
                  <c:v>2014-07</c:v>
                </c:pt>
                <c:pt idx="7">
                  <c:v>2014-08</c:v>
                </c:pt>
                <c:pt idx="8">
                  <c:v>2014-09</c:v>
                </c:pt>
                <c:pt idx="9">
                  <c:v>2014-10</c:v>
                </c:pt>
              </c:strCache>
            </c:strRef>
          </c:cat>
          <c:val>
            <c:numRef>
              <c:f>Sheet8!$F$2:$F$11</c:f>
              <c:numCache>
                <c:formatCode>General</c:formatCode>
                <c:ptCount val="10"/>
                <c:pt idx="0">
                  <c:v>32.491008544400358</c:v>
                </c:pt>
                <c:pt idx="1">
                  <c:v>8.5468309110244576</c:v>
                </c:pt>
                <c:pt idx="2">
                  <c:v>14.580731216111543</c:v>
                </c:pt>
                <c:pt idx="3">
                  <c:v>24.179687267311976</c:v>
                </c:pt>
                <c:pt idx="4">
                  <c:v>12.86712952158693</c:v>
                </c:pt>
                <c:pt idx="5">
                  <c:v>19.688110754414126</c:v>
                </c:pt>
                <c:pt idx="6">
                  <c:v>12.822220399234338</c:v>
                </c:pt>
                <c:pt idx="7">
                  <c:v>8.5080394145775973</c:v>
                </c:pt>
                <c:pt idx="8">
                  <c:v>13.562472512737999</c:v>
                </c:pt>
                <c:pt idx="9">
                  <c:v>17.042606516290729</c:v>
                </c:pt>
              </c:numCache>
            </c:numRef>
          </c:val>
        </c:ser>
        <c:dLbls>
          <c:showLegendKey val="0"/>
          <c:showVal val="0"/>
          <c:showCatName val="0"/>
          <c:showSerName val="0"/>
          <c:showPercent val="0"/>
          <c:showBubbleSize val="0"/>
        </c:dLbls>
        <c:gapWidth val="150"/>
        <c:axId val="206992896"/>
        <c:axId val="206994432"/>
      </c:barChart>
      <c:catAx>
        <c:axId val="2069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994432"/>
        <c:crosses val="autoZero"/>
        <c:auto val="1"/>
        <c:lblAlgn val="ctr"/>
        <c:lblOffset val="100"/>
        <c:noMultiLvlLbl val="0"/>
      </c:catAx>
      <c:valAx>
        <c:axId val="2069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6992896"/>
        <c:crosses val="autoZero"/>
        <c:crossBetween val="between"/>
      </c:valAx>
      <c:spPr>
        <a:noFill/>
        <a:ln>
          <a:noFill/>
        </a:ln>
        <a:effectLst/>
      </c:spPr>
    </c:plotArea>
    <c:legend>
      <c:legendPos val="b"/>
      <c:layout>
        <c:manualLayout>
          <c:xMode val="edge"/>
          <c:yMode val="edge"/>
          <c:x val="1.4659667541557298E-2"/>
          <c:y val="0.70890930300379118"/>
          <c:w val="0.95956955380577424"/>
          <c:h val="0.2633129192184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532</Words>
  <Characters>3036</Characters>
  <Application>Microsoft Office Word</Application>
  <DocSecurity>0</DocSecurity>
  <Lines>25</Lines>
  <Paragraphs>7</Paragraphs>
  <ScaleCrop>false</ScaleCrop>
  <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niu</dc:creator>
  <cp:keywords/>
  <dc:description/>
  <cp:lastModifiedBy>niu</cp:lastModifiedBy>
  <cp:revision>2</cp:revision>
  <dcterms:created xsi:type="dcterms:W3CDTF">2014-11-13T02:45:00Z</dcterms:created>
  <dcterms:modified xsi:type="dcterms:W3CDTF">2014-11-13T03:00:00Z</dcterms:modified>
</cp:coreProperties>
</file>