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C38" w:rsidRPr="009535FA" w:rsidRDefault="009535FA" w:rsidP="009535FA">
      <w:pPr>
        <w:pStyle w:val="1"/>
        <w:jc w:val="center"/>
        <w:rPr>
          <w:rFonts w:asciiTheme="majorEastAsia" w:eastAsiaTheme="majorEastAsia" w:hAnsiTheme="majorEastAsia"/>
          <w:sz w:val="32"/>
          <w:szCs w:val="32"/>
        </w:rPr>
      </w:pPr>
      <w:r w:rsidRPr="009535FA">
        <w:rPr>
          <w:rFonts w:asciiTheme="majorEastAsia" w:eastAsiaTheme="majorEastAsia" w:hAnsiTheme="majorEastAsia"/>
          <w:sz w:val="32"/>
          <w:szCs w:val="32"/>
        </w:rPr>
        <w:t>题材支撑有限</w:t>
      </w:r>
      <w:r w:rsidRPr="009535FA">
        <w:rPr>
          <w:rFonts w:asciiTheme="majorEastAsia" w:eastAsiaTheme="majorEastAsia" w:hAnsiTheme="majorEastAsia" w:hint="eastAsia"/>
          <w:sz w:val="32"/>
          <w:szCs w:val="32"/>
        </w:rPr>
        <w:t xml:space="preserve"> 铁矿石仍处跌势</w:t>
      </w:r>
      <w:bookmarkStart w:id="0" w:name="_GoBack"/>
      <w:bookmarkEnd w:id="0"/>
    </w:p>
    <w:p w:rsidR="009535FA" w:rsidRPr="001D205B" w:rsidRDefault="009535FA" w:rsidP="009535FA">
      <w:pPr>
        <w:pStyle w:val="a3"/>
        <w:numPr>
          <w:ilvl w:val="0"/>
          <w:numId w:val="1"/>
        </w:numPr>
        <w:ind w:firstLineChars="0"/>
        <w:rPr>
          <w:rFonts w:asciiTheme="majorEastAsia" w:eastAsiaTheme="majorEastAsia" w:hAnsiTheme="majorEastAsia"/>
          <w:b/>
          <w:sz w:val="24"/>
          <w:szCs w:val="24"/>
        </w:rPr>
      </w:pPr>
      <w:r w:rsidRPr="001D205B">
        <w:rPr>
          <w:rFonts w:asciiTheme="majorEastAsia" w:eastAsiaTheme="majorEastAsia" w:hAnsiTheme="majorEastAsia"/>
          <w:b/>
          <w:sz w:val="24"/>
          <w:szCs w:val="24"/>
        </w:rPr>
        <w:t>四大矿山持续扩产</w:t>
      </w:r>
      <w:r w:rsidR="00A768B0" w:rsidRPr="001D205B">
        <w:rPr>
          <w:rFonts w:asciiTheme="majorEastAsia" w:eastAsiaTheme="majorEastAsia" w:hAnsiTheme="majorEastAsia" w:hint="eastAsia"/>
          <w:b/>
          <w:sz w:val="24"/>
          <w:szCs w:val="24"/>
        </w:rPr>
        <w:t xml:space="preserve"> 供需继续恶化</w:t>
      </w:r>
    </w:p>
    <w:p w:rsidR="00DB0FF8" w:rsidRDefault="00A768B0" w:rsidP="00A768B0">
      <w:pPr>
        <w:pStyle w:val="a3"/>
        <w:ind w:left="426" w:firstLineChars="0" w:firstLine="414"/>
        <w:rPr>
          <w:rFonts w:hint="eastAsia"/>
        </w:rPr>
      </w:pPr>
      <w:r>
        <w:rPr>
          <w:rFonts w:hint="eastAsia"/>
        </w:rPr>
        <w:t>随着投产铁矿石产量的持续放大，从</w:t>
      </w:r>
      <w:r>
        <w:rPr>
          <w:rFonts w:hint="eastAsia"/>
        </w:rPr>
        <w:t>2013</w:t>
      </w:r>
      <w:r>
        <w:rPr>
          <w:rFonts w:hint="eastAsia"/>
        </w:rPr>
        <w:t>年底开始，铁矿石</w:t>
      </w:r>
      <w:proofErr w:type="gramStart"/>
      <w:r>
        <w:rPr>
          <w:rFonts w:hint="eastAsia"/>
        </w:rPr>
        <w:t>一</w:t>
      </w:r>
      <w:proofErr w:type="gramEnd"/>
      <w:r>
        <w:rPr>
          <w:rFonts w:hint="eastAsia"/>
        </w:rPr>
        <w:t>改过去供不应求的局面，进入供过于求的时代，而且</w:t>
      </w:r>
      <w:r w:rsidR="00DB0FF8">
        <w:rPr>
          <w:rFonts w:hint="eastAsia"/>
        </w:rPr>
        <w:t>供给过剩的局面至少将持续到</w:t>
      </w:r>
      <w:r w:rsidR="00DB0FF8">
        <w:rPr>
          <w:rFonts w:hint="eastAsia"/>
        </w:rPr>
        <w:t>2015</w:t>
      </w:r>
      <w:r w:rsidR="00DB0FF8">
        <w:rPr>
          <w:rFonts w:hint="eastAsia"/>
        </w:rPr>
        <w:t>年。</w:t>
      </w:r>
    </w:p>
    <w:p w:rsidR="00DB0FF8" w:rsidRDefault="00DB0FF8" w:rsidP="00DB0FF8">
      <w:pPr>
        <w:pStyle w:val="a3"/>
        <w:ind w:left="426" w:firstLineChars="0" w:firstLine="414"/>
        <w:jc w:val="center"/>
        <w:rPr>
          <w:rFonts w:hint="eastAsia"/>
        </w:rPr>
      </w:pPr>
      <w:r>
        <w:rPr>
          <w:rFonts w:hint="eastAsia"/>
        </w:rPr>
        <w:t>图</w:t>
      </w:r>
      <w:r>
        <w:rPr>
          <w:rFonts w:hint="eastAsia"/>
        </w:rPr>
        <w:t>1</w:t>
      </w:r>
      <w:r>
        <w:rPr>
          <w:rFonts w:hint="eastAsia"/>
        </w:rPr>
        <w:t>：铁矿石与生铁产量对比</w:t>
      </w:r>
    </w:p>
    <w:p w:rsidR="00E65D2A" w:rsidRDefault="00A768B0" w:rsidP="00E65D2A">
      <w:pPr>
        <w:pStyle w:val="a3"/>
        <w:ind w:left="852" w:firstLineChars="0" w:firstLine="0"/>
      </w:pPr>
      <w:r>
        <w:rPr>
          <w:noProof/>
        </w:rPr>
        <w:drawing>
          <wp:inline distT="0" distB="0" distL="0" distR="0" wp14:anchorId="330B3978">
            <wp:extent cx="5040000" cy="2520000"/>
            <wp:effectExtent l="0" t="0" r="8255"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000" cy="2520000"/>
                    </a:xfrm>
                    <a:prstGeom prst="rect">
                      <a:avLst/>
                    </a:prstGeom>
                    <a:noFill/>
                  </pic:spPr>
                </pic:pic>
              </a:graphicData>
            </a:graphic>
          </wp:inline>
        </w:drawing>
      </w:r>
    </w:p>
    <w:p w:rsidR="00DB0FF8" w:rsidRDefault="00DB0FF8" w:rsidP="00E65D2A">
      <w:pPr>
        <w:pStyle w:val="a3"/>
        <w:ind w:left="852" w:firstLineChars="0" w:firstLine="0"/>
      </w:pPr>
      <w:r>
        <w:rPr>
          <w:rFonts w:hint="eastAsia"/>
        </w:rPr>
        <w:t>资料来源：</w:t>
      </w:r>
      <w:proofErr w:type="gramStart"/>
      <w:r>
        <w:rPr>
          <w:rFonts w:hint="eastAsia"/>
        </w:rPr>
        <w:t>wind</w:t>
      </w:r>
      <w:proofErr w:type="gramEnd"/>
    </w:p>
    <w:p w:rsidR="00DB0FF8" w:rsidRDefault="00DB0FF8" w:rsidP="00DB0FF8">
      <w:pPr>
        <w:pStyle w:val="a3"/>
        <w:ind w:left="426" w:firstLineChars="0" w:firstLine="414"/>
      </w:pPr>
      <w:r>
        <w:t>对比铁矿石与下游生铁今年以来的</w:t>
      </w:r>
      <w:r>
        <w:rPr>
          <w:rFonts w:hint="eastAsia"/>
        </w:rPr>
        <w:t>累计产量同比增幅，可以很明显看到，铁矿石即使在价格几近腰斩的背景下，产量的同比增幅仍然远远超过生铁产量的增幅。</w:t>
      </w:r>
    </w:p>
    <w:p w:rsidR="00DB0FF8" w:rsidRDefault="00DB0FF8" w:rsidP="00DB0FF8">
      <w:pPr>
        <w:pStyle w:val="a3"/>
        <w:ind w:left="426" w:firstLineChars="0" w:firstLine="414"/>
        <w:jc w:val="center"/>
        <w:rPr>
          <w:rFonts w:hint="eastAsia"/>
        </w:rPr>
      </w:pPr>
      <w:r>
        <w:rPr>
          <w:rFonts w:hint="eastAsia"/>
        </w:rPr>
        <w:t>图</w:t>
      </w:r>
      <w:r>
        <w:t>2</w:t>
      </w:r>
      <w:r>
        <w:rPr>
          <w:rFonts w:hint="eastAsia"/>
        </w:rPr>
        <w:t>：</w:t>
      </w:r>
      <w:r>
        <w:rPr>
          <w:rFonts w:hint="eastAsia"/>
        </w:rPr>
        <w:t>四大矿山季度产量</w:t>
      </w:r>
    </w:p>
    <w:p w:rsidR="00DB0FF8" w:rsidRDefault="00DB0FF8" w:rsidP="00DB0FF8">
      <w:pPr>
        <w:pStyle w:val="a3"/>
        <w:ind w:left="426" w:firstLineChars="0" w:firstLine="414"/>
      </w:pPr>
      <w:r>
        <w:rPr>
          <w:noProof/>
        </w:rPr>
        <w:drawing>
          <wp:inline distT="0" distB="0" distL="0" distR="0" wp14:anchorId="08189F49">
            <wp:extent cx="5040000" cy="2520000"/>
            <wp:effectExtent l="0" t="0" r="8255"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0" cy="2520000"/>
                    </a:xfrm>
                    <a:prstGeom prst="rect">
                      <a:avLst/>
                    </a:prstGeom>
                    <a:noFill/>
                  </pic:spPr>
                </pic:pic>
              </a:graphicData>
            </a:graphic>
          </wp:inline>
        </w:drawing>
      </w:r>
    </w:p>
    <w:p w:rsidR="00DB0FF8" w:rsidRDefault="00DB0FF8" w:rsidP="00DB0FF8">
      <w:pPr>
        <w:pStyle w:val="a3"/>
        <w:ind w:left="852" w:firstLineChars="0" w:firstLine="0"/>
      </w:pPr>
      <w:r>
        <w:rPr>
          <w:rFonts w:hint="eastAsia"/>
        </w:rPr>
        <w:t>资料来源：</w:t>
      </w:r>
      <w:proofErr w:type="gramStart"/>
      <w:r>
        <w:rPr>
          <w:rFonts w:hint="eastAsia"/>
        </w:rPr>
        <w:t>wind</w:t>
      </w:r>
      <w:proofErr w:type="gramEnd"/>
    </w:p>
    <w:p w:rsidR="00DB0FF8" w:rsidRDefault="00686331" w:rsidP="00DB0FF8">
      <w:pPr>
        <w:pStyle w:val="a3"/>
        <w:ind w:left="426" w:firstLineChars="0" w:firstLine="414"/>
      </w:pPr>
      <w:r w:rsidRPr="00686331">
        <w:rPr>
          <w:rFonts w:hint="eastAsia"/>
        </w:rPr>
        <w:t>2014</w:t>
      </w:r>
      <w:r w:rsidRPr="00686331">
        <w:rPr>
          <w:rFonts w:hint="eastAsia"/>
        </w:rPr>
        <w:t>年以来</w:t>
      </w:r>
      <w:r>
        <w:rPr>
          <w:rFonts w:hint="eastAsia"/>
        </w:rPr>
        <w:t>虽然国际铁矿石价格大幅下跌，但</w:t>
      </w:r>
      <w:r w:rsidRPr="00686331">
        <w:rPr>
          <w:rFonts w:hint="eastAsia"/>
        </w:rPr>
        <w:t>四大矿山巨头</w:t>
      </w:r>
      <w:r>
        <w:rPr>
          <w:rFonts w:hint="eastAsia"/>
        </w:rPr>
        <w:t>仍</w:t>
      </w:r>
      <w:r w:rsidRPr="00686331">
        <w:rPr>
          <w:rFonts w:hint="eastAsia"/>
        </w:rPr>
        <w:t>大幅扩产</w:t>
      </w:r>
      <w:r w:rsidR="00BD1DD8">
        <w:rPr>
          <w:rFonts w:hint="eastAsia"/>
        </w:rPr>
        <w:t>。前三季度</w:t>
      </w:r>
      <w:r w:rsidRPr="00686331">
        <w:rPr>
          <w:rFonts w:hint="eastAsia"/>
        </w:rPr>
        <w:t>FMG</w:t>
      </w:r>
      <w:r w:rsidRPr="00686331">
        <w:rPr>
          <w:rFonts w:hint="eastAsia"/>
        </w:rPr>
        <w:t>集团</w:t>
      </w:r>
      <w:r w:rsidR="00BD1DD8">
        <w:rPr>
          <w:rFonts w:hint="eastAsia"/>
        </w:rPr>
        <w:t>产量同比增加</w:t>
      </w:r>
      <w:r w:rsidR="00BD1DD8">
        <w:rPr>
          <w:rFonts w:hint="eastAsia"/>
        </w:rPr>
        <w:t>23</w:t>
      </w:r>
      <w:r w:rsidR="00BD1DD8">
        <w:t>.1</w:t>
      </w:r>
      <w:r w:rsidR="00BD1DD8">
        <w:rPr>
          <w:rFonts w:hint="eastAsia"/>
        </w:rPr>
        <w:t>%</w:t>
      </w:r>
      <w:r w:rsidR="00BD1DD8">
        <w:rPr>
          <w:rFonts w:hint="eastAsia"/>
        </w:rPr>
        <w:t>至</w:t>
      </w:r>
      <w:r w:rsidR="00BD1DD8">
        <w:rPr>
          <w:rFonts w:hint="eastAsia"/>
        </w:rPr>
        <w:t>1.16</w:t>
      </w:r>
      <w:r w:rsidR="00BD1DD8">
        <w:rPr>
          <w:rFonts w:hint="eastAsia"/>
        </w:rPr>
        <w:t>亿吨</w:t>
      </w:r>
      <w:r w:rsidRPr="00686331">
        <w:rPr>
          <w:rFonts w:hint="eastAsia"/>
        </w:rPr>
        <w:t>，必</w:t>
      </w:r>
      <w:proofErr w:type="gramStart"/>
      <w:r w:rsidRPr="00686331">
        <w:rPr>
          <w:rFonts w:hint="eastAsia"/>
        </w:rPr>
        <w:t>和必拓</w:t>
      </w:r>
      <w:r w:rsidR="00BD1DD8">
        <w:rPr>
          <w:rFonts w:hint="eastAsia"/>
        </w:rPr>
        <w:t>产量</w:t>
      </w:r>
      <w:proofErr w:type="gramEnd"/>
      <w:r w:rsidR="00BD1DD8">
        <w:rPr>
          <w:rFonts w:hint="eastAsia"/>
        </w:rPr>
        <w:t>同比增加</w:t>
      </w:r>
      <w:r w:rsidR="00BD1DD8">
        <w:rPr>
          <w:rFonts w:hint="eastAsia"/>
        </w:rPr>
        <w:t>19.1%</w:t>
      </w:r>
      <w:r w:rsidR="00BD1DD8">
        <w:rPr>
          <w:rFonts w:hint="eastAsia"/>
        </w:rPr>
        <w:t>至</w:t>
      </w:r>
      <w:r w:rsidR="00BD1DD8">
        <w:rPr>
          <w:rFonts w:hint="eastAsia"/>
        </w:rPr>
        <w:t>1.63</w:t>
      </w:r>
      <w:r w:rsidR="00BD1DD8">
        <w:rPr>
          <w:rFonts w:hint="eastAsia"/>
        </w:rPr>
        <w:t>亿吨</w:t>
      </w:r>
      <w:r w:rsidRPr="00686331">
        <w:rPr>
          <w:rFonts w:hint="eastAsia"/>
        </w:rPr>
        <w:t>，力拓</w:t>
      </w:r>
      <w:r w:rsidR="00BD1DD8">
        <w:rPr>
          <w:rFonts w:hint="eastAsia"/>
        </w:rPr>
        <w:t>产量同比增加</w:t>
      </w:r>
      <w:r w:rsidR="00BD1DD8">
        <w:rPr>
          <w:rFonts w:hint="eastAsia"/>
        </w:rPr>
        <w:t>11%</w:t>
      </w:r>
      <w:r w:rsidR="00BD1DD8">
        <w:rPr>
          <w:rFonts w:hint="eastAsia"/>
        </w:rPr>
        <w:t>至</w:t>
      </w:r>
      <w:r w:rsidR="00BD1DD8">
        <w:rPr>
          <w:rFonts w:hint="eastAsia"/>
        </w:rPr>
        <w:t>1.7</w:t>
      </w:r>
      <w:r w:rsidR="00BD1DD8">
        <w:rPr>
          <w:rFonts w:hint="eastAsia"/>
        </w:rPr>
        <w:t>亿吨</w:t>
      </w:r>
      <w:r>
        <w:rPr>
          <w:rFonts w:hint="eastAsia"/>
        </w:rPr>
        <w:t>，</w:t>
      </w:r>
      <w:r w:rsidR="00BD1DD8">
        <w:rPr>
          <w:rFonts w:hint="eastAsia"/>
        </w:rPr>
        <w:t>淡水河谷产量同比增加</w:t>
      </w:r>
      <w:r w:rsidR="00BD1DD8">
        <w:rPr>
          <w:rFonts w:hint="eastAsia"/>
        </w:rPr>
        <w:t>8.1%</w:t>
      </w:r>
      <w:r w:rsidR="00BD1DD8">
        <w:rPr>
          <w:rFonts w:hint="eastAsia"/>
        </w:rPr>
        <w:t>至</w:t>
      </w:r>
      <w:r w:rsidR="00BD1DD8">
        <w:rPr>
          <w:rFonts w:hint="eastAsia"/>
        </w:rPr>
        <w:t>2.36</w:t>
      </w:r>
      <w:r w:rsidR="00BD1DD8">
        <w:rPr>
          <w:rFonts w:hint="eastAsia"/>
        </w:rPr>
        <w:t>亿吨。从四大矿山的增产计划</w:t>
      </w:r>
      <w:r w:rsidRPr="00686331">
        <w:rPr>
          <w:rFonts w:hint="eastAsia"/>
        </w:rPr>
        <w:t>综合统计下来，</w:t>
      </w:r>
      <w:r w:rsidRPr="00686331">
        <w:rPr>
          <w:rFonts w:hint="eastAsia"/>
        </w:rPr>
        <w:t xml:space="preserve">2014 </w:t>
      </w:r>
      <w:r w:rsidRPr="00686331">
        <w:rPr>
          <w:rFonts w:hint="eastAsia"/>
        </w:rPr>
        <w:t>年四大矿山有望实现增产</w:t>
      </w:r>
      <w:r w:rsidRPr="00686331">
        <w:rPr>
          <w:rFonts w:hint="eastAsia"/>
        </w:rPr>
        <w:t xml:space="preserve"> 1.1</w:t>
      </w:r>
      <w:r w:rsidRPr="00686331">
        <w:rPr>
          <w:rFonts w:hint="eastAsia"/>
        </w:rPr>
        <w:t>亿吨左右，</w:t>
      </w:r>
      <w:proofErr w:type="gramStart"/>
      <w:r w:rsidRPr="00686331">
        <w:rPr>
          <w:rFonts w:hint="eastAsia"/>
        </w:rPr>
        <w:t>较全球</w:t>
      </w:r>
      <w:proofErr w:type="gramEnd"/>
      <w:r w:rsidRPr="00686331">
        <w:rPr>
          <w:rFonts w:hint="eastAsia"/>
        </w:rPr>
        <w:t>20</w:t>
      </w:r>
      <w:r w:rsidRPr="00686331">
        <w:rPr>
          <w:rFonts w:hint="eastAsia"/>
        </w:rPr>
        <w:t>亿吨的矿石产量增长</w:t>
      </w:r>
      <w:r w:rsidRPr="00686331">
        <w:rPr>
          <w:rFonts w:hint="eastAsia"/>
        </w:rPr>
        <w:t xml:space="preserve"> 5.5%</w:t>
      </w:r>
      <w:r w:rsidRPr="00686331">
        <w:rPr>
          <w:rFonts w:hint="eastAsia"/>
        </w:rPr>
        <w:t>左右。</w:t>
      </w:r>
      <w:r w:rsidR="00BD1DD8">
        <w:rPr>
          <w:rFonts w:hint="eastAsia"/>
        </w:rPr>
        <w:t>矿山巨头对中国需求均持乐观态度，加之追求</w:t>
      </w:r>
      <w:r w:rsidR="00BD1DD8">
        <w:rPr>
          <w:rFonts w:hint="eastAsia"/>
        </w:rPr>
        <w:lastRenderedPageBreak/>
        <w:t>规模效应，增产计划落实无障碍，对</w:t>
      </w:r>
      <w:proofErr w:type="gramStart"/>
      <w:r w:rsidR="00BD1DD8">
        <w:rPr>
          <w:rFonts w:hint="eastAsia"/>
        </w:rPr>
        <w:t>国际矿价持续</w:t>
      </w:r>
      <w:proofErr w:type="gramEnd"/>
      <w:r w:rsidR="00BD1DD8">
        <w:rPr>
          <w:rFonts w:hint="eastAsia"/>
        </w:rPr>
        <w:t>造成压力</w:t>
      </w:r>
      <w:r w:rsidRPr="00686331">
        <w:rPr>
          <w:rFonts w:hint="eastAsia"/>
        </w:rPr>
        <w:t>。</w:t>
      </w:r>
    </w:p>
    <w:p w:rsidR="001D767E" w:rsidRDefault="001D767E" w:rsidP="001D767E">
      <w:pPr>
        <w:pStyle w:val="a3"/>
        <w:ind w:left="426" w:firstLineChars="0" w:firstLine="414"/>
        <w:jc w:val="center"/>
      </w:pPr>
      <w:r>
        <w:t>图</w:t>
      </w:r>
      <w:r>
        <w:rPr>
          <w:rFonts w:hint="eastAsia"/>
        </w:rPr>
        <w:t>3</w:t>
      </w:r>
      <w:r>
        <w:rPr>
          <w:rFonts w:hint="eastAsia"/>
        </w:rPr>
        <w:t>：铁矿石港口库存</w:t>
      </w:r>
    </w:p>
    <w:p w:rsidR="001D767E" w:rsidRDefault="001D767E" w:rsidP="001D767E">
      <w:pPr>
        <w:pStyle w:val="a3"/>
        <w:ind w:left="426" w:firstLineChars="0" w:firstLine="414"/>
        <w:jc w:val="center"/>
        <w:rPr>
          <w:rFonts w:hint="eastAsia"/>
        </w:rPr>
      </w:pPr>
      <w:r>
        <w:rPr>
          <w:noProof/>
        </w:rPr>
        <w:drawing>
          <wp:inline distT="0" distB="0" distL="0" distR="0" wp14:anchorId="18BE4110">
            <wp:extent cx="5040000" cy="2520000"/>
            <wp:effectExtent l="0" t="0" r="8255"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2520000"/>
                    </a:xfrm>
                    <a:prstGeom prst="rect">
                      <a:avLst/>
                    </a:prstGeom>
                    <a:noFill/>
                  </pic:spPr>
                </pic:pic>
              </a:graphicData>
            </a:graphic>
          </wp:inline>
        </w:drawing>
      </w:r>
    </w:p>
    <w:p w:rsidR="001D767E" w:rsidRDefault="001D767E" w:rsidP="00DB0FF8">
      <w:pPr>
        <w:pStyle w:val="a3"/>
        <w:ind w:left="426" w:firstLineChars="0" w:firstLine="414"/>
        <w:rPr>
          <w:rFonts w:hint="eastAsia"/>
        </w:rPr>
      </w:pPr>
      <w:r>
        <w:t>在供需失衡的背景下</w:t>
      </w:r>
      <w:r>
        <w:rPr>
          <w:rFonts w:hint="eastAsia"/>
        </w:rPr>
        <w:t>，</w:t>
      </w:r>
      <w:r>
        <w:t>库存持续增长也是自然而然的</w:t>
      </w:r>
      <w:r>
        <w:rPr>
          <w:rFonts w:hint="eastAsia"/>
        </w:rPr>
        <w:t>。截至到</w:t>
      </w:r>
      <w:r>
        <w:rPr>
          <w:rFonts w:hint="eastAsia"/>
        </w:rPr>
        <w:t>10</w:t>
      </w:r>
      <w:r>
        <w:rPr>
          <w:rFonts w:hint="eastAsia"/>
        </w:rPr>
        <w:t>月末，港口库存持续高位，约</w:t>
      </w:r>
      <w:r>
        <w:rPr>
          <w:rFonts w:hint="eastAsia"/>
        </w:rPr>
        <w:t>1</w:t>
      </w:r>
      <w:r>
        <w:rPr>
          <w:rFonts w:hint="eastAsia"/>
        </w:rPr>
        <w:t>亿余吨。</w:t>
      </w:r>
      <w:r>
        <w:t>随着信用风险的增加</w:t>
      </w:r>
      <w:r>
        <w:rPr>
          <w:rFonts w:hint="eastAsia"/>
        </w:rPr>
        <w:t>，</w:t>
      </w:r>
      <w:r>
        <w:t>银行持续抽贷</w:t>
      </w:r>
      <w:r>
        <w:rPr>
          <w:rFonts w:hint="eastAsia"/>
        </w:rPr>
        <w:t>，</w:t>
      </w:r>
      <w:r>
        <w:t>加之</w:t>
      </w:r>
      <w:r>
        <w:rPr>
          <w:rFonts w:hint="eastAsia"/>
        </w:rPr>
        <w:t>“</w:t>
      </w:r>
      <w:r>
        <w:t>青岛港</w:t>
      </w:r>
      <w:r>
        <w:rPr>
          <w:rFonts w:hint="eastAsia"/>
        </w:rPr>
        <w:t>”</w:t>
      </w:r>
      <w:r>
        <w:t>等风险事件</w:t>
      </w:r>
      <w:r>
        <w:rPr>
          <w:rFonts w:hint="eastAsia"/>
        </w:rPr>
        <w:t>，</w:t>
      </w:r>
      <w:r>
        <w:t>矿石贸易商数量大幅减少</w:t>
      </w:r>
      <w:r>
        <w:rPr>
          <w:rFonts w:hint="eastAsia"/>
        </w:rPr>
        <w:t>，</w:t>
      </w:r>
      <w:r>
        <w:t>矿石价格蓄水池作用也持续降低</w:t>
      </w:r>
      <w:r>
        <w:rPr>
          <w:rFonts w:hint="eastAsia"/>
        </w:rPr>
        <w:t>。</w:t>
      </w:r>
    </w:p>
    <w:p w:rsidR="009535FA" w:rsidRPr="001D205B" w:rsidRDefault="00E65D2A" w:rsidP="009535FA">
      <w:pPr>
        <w:pStyle w:val="a3"/>
        <w:numPr>
          <w:ilvl w:val="0"/>
          <w:numId w:val="1"/>
        </w:numPr>
        <w:ind w:firstLineChars="0"/>
        <w:rPr>
          <w:rFonts w:asciiTheme="majorEastAsia" w:eastAsiaTheme="majorEastAsia" w:hAnsiTheme="majorEastAsia"/>
          <w:b/>
          <w:sz w:val="24"/>
          <w:szCs w:val="24"/>
        </w:rPr>
      </w:pPr>
      <w:r w:rsidRPr="001D205B">
        <w:rPr>
          <w:rFonts w:asciiTheme="majorEastAsia" w:eastAsiaTheme="majorEastAsia" w:hAnsiTheme="majorEastAsia" w:hint="eastAsia"/>
          <w:b/>
          <w:sz w:val="24"/>
          <w:szCs w:val="24"/>
        </w:rPr>
        <w:t>会议限产抑制需求</w:t>
      </w:r>
    </w:p>
    <w:p w:rsidR="00BD1DD8" w:rsidRDefault="001D767E" w:rsidP="001D767E">
      <w:pPr>
        <w:pStyle w:val="a3"/>
        <w:ind w:left="426" w:firstLineChars="0" w:firstLine="414"/>
      </w:pPr>
      <w:r w:rsidRPr="00DB14B2">
        <w:rPr>
          <w:rFonts w:hint="eastAsia"/>
          <w:b/>
        </w:rPr>
        <w:t>APEC</w:t>
      </w:r>
      <w:r w:rsidRPr="00DB14B2">
        <w:rPr>
          <w:rFonts w:hint="eastAsia"/>
          <w:b/>
        </w:rPr>
        <w:t>期间</w:t>
      </w:r>
      <w:r w:rsidR="00DB14B2" w:rsidRPr="00DB14B2">
        <w:rPr>
          <w:rFonts w:hint="eastAsia"/>
          <w:b/>
        </w:rPr>
        <w:t>，</w:t>
      </w:r>
      <w:r w:rsidRPr="00DB14B2">
        <w:rPr>
          <w:rFonts w:hint="eastAsia"/>
          <w:b/>
        </w:rPr>
        <w:t>河北地区钢厂停产</w:t>
      </w:r>
      <w:r w:rsidR="00DB14B2">
        <w:rPr>
          <w:rFonts w:hint="eastAsia"/>
          <w:b/>
        </w:rPr>
        <w:t>题材</w:t>
      </w:r>
      <w:r w:rsidR="00DB14B2">
        <w:rPr>
          <w:rFonts w:hint="eastAsia"/>
        </w:rPr>
        <w:t>。</w:t>
      </w:r>
      <w:r w:rsidRPr="001D767E">
        <w:rPr>
          <w:rFonts w:hint="eastAsia"/>
        </w:rPr>
        <w:t>从</w:t>
      </w:r>
      <w:r w:rsidR="00DB14B2">
        <w:rPr>
          <w:rFonts w:hint="eastAsia"/>
        </w:rPr>
        <w:t>1</w:t>
      </w:r>
      <w:r w:rsidR="00DB14B2">
        <w:t>1</w:t>
      </w:r>
      <w:r w:rsidR="00DB14B2">
        <w:t>月初</w:t>
      </w:r>
      <w:r w:rsidRPr="001D767E">
        <w:rPr>
          <w:rFonts w:hint="eastAsia"/>
        </w:rPr>
        <w:t>开始，河北廊坊霸州地区、保定地区钢厂和轧材厂都</w:t>
      </w:r>
      <w:r w:rsidR="00DB14B2">
        <w:rPr>
          <w:rFonts w:hint="eastAsia"/>
        </w:rPr>
        <w:t>被</w:t>
      </w:r>
      <w:r w:rsidRPr="001D767E">
        <w:rPr>
          <w:rFonts w:hint="eastAsia"/>
        </w:rPr>
        <w:t>要求停产，唐山地区还是按原来的</w:t>
      </w:r>
      <w:r w:rsidRPr="001D767E">
        <w:rPr>
          <w:rFonts w:hint="eastAsia"/>
        </w:rPr>
        <w:t>30%</w:t>
      </w:r>
      <w:r w:rsidRPr="001D767E">
        <w:rPr>
          <w:rFonts w:hint="eastAsia"/>
        </w:rPr>
        <w:t>烧结限产，</w:t>
      </w:r>
      <w:r w:rsidR="00DB14B2">
        <w:rPr>
          <w:rFonts w:hint="eastAsia"/>
        </w:rPr>
        <w:t>停产持续</w:t>
      </w:r>
      <w:r w:rsidRPr="001D767E">
        <w:rPr>
          <w:rFonts w:hint="eastAsia"/>
        </w:rPr>
        <w:t>到</w:t>
      </w:r>
      <w:r w:rsidRPr="001D767E">
        <w:rPr>
          <w:rFonts w:hint="eastAsia"/>
        </w:rPr>
        <w:t>11</w:t>
      </w:r>
      <w:r w:rsidRPr="001D767E">
        <w:rPr>
          <w:rFonts w:hint="eastAsia"/>
        </w:rPr>
        <w:t>号。</w:t>
      </w:r>
      <w:r w:rsidR="00DB14B2">
        <w:rPr>
          <w:rFonts w:hint="eastAsia"/>
        </w:rPr>
        <w:t>但是与此同时，与钢厂同期停产的还有北京的工地。原本北方秋季持续时间就较短，进入</w:t>
      </w:r>
      <w:r w:rsidR="00DB14B2">
        <w:rPr>
          <w:rFonts w:hint="eastAsia"/>
        </w:rPr>
        <w:t>11</w:t>
      </w:r>
      <w:r w:rsidR="00DB14B2">
        <w:rPr>
          <w:rFonts w:hint="eastAsia"/>
        </w:rPr>
        <w:t>月后，天气温度快速下降。在不停工的</w:t>
      </w:r>
      <w:r w:rsidR="00DB14B2">
        <w:rPr>
          <w:rFonts w:hint="eastAsia"/>
        </w:rPr>
        <w:t>10</w:t>
      </w:r>
      <w:r w:rsidR="00DB14B2">
        <w:rPr>
          <w:rFonts w:hint="eastAsia"/>
        </w:rPr>
        <w:t>月末，天气温度的下降明显使得北方下游工地开工减少，钢材需求陷入顿缓。在会议停产后，天气降温的概率加大，即使会议之后复工也将受到较大影响，均影响铁矿石的需求。</w:t>
      </w:r>
    </w:p>
    <w:p w:rsidR="00DB14B2" w:rsidRDefault="00DB14B2" w:rsidP="001D767E">
      <w:pPr>
        <w:pStyle w:val="a3"/>
        <w:ind w:left="426" w:firstLineChars="0" w:firstLine="414"/>
      </w:pPr>
      <w:r w:rsidRPr="00DB14B2">
        <w:t>即使</w:t>
      </w:r>
      <w:r>
        <w:t>钢厂停产</w:t>
      </w:r>
      <w:r w:rsidR="005376E3">
        <w:rPr>
          <w:rFonts w:hint="eastAsia"/>
        </w:rPr>
        <w:t>，</w:t>
      </w:r>
      <w:r w:rsidR="005376E3">
        <w:t>钢材下游需求不变</w:t>
      </w:r>
      <w:r w:rsidR="005376E3">
        <w:rPr>
          <w:rFonts w:hint="eastAsia"/>
        </w:rPr>
        <w:t>。</w:t>
      </w:r>
      <w:r w:rsidR="005376E3">
        <w:t>那么对于螺纹钢和铁矿石这两个品种而言</w:t>
      </w:r>
      <w:r w:rsidR="005376E3">
        <w:rPr>
          <w:rFonts w:hint="eastAsia"/>
        </w:rPr>
        <w:t>，</w:t>
      </w:r>
      <w:r w:rsidR="005376E3">
        <w:t>直接利好的是螺纹钢</w:t>
      </w:r>
      <w:r w:rsidR="005376E3">
        <w:rPr>
          <w:rFonts w:hint="eastAsia"/>
        </w:rPr>
        <w:t>，</w:t>
      </w:r>
      <w:r w:rsidR="005376E3">
        <w:t>其近月</w:t>
      </w:r>
      <w:r w:rsidR="005376E3">
        <w:rPr>
          <w:rFonts w:hint="eastAsia"/>
        </w:rPr>
        <w:t>1501</w:t>
      </w:r>
      <w:r w:rsidR="005376E3">
        <w:rPr>
          <w:rFonts w:hint="eastAsia"/>
        </w:rPr>
        <w:t>合约受到短期的热捧而保持一个较强的走势，而铁矿石近月也只是因为下游价格走稳而获得一个支撑。单就停产题材而言，对于这样的局面，显见最优的策略是多近月的螺纹钢合约，空近月铁矿石合约。这种多空套利的策略直接从期货市场资金参与面上利空铁矿石近月期货。</w:t>
      </w:r>
    </w:p>
    <w:p w:rsidR="005376E3" w:rsidRDefault="005376E3" w:rsidP="005376E3">
      <w:pPr>
        <w:pStyle w:val="a3"/>
        <w:ind w:left="426" w:firstLineChars="0" w:firstLine="414"/>
        <w:jc w:val="center"/>
        <w:rPr>
          <w:rFonts w:hint="eastAsia"/>
        </w:rPr>
      </w:pPr>
      <w:r>
        <w:t>图</w:t>
      </w:r>
      <w:r>
        <w:rPr>
          <w:rFonts w:hint="eastAsia"/>
        </w:rPr>
        <w:t>4</w:t>
      </w:r>
      <w:r>
        <w:rPr>
          <w:rFonts w:hint="eastAsia"/>
        </w:rPr>
        <w:t>：螺纹钢近月合约与铁矿石近月合约价差</w:t>
      </w:r>
    </w:p>
    <w:p w:rsidR="005376E3" w:rsidRDefault="005376E3" w:rsidP="001D767E">
      <w:pPr>
        <w:pStyle w:val="a3"/>
        <w:ind w:left="426" w:firstLineChars="0" w:firstLine="414"/>
      </w:pPr>
      <w:r>
        <w:rPr>
          <w:noProof/>
        </w:rPr>
        <w:drawing>
          <wp:inline distT="0" distB="0" distL="0" distR="0" wp14:anchorId="2D0DCC75" wp14:editId="5CD9A097">
            <wp:extent cx="5040000" cy="2520000"/>
            <wp:effectExtent l="0" t="0" r="8255"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000" cy="2520000"/>
                    </a:xfrm>
                    <a:prstGeom prst="rect">
                      <a:avLst/>
                    </a:prstGeom>
                  </pic:spPr>
                </pic:pic>
              </a:graphicData>
            </a:graphic>
          </wp:inline>
        </w:drawing>
      </w:r>
    </w:p>
    <w:p w:rsidR="005376E3" w:rsidRDefault="005376E3" w:rsidP="005376E3">
      <w:pPr>
        <w:pStyle w:val="a3"/>
        <w:ind w:left="852" w:firstLineChars="0" w:firstLine="0"/>
      </w:pPr>
      <w:r>
        <w:rPr>
          <w:rFonts w:hint="eastAsia"/>
        </w:rPr>
        <w:lastRenderedPageBreak/>
        <w:t>资料来源：</w:t>
      </w:r>
      <w:proofErr w:type="gramStart"/>
      <w:r>
        <w:rPr>
          <w:rFonts w:hint="eastAsia"/>
        </w:rPr>
        <w:t>wind</w:t>
      </w:r>
      <w:proofErr w:type="gramEnd"/>
    </w:p>
    <w:p w:rsidR="00E65D2A" w:rsidRPr="001D205B" w:rsidRDefault="00E65D2A" w:rsidP="009535FA">
      <w:pPr>
        <w:pStyle w:val="a3"/>
        <w:numPr>
          <w:ilvl w:val="0"/>
          <w:numId w:val="1"/>
        </w:numPr>
        <w:ind w:firstLineChars="0"/>
        <w:rPr>
          <w:rFonts w:asciiTheme="majorEastAsia" w:eastAsiaTheme="majorEastAsia" w:hAnsiTheme="majorEastAsia"/>
          <w:b/>
          <w:sz w:val="24"/>
          <w:szCs w:val="24"/>
        </w:rPr>
      </w:pPr>
      <w:proofErr w:type="gramStart"/>
      <w:r w:rsidRPr="001D205B">
        <w:rPr>
          <w:rFonts w:asciiTheme="majorEastAsia" w:eastAsiaTheme="majorEastAsia" w:hAnsiTheme="majorEastAsia" w:hint="eastAsia"/>
          <w:b/>
          <w:sz w:val="24"/>
          <w:szCs w:val="24"/>
        </w:rPr>
        <w:t>政策维稳未必</w:t>
      </w:r>
      <w:proofErr w:type="gramEnd"/>
      <w:r w:rsidRPr="001D205B">
        <w:rPr>
          <w:rFonts w:asciiTheme="majorEastAsia" w:eastAsiaTheme="majorEastAsia" w:hAnsiTheme="majorEastAsia" w:hint="eastAsia"/>
          <w:b/>
          <w:sz w:val="24"/>
          <w:szCs w:val="24"/>
        </w:rPr>
        <w:t>利好</w:t>
      </w:r>
    </w:p>
    <w:p w:rsidR="006D7C98" w:rsidRDefault="006D7C98" w:rsidP="006D7C98">
      <w:pPr>
        <w:pStyle w:val="a3"/>
        <w:ind w:left="426" w:firstLineChars="0" w:firstLine="414"/>
      </w:pPr>
      <w:r w:rsidRPr="001D205B">
        <w:rPr>
          <w:rFonts w:hint="eastAsia"/>
          <w:b/>
        </w:rPr>
        <w:t>另外一个提振铁矿石多头做多热情的是政府近期不断释放出来的经济“维稳”意图</w:t>
      </w:r>
      <w:r>
        <w:rPr>
          <w:rFonts w:hint="eastAsia"/>
        </w:rPr>
        <w:t>。从央行国庆节前送的“认贷不认房”的政策，到后面的</w:t>
      </w:r>
      <w:r>
        <w:rPr>
          <w:rFonts w:hint="eastAsia"/>
        </w:rPr>
        <w:t>5000</w:t>
      </w:r>
      <w:r>
        <w:rPr>
          <w:rFonts w:hint="eastAsia"/>
        </w:rPr>
        <w:t>亿</w:t>
      </w:r>
      <w:r>
        <w:rPr>
          <w:rFonts w:hint="eastAsia"/>
        </w:rPr>
        <w:t>SLF</w:t>
      </w:r>
      <w:r>
        <w:rPr>
          <w:rFonts w:hint="eastAsia"/>
        </w:rPr>
        <w:t>等等动作，以及最近国务院常务会议上的“稳定住房消费”，似乎政府对待钢铁最大的下游房地产思路似乎发生改变，为防止经济硬着路，不断出台各种政策“托底”。</w:t>
      </w:r>
    </w:p>
    <w:p w:rsidR="006D7C98" w:rsidRDefault="006D7C98" w:rsidP="006D7C98">
      <w:pPr>
        <w:pStyle w:val="a3"/>
        <w:ind w:left="426" w:firstLineChars="0" w:firstLine="414"/>
      </w:pPr>
      <w:r>
        <w:t>但是从政策落实到房地产市场发生相应变化</w:t>
      </w:r>
      <w:r>
        <w:rPr>
          <w:rFonts w:hint="eastAsia"/>
        </w:rPr>
        <w:t>，</w:t>
      </w:r>
      <w:r>
        <w:t>需要时间</w:t>
      </w:r>
      <w:r>
        <w:rPr>
          <w:rFonts w:hint="eastAsia"/>
        </w:rPr>
        <w:t>，</w:t>
      </w:r>
      <w:r>
        <w:t>而房地产市场再传导到钢材消费又需要时间</w:t>
      </w:r>
      <w:r>
        <w:rPr>
          <w:rFonts w:hint="eastAsia"/>
        </w:rPr>
        <w:t>。</w:t>
      </w:r>
      <w:r>
        <w:t>如果着眼点在铁矿石的需求</w:t>
      </w:r>
      <w:r>
        <w:rPr>
          <w:rFonts w:hint="eastAsia"/>
        </w:rPr>
        <w:t>，</w:t>
      </w:r>
      <w:r>
        <w:t>无疑是</w:t>
      </w:r>
      <w:r>
        <w:rPr>
          <w:rFonts w:hint="eastAsia"/>
        </w:rPr>
        <w:t>“</w:t>
      </w:r>
      <w:r>
        <w:t>远水解不了近渴</w:t>
      </w:r>
      <w:r>
        <w:rPr>
          <w:rFonts w:hint="eastAsia"/>
        </w:rPr>
        <w:t>”</w:t>
      </w:r>
      <w:r w:rsidR="0087171F">
        <w:rPr>
          <w:rFonts w:hint="eastAsia"/>
        </w:rPr>
        <w:t>，对铁矿石短期利好有限。</w:t>
      </w:r>
    </w:p>
    <w:p w:rsidR="0087171F" w:rsidRPr="0087171F" w:rsidRDefault="0087171F" w:rsidP="006D7C98">
      <w:pPr>
        <w:pStyle w:val="a3"/>
        <w:ind w:left="426" w:firstLineChars="0" w:firstLine="414"/>
        <w:rPr>
          <w:rFonts w:hint="eastAsia"/>
        </w:rPr>
      </w:pPr>
      <w:r>
        <w:t>然而</w:t>
      </w:r>
      <w:r>
        <w:rPr>
          <w:rFonts w:hint="eastAsia"/>
        </w:rPr>
        <w:t>，</w:t>
      </w:r>
      <w:r>
        <w:t>我们说比对股指期货与铁矿石这两品种</w:t>
      </w:r>
      <w:r>
        <w:rPr>
          <w:rFonts w:hint="eastAsia"/>
        </w:rPr>
        <w:t>。</w:t>
      </w:r>
      <w:proofErr w:type="gramStart"/>
      <w:r>
        <w:t>政策维稳对</w:t>
      </w:r>
      <w:proofErr w:type="gramEnd"/>
      <w:r>
        <w:t>这两均构成利好</w:t>
      </w:r>
      <w:r>
        <w:rPr>
          <w:rFonts w:hint="eastAsia"/>
        </w:rPr>
        <w:t>，</w:t>
      </w:r>
      <w:r>
        <w:t>均能提</w:t>
      </w:r>
      <w:proofErr w:type="gramStart"/>
      <w:r>
        <w:t>振</w:t>
      </w:r>
      <w:proofErr w:type="gramEnd"/>
      <w:r>
        <w:t>多头热情</w:t>
      </w:r>
      <w:r>
        <w:rPr>
          <w:rFonts w:hint="eastAsia"/>
        </w:rPr>
        <w:t>，</w:t>
      </w:r>
      <w:r>
        <w:t>但是显见</w:t>
      </w:r>
      <w:r>
        <w:rPr>
          <w:rFonts w:hint="eastAsia"/>
        </w:rPr>
        <w:t>，</w:t>
      </w:r>
      <w:r>
        <w:t>相比铁矿石的飘渺提振</w:t>
      </w:r>
      <w:r>
        <w:rPr>
          <w:rFonts w:hint="eastAsia"/>
        </w:rPr>
        <w:t>，挂靠“政策市”大名的股指期货无疑要在这一轮</w:t>
      </w:r>
      <w:proofErr w:type="gramStart"/>
      <w:r>
        <w:rPr>
          <w:rFonts w:hint="eastAsia"/>
        </w:rPr>
        <w:t>政策维稳题材</w:t>
      </w:r>
      <w:proofErr w:type="gramEnd"/>
      <w:r>
        <w:rPr>
          <w:rFonts w:hint="eastAsia"/>
        </w:rPr>
        <w:t>推动的做多中要有力的多。单就</w:t>
      </w:r>
      <w:proofErr w:type="gramStart"/>
      <w:r>
        <w:rPr>
          <w:rFonts w:hint="eastAsia"/>
        </w:rPr>
        <w:t>政策维稳的</w:t>
      </w:r>
      <w:proofErr w:type="gramEnd"/>
      <w:r>
        <w:rPr>
          <w:rFonts w:hint="eastAsia"/>
        </w:rPr>
        <w:t>选择，无疑是多股指期货空铁矿石期货，同样这也为铁矿石的空头贡献一份力量。</w:t>
      </w:r>
    </w:p>
    <w:p w:rsidR="0087171F" w:rsidRDefault="0087171F" w:rsidP="0087171F">
      <w:pPr>
        <w:pStyle w:val="a3"/>
        <w:numPr>
          <w:ilvl w:val="0"/>
          <w:numId w:val="1"/>
        </w:numPr>
        <w:ind w:firstLineChars="0"/>
      </w:pPr>
      <w:r>
        <w:t>操作计划</w:t>
      </w:r>
    </w:p>
    <w:p w:rsidR="00F91E4C" w:rsidRPr="009535FA" w:rsidRDefault="0087171F" w:rsidP="0087171F">
      <w:pPr>
        <w:pStyle w:val="a3"/>
        <w:ind w:left="426" w:firstLineChars="0" w:firstLine="414"/>
        <w:rPr>
          <w:rFonts w:hint="eastAsia"/>
        </w:rPr>
      </w:pPr>
      <w:r>
        <w:rPr>
          <w:rFonts w:hint="eastAsia"/>
        </w:rPr>
        <w:t>从基本面上看，铁矿石中期仍然是大跌市，操作以逢高空为主</w:t>
      </w:r>
      <w:r w:rsidR="00F91E4C">
        <w:rPr>
          <w:rFonts w:hint="eastAsia"/>
        </w:rPr>
        <w:t>。从近期铁矿石近月价格持续维持一个偏强走势的背后逻辑上分析，其实无论哪个理由，无论是多螺纹空铁矿石还是多股指空铁矿石，在选择上铁矿石合约最优选择均为空头，因此交易优先选择</w:t>
      </w:r>
      <w:r w:rsidR="00783EBE">
        <w:rPr>
          <w:rFonts w:hint="eastAsia"/>
        </w:rPr>
        <w:t>之前跌幅较浅的</w:t>
      </w:r>
      <w:r w:rsidR="00F91E4C">
        <w:rPr>
          <w:rFonts w:hint="eastAsia"/>
        </w:rPr>
        <w:t>近月合约</w:t>
      </w:r>
      <w:r w:rsidR="00783EBE">
        <w:rPr>
          <w:rFonts w:hint="eastAsia"/>
        </w:rPr>
        <w:t>1501</w:t>
      </w:r>
      <w:r w:rsidR="00783EBE">
        <w:rPr>
          <w:rFonts w:hint="eastAsia"/>
        </w:rPr>
        <w:t>。</w:t>
      </w:r>
      <w:r w:rsidR="00F91E4C">
        <w:t>交易方向</w:t>
      </w:r>
      <w:r w:rsidR="00F91E4C">
        <w:rPr>
          <w:rFonts w:hint="eastAsia"/>
        </w:rPr>
        <w:t>：</w:t>
      </w:r>
      <w:r w:rsidR="00F91E4C">
        <w:rPr>
          <w:rFonts w:hint="eastAsia"/>
        </w:rPr>
        <w:t>540</w:t>
      </w:r>
      <w:r w:rsidR="00F91E4C">
        <w:rPr>
          <w:rFonts w:hint="eastAsia"/>
        </w:rPr>
        <w:t>以上分批逢高建空头</w:t>
      </w:r>
      <w:proofErr w:type="gramStart"/>
      <w:r w:rsidR="00F91E4C">
        <w:rPr>
          <w:rFonts w:hint="eastAsia"/>
        </w:rPr>
        <w:t>仓位</w:t>
      </w:r>
      <w:proofErr w:type="gramEnd"/>
      <w:r w:rsidR="00783EBE">
        <w:rPr>
          <w:rFonts w:hint="eastAsia"/>
        </w:rPr>
        <w:t>。交易目标价位：</w:t>
      </w:r>
      <w:r w:rsidR="00783EBE">
        <w:rPr>
          <w:rFonts w:hint="eastAsia"/>
        </w:rPr>
        <w:t>500-530</w:t>
      </w:r>
      <w:r w:rsidR="00783EBE">
        <w:rPr>
          <w:rFonts w:hint="eastAsia"/>
        </w:rPr>
        <w:t>。资金管理：在</w:t>
      </w:r>
      <w:r w:rsidR="00783EBE">
        <w:rPr>
          <w:rFonts w:hint="eastAsia"/>
        </w:rPr>
        <w:t>560</w:t>
      </w:r>
      <w:r w:rsidR="00783EBE">
        <w:rPr>
          <w:rFonts w:hint="eastAsia"/>
        </w:rPr>
        <w:t>以上建立</w:t>
      </w:r>
      <w:proofErr w:type="gramStart"/>
      <w:r w:rsidR="00783EBE">
        <w:rPr>
          <w:rFonts w:hint="eastAsia"/>
        </w:rPr>
        <w:t>仓位</w:t>
      </w:r>
      <w:proofErr w:type="gramEnd"/>
      <w:r w:rsidR="00783EBE">
        <w:rPr>
          <w:rFonts w:hint="eastAsia"/>
        </w:rPr>
        <w:t>止损为</w:t>
      </w:r>
      <w:r w:rsidR="001D205B">
        <w:t>2</w:t>
      </w:r>
      <w:r w:rsidR="00783EBE">
        <w:rPr>
          <w:rFonts w:hint="eastAsia"/>
        </w:rPr>
        <w:t>%</w:t>
      </w:r>
      <w:r w:rsidR="00783EBE">
        <w:rPr>
          <w:rFonts w:hint="eastAsia"/>
        </w:rPr>
        <w:t>，</w:t>
      </w:r>
      <w:proofErr w:type="gramStart"/>
      <w:r w:rsidR="00783EBE">
        <w:rPr>
          <w:rFonts w:hint="eastAsia"/>
        </w:rPr>
        <w:t>仓位</w:t>
      </w:r>
      <w:proofErr w:type="gramEnd"/>
      <w:r w:rsidR="00783EBE">
        <w:rPr>
          <w:rFonts w:hint="eastAsia"/>
        </w:rPr>
        <w:t>维持</w:t>
      </w:r>
      <w:r w:rsidR="00783EBE">
        <w:rPr>
          <w:rFonts w:hint="eastAsia"/>
        </w:rPr>
        <w:t>30%</w:t>
      </w:r>
      <w:r w:rsidR="00783EBE">
        <w:rPr>
          <w:rFonts w:hint="eastAsia"/>
        </w:rPr>
        <w:t>，</w:t>
      </w:r>
      <w:r w:rsidR="001D205B">
        <w:rPr>
          <w:rFonts w:hint="eastAsia"/>
        </w:rPr>
        <w:t>540-560</w:t>
      </w:r>
      <w:r w:rsidR="001D205B">
        <w:rPr>
          <w:rFonts w:hint="eastAsia"/>
        </w:rPr>
        <w:t>建立</w:t>
      </w:r>
      <w:proofErr w:type="gramStart"/>
      <w:r w:rsidR="001D205B">
        <w:rPr>
          <w:rFonts w:hint="eastAsia"/>
        </w:rPr>
        <w:t>仓位</w:t>
      </w:r>
      <w:proofErr w:type="gramEnd"/>
      <w:r w:rsidR="001D205B">
        <w:rPr>
          <w:rFonts w:hint="eastAsia"/>
        </w:rPr>
        <w:t>止损为</w:t>
      </w:r>
      <w:r w:rsidR="001D205B">
        <w:rPr>
          <w:rFonts w:hint="eastAsia"/>
        </w:rPr>
        <w:t>5%</w:t>
      </w:r>
      <w:r w:rsidR="001D205B">
        <w:rPr>
          <w:rFonts w:hint="eastAsia"/>
        </w:rPr>
        <w:t>，滚动操作，</w:t>
      </w:r>
      <w:proofErr w:type="gramStart"/>
      <w:r w:rsidR="001D205B">
        <w:rPr>
          <w:rFonts w:hint="eastAsia"/>
        </w:rPr>
        <w:t>仓位</w:t>
      </w:r>
      <w:proofErr w:type="gramEnd"/>
      <w:r w:rsidR="001D205B">
        <w:rPr>
          <w:rFonts w:hint="eastAsia"/>
        </w:rPr>
        <w:t>上限</w:t>
      </w:r>
      <w:r w:rsidR="001D205B">
        <w:rPr>
          <w:rFonts w:hint="eastAsia"/>
        </w:rPr>
        <w:t>80%</w:t>
      </w:r>
      <w:r w:rsidR="001D205B">
        <w:rPr>
          <w:rFonts w:hint="eastAsia"/>
        </w:rPr>
        <w:t>。</w:t>
      </w:r>
    </w:p>
    <w:sectPr w:rsidR="00F91E4C" w:rsidRPr="00953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17575"/>
    <w:multiLevelType w:val="hybridMultilevel"/>
    <w:tmpl w:val="6F20ACF8"/>
    <w:lvl w:ilvl="0" w:tplc="2F1248D8">
      <w:start w:val="1"/>
      <w:numFmt w:val="japaneseCounting"/>
      <w:lvlText w:val="%1、"/>
      <w:lvlJc w:val="left"/>
      <w:pPr>
        <w:ind w:left="852" w:hanging="432"/>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FA"/>
    <w:rsid w:val="001D205B"/>
    <w:rsid w:val="001D767E"/>
    <w:rsid w:val="005376E3"/>
    <w:rsid w:val="00686331"/>
    <w:rsid w:val="006D7C98"/>
    <w:rsid w:val="00783EBE"/>
    <w:rsid w:val="0087171F"/>
    <w:rsid w:val="009535FA"/>
    <w:rsid w:val="00A768B0"/>
    <w:rsid w:val="00BD1DD8"/>
    <w:rsid w:val="00DB0FF8"/>
    <w:rsid w:val="00DB14B2"/>
    <w:rsid w:val="00E65D2A"/>
    <w:rsid w:val="00EF7C38"/>
    <w:rsid w:val="00F91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37797-7733-49F4-AD68-038CF6F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535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35FA"/>
    <w:rPr>
      <w:b/>
      <w:bCs/>
      <w:kern w:val="44"/>
      <w:sz w:val="44"/>
      <w:szCs w:val="44"/>
    </w:rPr>
  </w:style>
  <w:style w:type="paragraph" w:styleId="a3">
    <w:name w:val="List Paragraph"/>
    <w:basedOn w:val="a"/>
    <w:uiPriority w:val="34"/>
    <w:qFormat/>
    <w:rsid w:val="009535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9609-20DF-4E50-9965-92654FF7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田新元</dc:creator>
  <cp:keywords/>
  <dc:description/>
  <cp:lastModifiedBy>田新元</cp:lastModifiedBy>
  <cp:revision>1</cp:revision>
  <dcterms:created xsi:type="dcterms:W3CDTF">2014-11-03T14:37:00Z</dcterms:created>
  <dcterms:modified xsi:type="dcterms:W3CDTF">2014-11-03T17:07:00Z</dcterms:modified>
</cp:coreProperties>
</file>