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744C7" w:rsidRDefault="00586C4C">
      <w:pPr>
        <w:rPr>
          <w:rFonts w:ascii="宋体" w:hAnsi="宋体"/>
          <w:sz w:val="24"/>
          <w:szCs w:val="24"/>
        </w:rPr>
      </w:pPr>
      <w:r w:rsidRPr="00586C4C">
        <w:pict>
          <v:shapetype id="_x0000_t202" coordsize="21600,21600" o:spt="202" path="m,l,21600r21600,l21600,xe">
            <v:stroke joinstyle="miter"/>
            <v:path gradientshapeok="t" o:connecttype="rect"/>
          </v:shapetype>
          <v:shape id="Text Box 12" o:spid="_x0000_s1030" type="#_x0000_t202" style="position:absolute;margin-left:181.05pt;margin-top:-48.1pt;width:343.25pt;height:54.75pt;z-index:251653120" filled="f" stroked="f">
            <v:textbox style="mso-next-textbox:#Text Box 12">
              <w:txbxContent>
                <w:p w:rsidR="0096157B" w:rsidRPr="00161F4A" w:rsidRDefault="0096157B" w:rsidP="007B0CA0">
                  <w:pPr>
                    <w:spacing w:after="0"/>
                    <w:jc w:val="center"/>
                    <w:rPr>
                      <w:rFonts w:ascii="隶书" w:eastAsia="隶书" w:hAnsi="新宋体"/>
                      <w:b/>
                      <w:color w:val="FFFFFF"/>
                      <w:sz w:val="48"/>
                      <w:szCs w:val="48"/>
                    </w:rPr>
                  </w:pPr>
                  <w:r>
                    <w:rPr>
                      <w:rFonts w:ascii="隶书" w:eastAsia="隶书" w:hAnsi="新宋体" w:hint="eastAsia"/>
                      <w:b/>
                      <w:color w:val="FFFFFF"/>
                      <w:sz w:val="48"/>
                      <w:szCs w:val="48"/>
                    </w:rPr>
                    <w:t>大商所铁矿石研究员评选报告</w:t>
                  </w:r>
                </w:p>
                <w:p w:rsidR="0096157B" w:rsidRPr="007B0CA0" w:rsidRDefault="0096157B" w:rsidP="007B0CA0">
                  <w:pPr>
                    <w:rPr>
                      <w:szCs w:val="48"/>
                    </w:rPr>
                  </w:pPr>
                </w:p>
              </w:txbxContent>
            </v:textbox>
          </v:shape>
        </w:pict>
      </w:r>
      <w:r w:rsidRPr="00586C4C">
        <w:rPr>
          <w:noProof/>
        </w:rPr>
        <w:pict>
          <v:shape id="_x0000_s1059" type="#_x0000_t202" style="position:absolute;margin-left:-40.3pt;margin-top:-59.35pt;width:209.65pt;height:52.75pt;z-index:251667456" fillcolor="#c00000" strokecolor="#c00000">
            <v:textbox style="mso-next-textbox:#_x0000_s1059">
              <w:txbxContent>
                <w:p w:rsidR="0096157B" w:rsidRDefault="0096157B">
                  <w:r>
                    <w:rPr>
                      <w:noProof/>
                    </w:rPr>
                    <w:drawing>
                      <wp:inline distT="0" distB="0" distL="0" distR="0">
                        <wp:extent cx="2430780" cy="568960"/>
                        <wp:effectExtent l="0" t="0" r="7620" b="0"/>
                        <wp:docPr id="2" name="图片 1" descr="简称横式组合-反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简称横式组合-反白.png"/>
                                <pic:cNvPicPr/>
                              </pic:nvPicPr>
                              <pic:blipFill>
                                <a:blip r:embed="rId8"/>
                                <a:stretch>
                                  <a:fillRect/>
                                </a:stretch>
                              </pic:blipFill>
                              <pic:spPr>
                                <a:xfrm>
                                  <a:off x="0" y="0"/>
                                  <a:ext cx="2430780" cy="568960"/>
                                </a:xfrm>
                                <a:prstGeom prst="rect">
                                  <a:avLst/>
                                </a:prstGeom>
                              </pic:spPr>
                            </pic:pic>
                          </a:graphicData>
                        </a:graphic>
                      </wp:inline>
                    </w:drawing>
                  </w:r>
                </w:p>
              </w:txbxContent>
            </v:textbox>
          </v:shape>
        </w:pict>
      </w:r>
      <w:r w:rsidRPr="00586C4C">
        <w:rPr>
          <w:color w:val="FF0000"/>
        </w:rPr>
        <w:pict>
          <v:rect id="Rectangle 4" o:spid="_x0000_s1029" style="position:absolute;margin-left:-90pt;margin-top:-80.95pt;width:630pt;height:101.4pt;z-index:251652096" fillcolor="#c00000" strokecolor="red">
            <v:textbox style="mso-next-textbox:#Rectangle 4">
              <w:txbxContent>
                <w:p w:rsidR="0096157B" w:rsidRDefault="0096157B"/>
              </w:txbxContent>
            </v:textbox>
          </v:rect>
        </w:pict>
      </w:r>
      <w:r w:rsidRPr="00586C4C">
        <w:pict>
          <v:rect id="Rectangle 5" o:spid="_x0000_s1027" style="position:absolute;margin-left:-63pt;margin-top:20.45pt;width:630pt;height:7.8pt;z-index:251658240" fillcolor="#c00000" stroked="f"/>
        </w:pict>
      </w:r>
      <w:proofErr w:type="gramStart"/>
      <w:r w:rsidR="00157AF2">
        <w:rPr>
          <w:rFonts w:ascii="宋体" w:hAnsi="宋体" w:hint="eastAsia"/>
          <w:sz w:val="24"/>
          <w:szCs w:val="24"/>
        </w:rPr>
        <w:t>z</w:t>
      </w:r>
      <w:proofErr w:type="gramEnd"/>
    </w:p>
    <w:p w:rsidR="007B0CA0" w:rsidRPr="00412220" w:rsidRDefault="00586C4C" w:rsidP="009F0C33">
      <w:pPr>
        <w:ind w:leftChars="-386" w:left="-849"/>
      </w:pPr>
      <w:r>
        <w:pict>
          <v:shape id="Text Box 33" o:spid="_x0000_s1032" type="#_x0000_t202" style="position:absolute;left:0;text-align:left;margin-left:132.5pt;margin-top:6.45pt;width:323.15pt;height:47.75pt;z-index:251655168" filled="f" stroked="f">
            <v:textbox style="mso-next-textbox:#Text Box 33">
              <w:txbxContent>
                <w:p w:rsidR="0096157B" w:rsidRPr="00BB3781" w:rsidRDefault="0096157B" w:rsidP="00DC7CDA">
                  <w:pPr>
                    <w:rPr>
                      <w:sz w:val="28"/>
                      <w:szCs w:val="28"/>
                    </w:rPr>
                  </w:pPr>
                  <w:r w:rsidRPr="00BB3781">
                    <w:rPr>
                      <w:rFonts w:ascii="黑体" w:eastAsia="黑体" w:hint="eastAsia"/>
                      <w:b/>
                      <w:color w:val="FFFFFF" w:themeColor="background1"/>
                      <w:sz w:val="28"/>
                      <w:szCs w:val="28"/>
                    </w:rPr>
                    <w:t>三季度全球经济出现下滑 矿石反弹</w:t>
                  </w:r>
                  <w:proofErr w:type="gramStart"/>
                  <w:r w:rsidRPr="00BB3781">
                    <w:rPr>
                      <w:rFonts w:ascii="黑体" w:eastAsia="黑体" w:hint="eastAsia"/>
                      <w:b/>
                      <w:color w:val="FFFFFF" w:themeColor="background1"/>
                      <w:sz w:val="28"/>
                      <w:szCs w:val="28"/>
                    </w:rPr>
                    <w:t>乏力将</w:t>
                  </w:r>
                  <w:proofErr w:type="gramEnd"/>
                  <w:r w:rsidRPr="00BB3781">
                    <w:rPr>
                      <w:rFonts w:ascii="黑体" w:eastAsia="黑体" w:hint="eastAsia"/>
                      <w:b/>
                      <w:color w:val="FFFFFF" w:themeColor="background1"/>
                      <w:sz w:val="28"/>
                      <w:szCs w:val="28"/>
                    </w:rPr>
                    <w:t>再回落</w:t>
                  </w:r>
                </w:p>
              </w:txbxContent>
            </v:textbox>
          </v:shape>
        </w:pict>
      </w:r>
      <w:r w:rsidRPr="00586C4C">
        <w:rPr>
          <w:rFonts w:ascii="宋体" w:hAnsi="宋体"/>
          <w:noProof/>
          <w:sz w:val="24"/>
          <w:szCs w:val="24"/>
        </w:rPr>
        <w:pict>
          <v:shape id="_x0000_s1058" type="#_x0000_t202" style="position:absolute;left:0;text-align:left;margin-left:446.45pt;margin-top:.75pt;width:98.35pt;height:62.25pt;z-index:251666432" filled="f" stroked="f">
            <v:textbox style="mso-next-textbox:#_x0000_s1058">
              <w:txbxContent>
                <w:p w:rsidR="0096157B" w:rsidRPr="008E72BA" w:rsidRDefault="0096157B" w:rsidP="00D25E53">
                  <w:pPr>
                    <w:spacing w:line="0" w:lineRule="atLeast"/>
                    <w:rPr>
                      <w:rFonts w:ascii="新宋体" w:eastAsia="新宋体" w:hAnsi="新宋体"/>
                      <w:b/>
                      <w:bCs/>
                      <w:color w:val="FFFFFF"/>
                      <w:kern w:val="36"/>
                      <w:sz w:val="21"/>
                      <w:szCs w:val="21"/>
                    </w:rPr>
                  </w:pPr>
                  <w:r>
                    <w:rPr>
                      <w:rFonts w:ascii="新宋体" w:eastAsia="新宋体" w:hAnsi="新宋体" w:hint="eastAsia"/>
                      <w:b/>
                      <w:bCs/>
                      <w:color w:val="FFFFFF"/>
                      <w:kern w:val="36"/>
                      <w:sz w:val="21"/>
                      <w:szCs w:val="21"/>
                    </w:rPr>
                    <w:t>2014</w:t>
                  </w:r>
                  <w:r w:rsidRPr="00446A47">
                    <w:rPr>
                      <w:rFonts w:ascii="新宋体" w:eastAsia="新宋体" w:hAnsi="新宋体"/>
                      <w:b/>
                      <w:bCs/>
                      <w:color w:val="FFFFFF"/>
                      <w:kern w:val="36"/>
                      <w:sz w:val="21"/>
                      <w:szCs w:val="21"/>
                    </w:rPr>
                    <w:t>年</w:t>
                  </w:r>
                  <w:r>
                    <w:rPr>
                      <w:rFonts w:ascii="新宋体" w:eastAsia="新宋体" w:hAnsi="新宋体" w:hint="eastAsia"/>
                      <w:b/>
                      <w:bCs/>
                      <w:color w:val="FFFFFF"/>
                      <w:kern w:val="36"/>
                      <w:sz w:val="21"/>
                      <w:szCs w:val="21"/>
                    </w:rPr>
                    <w:t>11</w:t>
                  </w:r>
                  <w:r w:rsidRPr="00446A47">
                    <w:rPr>
                      <w:rFonts w:ascii="新宋体" w:eastAsia="新宋体" w:hAnsi="新宋体"/>
                      <w:b/>
                      <w:bCs/>
                      <w:color w:val="FFFFFF"/>
                      <w:kern w:val="36"/>
                      <w:sz w:val="21"/>
                      <w:szCs w:val="21"/>
                    </w:rPr>
                    <w:t>月</w:t>
                  </w:r>
                  <w:r>
                    <w:rPr>
                      <w:rFonts w:ascii="新宋体" w:eastAsia="新宋体" w:hAnsi="新宋体" w:hint="eastAsia"/>
                      <w:b/>
                      <w:bCs/>
                      <w:color w:val="FFFFFF"/>
                      <w:kern w:val="36"/>
                      <w:sz w:val="21"/>
                      <w:szCs w:val="21"/>
                    </w:rPr>
                    <w:t>6日</w:t>
                  </w:r>
                </w:p>
                <w:p w:rsidR="0096157B" w:rsidRPr="00446A47" w:rsidRDefault="0096157B" w:rsidP="00D25E53">
                  <w:pPr>
                    <w:spacing w:line="0" w:lineRule="atLeast"/>
                    <w:rPr>
                      <w:rFonts w:ascii="新宋体" w:eastAsia="新宋体" w:hAnsi="新宋体"/>
                      <w:b/>
                      <w:color w:val="FFFFFF"/>
                      <w:sz w:val="21"/>
                      <w:szCs w:val="21"/>
                    </w:rPr>
                  </w:pPr>
                  <w:r w:rsidRPr="00446A47">
                    <w:rPr>
                      <w:rFonts w:ascii="新宋体" w:eastAsia="新宋体" w:hAnsi="新宋体" w:hint="eastAsia"/>
                      <w:b/>
                      <w:color w:val="FFFFFF"/>
                      <w:sz w:val="21"/>
                      <w:szCs w:val="21"/>
                    </w:rPr>
                    <w:t>行情预测：</w:t>
                  </w:r>
                  <w:r>
                    <w:rPr>
                      <w:rFonts w:ascii="新宋体" w:eastAsia="新宋体" w:hAnsi="新宋体" w:hint="eastAsia"/>
                      <w:b/>
                      <w:color w:val="FFFFFF"/>
                      <w:sz w:val="21"/>
                      <w:szCs w:val="21"/>
                    </w:rPr>
                    <w:t>看跌</w:t>
                  </w:r>
                </w:p>
              </w:txbxContent>
            </v:textbox>
          </v:shape>
        </w:pict>
      </w:r>
      <w:r>
        <w:pict>
          <v:rect id="Rectangle 24" o:spid="_x0000_s1031" style="position:absolute;left:0;text-align:left;margin-left:-63pt;margin-top:.75pt;width:195.5pt;height:732.4pt;z-index:-251665408" fillcolor="#ece4d4" stroked="f"/>
        </w:pict>
      </w:r>
      <w:r>
        <w:pict>
          <v:rect id="Rectangle 29" o:spid="_x0000_s1033" style="position:absolute;left:0;text-align:left;margin-left:132.5pt;margin-top:.75pt;width:407.5pt;height:59pt;z-index:-251666432" fillcolor="#938953" stroked="f"/>
        </w:pict>
      </w:r>
    </w:p>
    <w:p w:rsidR="009F0C33" w:rsidRDefault="009F0C33" w:rsidP="009F0C33">
      <w:pPr>
        <w:ind w:leftChars="-386" w:left="-849"/>
        <w:rPr>
          <w:rFonts w:ascii="宋体" w:hAnsi="宋体"/>
          <w:sz w:val="24"/>
          <w:szCs w:val="24"/>
        </w:rPr>
      </w:pPr>
    </w:p>
    <w:p w:rsidR="00C744C7" w:rsidRPr="009F0C33" w:rsidRDefault="00586C4C" w:rsidP="009F0C33">
      <w:pPr>
        <w:ind w:leftChars="-386" w:left="-849"/>
        <w:rPr>
          <w:rFonts w:ascii="宋体" w:hAnsi="宋体"/>
          <w:sz w:val="21"/>
          <w:szCs w:val="21"/>
        </w:rPr>
      </w:pPr>
      <w:r w:rsidRPr="00586C4C">
        <w:pict>
          <v:shape id="Text Box 34" o:spid="_x0000_s1035" type="#_x0000_t202" style="position:absolute;left:0;text-align:left;margin-left:132.5pt;margin-top:12.9pt;width:391.8pt;height:642.6pt;z-index:251656192" filled="f" stroked="f">
            <v:textbox style="mso-next-textbox:#Text Box 34">
              <w:txbxContent>
                <w:p w:rsidR="0096157B" w:rsidRPr="00D034BA" w:rsidRDefault="0096157B" w:rsidP="00D034BA">
                  <w:pPr>
                    <w:autoSpaceDE w:val="0"/>
                    <w:autoSpaceDN w:val="0"/>
                    <w:adjustRightInd w:val="0"/>
                    <w:spacing w:before="100" w:beforeAutospacing="1" w:after="100" w:afterAutospacing="1" w:line="360" w:lineRule="auto"/>
                    <w:ind w:rightChars="-50" w:right="-110" w:firstLineChars="150" w:firstLine="422"/>
                    <w:jc w:val="both"/>
                    <w:rPr>
                      <w:b/>
                      <w:bCs/>
                      <w:color w:val="796A4F"/>
                      <w:kern w:val="36"/>
                      <w:sz w:val="28"/>
                      <w:szCs w:val="28"/>
                    </w:rPr>
                  </w:pPr>
                  <w:r w:rsidRPr="00D034BA">
                    <w:rPr>
                      <w:rFonts w:hint="eastAsia"/>
                      <w:b/>
                      <w:bCs/>
                      <w:color w:val="796A4F"/>
                      <w:kern w:val="36"/>
                      <w:sz w:val="28"/>
                      <w:szCs w:val="28"/>
                    </w:rPr>
                    <w:t>要点：</w:t>
                  </w:r>
                </w:p>
                <w:p w:rsidR="000F5370" w:rsidRPr="000F5370" w:rsidRDefault="000F5370" w:rsidP="000F5370">
                  <w:pPr>
                    <w:autoSpaceDE w:val="0"/>
                    <w:autoSpaceDN w:val="0"/>
                    <w:adjustRightInd w:val="0"/>
                    <w:spacing w:before="100" w:beforeAutospacing="1" w:after="100" w:afterAutospacing="1" w:line="360" w:lineRule="auto"/>
                    <w:ind w:rightChars="-50" w:right="-110" w:firstLineChars="200" w:firstLine="420"/>
                    <w:rPr>
                      <w:rFonts w:ascii="新宋体" w:eastAsia="新宋体" w:hAnsi="新宋体" w:hint="eastAsia"/>
                      <w:color w:val="796A4F"/>
                      <w:sz w:val="21"/>
                      <w:szCs w:val="21"/>
                    </w:rPr>
                  </w:pPr>
                  <w:r w:rsidRPr="000F5370">
                    <w:rPr>
                      <w:rFonts w:ascii="新宋体" w:eastAsia="新宋体" w:hAnsi="新宋体" w:hint="eastAsia"/>
                      <w:color w:val="796A4F"/>
                      <w:sz w:val="21"/>
                      <w:szCs w:val="21"/>
                    </w:rPr>
                    <w:t>操作上看依然建议保持逢高</w:t>
                  </w:r>
                  <w:proofErr w:type="gramStart"/>
                  <w:r w:rsidRPr="000F5370">
                    <w:rPr>
                      <w:rFonts w:ascii="新宋体" w:eastAsia="新宋体" w:hAnsi="新宋体" w:hint="eastAsia"/>
                      <w:color w:val="796A4F"/>
                      <w:sz w:val="21"/>
                      <w:szCs w:val="21"/>
                    </w:rPr>
                    <w:t>沽</w:t>
                  </w:r>
                  <w:proofErr w:type="gramEnd"/>
                  <w:r w:rsidRPr="000F5370">
                    <w:rPr>
                      <w:rFonts w:ascii="新宋体" w:eastAsia="新宋体" w:hAnsi="新宋体" w:hint="eastAsia"/>
                      <w:color w:val="796A4F"/>
                      <w:sz w:val="21"/>
                      <w:szCs w:val="21"/>
                    </w:rPr>
                    <w:t>继续空主力合约，对于I1505合约可以在510-530元区间继续放空，而I1501合约可以考虑在540-560元区间继续建立空单。两个合约的资金占用可以为各35%左右。</w:t>
                  </w:r>
                </w:p>
                <w:p w:rsidR="0096157B" w:rsidRPr="00E75BCC" w:rsidRDefault="0096157B" w:rsidP="001B7302">
                  <w:pPr>
                    <w:autoSpaceDE w:val="0"/>
                    <w:autoSpaceDN w:val="0"/>
                    <w:adjustRightInd w:val="0"/>
                    <w:spacing w:before="100" w:beforeAutospacing="1" w:after="100" w:afterAutospacing="1" w:line="360" w:lineRule="auto"/>
                    <w:ind w:rightChars="-50" w:right="-110" w:firstLineChars="150" w:firstLine="331"/>
                    <w:jc w:val="both"/>
                    <w:rPr>
                      <w:rFonts w:ascii="新宋体" w:eastAsia="新宋体" w:hAnsi="新宋体"/>
                      <w:color w:val="686144"/>
                      <w:sz w:val="21"/>
                      <w:szCs w:val="21"/>
                    </w:rPr>
                  </w:pPr>
                  <w:r>
                    <w:rPr>
                      <w:rFonts w:hint="eastAsia"/>
                      <w:b/>
                      <w:bCs/>
                      <w:color w:val="796A4F"/>
                      <w:kern w:val="36"/>
                    </w:rPr>
                    <w:t>后市展望与操作策略</w:t>
                  </w:r>
                </w:p>
                <w:p w:rsidR="0096157B" w:rsidRPr="009643A9" w:rsidRDefault="0096157B" w:rsidP="00C519AF">
                  <w:pPr>
                    <w:autoSpaceDE w:val="0"/>
                    <w:autoSpaceDN w:val="0"/>
                    <w:adjustRightInd w:val="0"/>
                    <w:spacing w:before="100" w:beforeAutospacing="1" w:after="100" w:afterAutospacing="1" w:line="360" w:lineRule="auto"/>
                    <w:ind w:rightChars="-50" w:right="-110" w:firstLineChars="200" w:firstLine="420"/>
                    <w:rPr>
                      <w:rFonts w:ascii="新宋体" w:eastAsia="新宋体" w:hAnsi="新宋体"/>
                      <w:color w:val="796A4F"/>
                      <w:sz w:val="21"/>
                      <w:szCs w:val="21"/>
                    </w:rPr>
                  </w:pPr>
                  <w:r w:rsidRPr="00C519AF">
                    <w:rPr>
                      <w:rFonts w:ascii="新宋体" w:eastAsia="新宋体" w:hAnsi="新宋体" w:hint="eastAsia"/>
                      <w:color w:val="796A4F"/>
                      <w:sz w:val="21"/>
                      <w:szCs w:val="21"/>
                    </w:rPr>
                    <w:t>美元指数已刷新5年来高位至88整数关口上方，非美货币一致承压，</w:t>
                  </w:r>
                  <w:r w:rsidRPr="0014613B">
                    <w:rPr>
                      <w:rFonts w:ascii="新宋体" w:eastAsia="新宋体" w:hAnsi="新宋体" w:hint="eastAsia"/>
                      <w:color w:val="796A4F"/>
                      <w:sz w:val="21"/>
                      <w:szCs w:val="21"/>
                    </w:rPr>
                    <w:t>全球商品价格</w:t>
                  </w:r>
                  <w:r>
                    <w:rPr>
                      <w:rFonts w:ascii="新宋体" w:eastAsia="新宋体" w:hAnsi="新宋体" w:hint="eastAsia"/>
                      <w:color w:val="796A4F"/>
                      <w:sz w:val="21"/>
                      <w:szCs w:val="21"/>
                    </w:rPr>
                    <w:t>出现连续暴跌</w:t>
                  </w:r>
                  <w:r w:rsidRPr="0014613B">
                    <w:rPr>
                      <w:rFonts w:ascii="新宋体" w:eastAsia="新宋体" w:hAnsi="新宋体" w:hint="eastAsia"/>
                      <w:color w:val="796A4F"/>
                      <w:sz w:val="21"/>
                      <w:szCs w:val="21"/>
                    </w:rPr>
                    <w:t>，11月初跌至全年最低点的266点，这也是2010年8月底以来的最低点，说明下半年开始的全球商品市场的暴跌拉开序幕。其中，原油能源、贵金属和农产品是主要的领跌品种。</w:t>
                  </w:r>
                </w:p>
                <w:p w:rsidR="0096157B" w:rsidRDefault="000F5370" w:rsidP="000F5370">
                  <w:pPr>
                    <w:autoSpaceDE w:val="0"/>
                    <w:autoSpaceDN w:val="0"/>
                    <w:adjustRightInd w:val="0"/>
                    <w:spacing w:before="100" w:beforeAutospacing="1" w:after="100" w:afterAutospacing="1" w:line="360" w:lineRule="auto"/>
                    <w:ind w:rightChars="-50" w:right="-110" w:firstLineChars="200" w:firstLine="420"/>
                    <w:rPr>
                      <w:rFonts w:ascii="新宋体" w:eastAsia="新宋体" w:hAnsi="新宋体"/>
                      <w:color w:val="796A4F"/>
                      <w:sz w:val="21"/>
                      <w:szCs w:val="21"/>
                    </w:rPr>
                  </w:pPr>
                  <w:r w:rsidRPr="000F5370">
                    <w:rPr>
                      <w:rFonts w:ascii="新宋体" w:eastAsia="新宋体" w:hAnsi="新宋体" w:hint="eastAsia"/>
                      <w:color w:val="796A4F"/>
                      <w:sz w:val="21"/>
                      <w:szCs w:val="21"/>
                    </w:rPr>
                    <w:t>全球经济体中，除美国继续保持良好的增长态势，欧元区、德国、法国和日本经济表现均令市场大跌眼镜。美国第三季度美国GDP的环比年化增长率为3.5%。回顾国内，10月国庆节开市场后一周，黑色</w:t>
                  </w:r>
                  <w:proofErr w:type="gramStart"/>
                  <w:r w:rsidRPr="000F5370">
                    <w:rPr>
                      <w:rFonts w:ascii="新宋体" w:eastAsia="新宋体" w:hAnsi="新宋体" w:hint="eastAsia"/>
                      <w:color w:val="796A4F"/>
                      <w:sz w:val="21"/>
                      <w:szCs w:val="21"/>
                    </w:rPr>
                    <w:t>产业链受</w:t>
                  </w:r>
                  <w:r w:rsidRPr="000F5370">
                    <w:rPr>
                      <w:rFonts w:ascii="新宋体" w:eastAsia="新宋体" w:hAnsi="新宋体"/>
                      <w:color w:val="796A4F"/>
                      <w:sz w:val="21"/>
                      <w:szCs w:val="21"/>
                    </w:rPr>
                    <w:t>利好</w:t>
                  </w:r>
                  <w:proofErr w:type="gramEnd"/>
                  <w:r w:rsidRPr="000F5370">
                    <w:rPr>
                      <w:rFonts w:ascii="新宋体" w:eastAsia="新宋体" w:hAnsi="新宋体"/>
                      <w:color w:val="796A4F"/>
                      <w:sz w:val="21"/>
                      <w:szCs w:val="21"/>
                    </w:rPr>
                    <w:t>政策</w:t>
                  </w:r>
                  <w:r w:rsidRPr="000F5370">
                    <w:rPr>
                      <w:rFonts w:ascii="新宋体" w:eastAsia="新宋体" w:hAnsi="新宋体" w:hint="eastAsia"/>
                      <w:color w:val="796A4F"/>
                      <w:sz w:val="21"/>
                      <w:szCs w:val="21"/>
                    </w:rPr>
                    <w:t>（央行放松按揭条件、国家资源税改革、河北等地限产等）影响，出现集体反弹，但</w:t>
                  </w:r>
                  <w:r w:rsidRPr="000F5370">
                    <w:rPr>
                      <w:rFonts w:ascii="新宋体" w:eastAsia="新宋体" w:hAnsi="新宋体"/>
                      <w:color w:val="796A4F"/>
                      <w:sz w:val="21"/>
                      <w:szCs w:val="21"/>
                    </w:rPr>
                    <w:t>鉴于地产高增长阶段已结束，</w:t>
                  </w:r>
                  <w:r w:rsidRPr="000F5370">
                    <w:rPr>
                      <w:rFonts w:ascii="新宋体" w:eastAsia="新宋体" w:hAnsi="新宋体" w:hint="eastAsia"/>
                      <w:color w:val="796A4F"/>
                      <w:sz w:val="21"/>
                      <w:szCs w:val="21"/>
                    </w:rPr>
                    <w:t>中国第三季度经济创近六年来最缓慢增长、PPI等经济数据仍不理想，</w:t>
                  </w:r>
                  <w:r w:rsidRPr="000F5370">
                    <w:rPr>
                      <w:rFonts w:ascii="新宋体" w:eastAsia="新宋体" w:hAnsi="新宋体"/>
                      <w:color w:val="796A4F"/>
                      <w:sz w:val="21"/>
                      <w:szCs w:val="21"/>
                    </w:rPr>
                    <w:t>短期刺激难逆下行趋势，</w:t>
                  </w:r>
                  <w:r w:rsidRPr="000F5370">
                    <w:rPr>
                      <w:rFonts w:ascii="新宋体" w:eastAsia="新宋体" w:hAnsi="新宋体" w:hint="eastAsia"/>
                      <w:color w:val="796A4F"/>
                      <w:sz w:val="21"/>
                      <w:szCs w:val="21"/>
                    </w:rPr>
                    <w:t>尤其是力拓和FMG宣布三季度矿石产量及发货量同时创历史新高，铁矿石期货在冲击600元未果后回落。总体而言，当前基本面及宏观面均不乐观，</w:t>
                  </w:r>
                  <w:r w:rsidRPr="000F5370">
                    <w:rPr>
                      <w:rFonts w:ascii="新宋体" w:eastAsia="新宋体" w:hAnsi="新宋体"/>
                      <w:color w:val="796A4F"/>
                      <w:sz w:val="21"/>
                      <w:szCs w:val="21"/>
                    </w:rPr>
                    <w:t>阶段性企稳的价格不意味着持续反弹，对</w:t>
                  </w:r>
                  <w:proofErr w:type="gramStart"/>
                  <w:r w:rsidRPr="000F5370">
                    <w:rPr>
                      <w:rFonts w:ascii="新宋体" w:eastAsia="新宋体" w:hAnsi="新宋体" w:hint="eastAsia"/>
                      <w:color w:val="796A4F"/>
                      <w:sz w:val="21"/>
                      <w:szCs w:val="21"/>
                    </w:rPr>
                    <w:t>矿价</w:t>
                  </w:r>
                  <w:r w:rsidRPr="000F5370">
                    <w:rPr>
                      <w:rFonts w:ascii="新宋体" w:eastAsia="新宋体" w:hAnsi="新宋体"/>
                      <w:color w:val="796A4F"/>
                      <w:sz w:val="21"/>
                      <w:szCs w:val="21"/>
                    </w:rPr>
                    <w:t>中期</w:t>
                  </w:r>
                  <w:proofErr w:type="gramEnd"/>
                  <w:r w:rsidRPr="000F5370">
                    <w:rPr>
                      <w:rFonts w:ascii="新宋体" w:eastAsia="新宋体" w:hAnsi="新宋体"/>
                      <w:color w:val="796A4F"/>
                      <w:sz w:val="21"/>
                      <w:szCs w:val="21"/>
                    </w:rPr>
                    <w:t>走势依然谨慎</w:t>
                  </w:r>
                  <w:r w:rsidR="0096157B" w:rsidRPr="00207D96">
                    <w:rPr>
                      <w:rFonts w:ascii="新宋体" w:eastAsia="新宋体" w:hAnsi="新宋体" w:hint="eastAsia"/>
                      <w:color w:val="796A4F"/>
                      <w:sz w:val="21"/>
                      <w:szCs w:val="21"/>
                    </w:rPr>
                    <w:t>。</w:t>
                  </w:r>
                </w:p>
              </w:txbxContent>
            </v:textbox>
          </v:shape>
        </w:pict>
      </w:r>
      <w:r w:rsidRPr="00586C4C">
        <w:rPr>
          <w:noProof/>
        </w:rPr>
        <w:pict>
          <v:shape id="_x0000_s1043" type="#_x0000_t202" style="position:absolute;left:0;text-align:left;margin-left:-49.8pt;margin-top:17.9pt;width:172.8pt;height:185.85pt;z-index:251659264" filled="f" stroked="f">
            <v:textbox style="mso-next-textbox:#_x0000_s1043">
              <w:txbxContent>
                <w:p w:rsidR="0096157B" w:rsidRDefault="0096157B" w:rsidP="007B0CA0">
                  <w:pPr>
                    <w:spacing w:line="0" w:lineRule="atLeast"/>
                    <w:rPr>
                      <w:rFonts w:ascii="新宋体" w:eastAsia="新宋体" w:hAnsi="新宋体"/>
                      <w:b/>
                      <w:color w:val="796A4F"/>
                      <w:sz w:val="21"/>
                      <w:szCs w:val="21"/>
                    </w:rPr>
                  </w:pPr>
                  <w:r>
                    <w:rPr>
                      <w:rFonts w:ascii="新宋体" w:eastAsia="新宋体" w:hAnsi="新宋体" w:hint="eastAsia"/>
                      <w:b/>
                      <w:color w:val="796A4F"/>
                      <w:sz w:val="21"/>
                      <w:szCs w:val="21"/>
                    </w:rPr>
                    <w:t>方正中期期货有限公司</w:t>
                  </w:r>
                </w:p>
                <w:p w:rsidR="0096157B" w:rsidRPr="0053230A" w:rsidRDefault="0096157B" w:rsidP="007B0CA0">
                  <w:pPr>
                    <w:spacing w:line="0" w:lineRule="atLeast"/>
                    <w:rPr>
                      <w:rFonts w:ascii="新宋体" w:eastAsia="新宋体" w:hAnsi="新宋体"/>
                      <w:color w:val="796A4F"/>
                      <w:sz w:val="21"/>
                      <w:szCs w:val="21"/>
                    </w:rPr>
                  </w:pPr>
                  <w:r w:rsidRPr="0053230A">
                    <w:rPr>
                      <w:rFonts w:ascii="新宋体" w:eastAsia="新宋体" w:hAnsi="新宋体" w:hint="eastAsia"/>
                      <w:color w:val="796A4F"/>
                      <w:sz w:val="21"/>
                      <w:szCs w:val="21"/>
                    </w:rPr>
                    <w:t>研究员：</w:t>
                  </w:r>
                  <w:r>
                    <w:rPr>
                      <w:rFonts w:ascii="新宋体" w:eastAsia="新宋体" w:hAnsi="新宋体" w:hint="eastAsia"/>
                      <w:color w:val="796A4F"/>
                      <w:sz w:val="21"/>
                      <w:szCs w:val="21"/>
                    </w:rPr>
                    <w:t>王骏</w:t>
                  </w:r>
                </w:p>
                <w:p w:rsidR="0096157B" w:rsidRPr="0053230A" w:rsidRDefault="0096157B" w:rsidP="007B0CA0">
                  <w:pPr>
                    <w:spacing w:line="0" w:lineRule="atLeast"/>
                    <w:rPr>
                      <w:rFonts w:ascii="新宋体" w:eastAsia="新宋体" w:hAnsi="新宋体"/>
                      <w:color w:val="796A4F"/>
                      <w:sz w:val="21"/>
                      <w:szCs w:val="21"/>
                    </w:rPr>
                  </w:pPr>
                  <w:r w:rsidRPr="0053230A">
                    <w:rPr>
                      <w:rFonts w:ascii="新宋体" w:eastAsia="新宋体" w:hAnsi="新宋体" w:hint="eastAsia"/>
                      <w:color w:val="796A4F"/>
                      <w:sz w:val="21"/>
                      <w:szCs w:val="21"/>
                    </w:rPr>
                    <w:t>执业编号：</w:t>
                  </w:r>
                  <w:r>
                    <w:rPr>
                      <w:rFonts w:ascii="新宋体" w:eastAsia="新宋体" w:hAnsi="新宋体" w:hint="eastAsia"/>
                      <w:color w:val="796A4F"/>
                      <w:sz w:val="21"/>
                      <w:szCs w:val="21"/>
                    </w:rPr>
                    <w:t>F0243443</w:t>
                  </w:r>
                </w:p>
                <w:p w:rsidR="0096157B" w:rsidRPr="0053230A" w:rsidRDefault="0096157B" w:rsidP="007B0CA0">
                  <w:pPr>
                    <w:spacing w:line="0" w:lineRule="atLeast"/>
                    <w:rPr>
                      <w:rFonts w:ascii="新宋体" w:eastAsia="新宋体" w:hAnsi="新宋体"/>
                      <w:color w:val="796A4F"/>
                      <w:sz w:val="21"/>
                      <w:szCs w:val="21"/>
                    </w:rPr>
                  </w:pPr>
                  <w:r w:rsidRPr="0053230A">
                    <w:rPr>
                      <w:rFonts w:ascii="新宋体" w:eastAsia="新宋体" w:hAnsi="新宋体" w:hint="eastAsia"/>
                      <w:color w:val="796A4F"/>
                      <w:sz w:val="21"/>
                      <w:szCs w:val="21"/>
                    </w:rPr>
                    <w:t>Email：</w:t>
                  </w:r>
                  <w:r>
                    <w:rPr>
                      <w:rFonts w:ascii="新宋体" w:eastAsia="新宋体" w:hAnsi="新宋体" w:hint="eastAsia"/>
                      <w:color w:val="796A4F"/>
                      <w:sz w:val="21"/>
                      <w:szCs w:val="21"/>
                    </w:rPr>
                    <w:t>wangjun2@foundersc</w:t>
                  </w:r>
                  <w:r>
                    <w:rPr>
                      <w:rFonts w:ascii="新宋体" w:eastAsia="新宋体" w:hAnsi="新宋体"/>
                      <w:color w:val="796A4F"/>
                      <w:sz w:val="21"/>
                      <w:szCs w:val="21"/>
                    </w:rPr>
                    <w:t>.com</w:t>
                  </w:r>
                </w:p>
                <w:p w:rsidR="0096157B" w:rsidRPr="008D5A01" w:rsidRDefault="0096157B" w:rsidP="007B0CA0">
                  <w:pPr>
                    <w:spacing w:line="0" w:lineRule="atLeast"/>
                    <w:rPr>
                      <w:rFonts w:ascii="宋体" w:hAnsi="宋体"/>
                      <w:sz w:val="24"/>
                    </w:rPr>
                  </w:pPr>
                  <w:r w:rsidRPr="0053230A">
                    <w:rPr>
                      <w:rFonts w:ascii="新宋体" w:eastAsia="新宋体" w:hAnsi="新宋体" w:hint="eastAsia"/>
                      <w:color w:val="796A4F"/>
                      <w:sz w:val="21"/>
                      <w:szCs w:val="21"/>
                    </w:rPr>
                    <w:t>电话：0</w:t>
                  </w:r>
                  <w:r>
                    <w:rPr>
                      <w:rFonts w:ascii="新宋体" w:eastAsia="新宋体" w:hAnsi="新宋体" w:hint="eastAsia"/>
                      <w:color w:val="796A4F"/>
                      <w:sz w:val="21"/>
                      <w:szCs w:val="21"/>
                    </w:rPr>
                    <w:t>10</w:t>
                  </w:r>
                  <w:r w:rsidRPr="0053230A">
                    <w:rPr>
                      <w:rFonts w:ascii="新宋体" w:eastAsia="新宋体" w:hAnsi="新宋体" w:hint="eastAsia"/>
                      <w:color w:val="796A4F"/>
                      <w:sz w:val="21"/>
                      <w:szCs w:val="21"/>
                    </w:rPr>
                    <w:t>-</w:t>
                  </w:r>
                  <w:r>
                    <w:rPr>
                      <w:rFonts w:ascii="新宋体" w:eastAsia="新宋体" w:hAnsi="新宋体" w:hint="eastAsia"/>
                      <w:color w:val="796A4F"/>
                      <w:sz w:val="21"/>
                      <w:szCs w:val="21"/>
                    </w:rPr>
                    <w:t>68578867</w:t>
                  </w:r>
                </w:p>
                <w:p w:rsidR="0096157B" w:rsidRDefault="0096157B" w:rsidP="00FA3260">
                  <w:pPr>
                    <w:spacing w:line="0" w:lineRule="atLeast"/>
                    <w:rPr>
                      <w:rFonts w:ascii="宋体" w:hAnsi="宋体"/>
                      <w:sz w:val="24"/>
                    </w:rPr>
                  </w:pPr>
                </w:p>
              </w:txbxContent>
            </v:textbox>
          </v:shape>
        </w:pict>
      </w:r>
      <w:r w:rsidR="00EC39C0" w:rsidRPr="009F0C33">
        <w:rPr>
          <w:rFonts w:ascii="宋体" w:hAnsi="宋体"/>
          <w:sz w:val="21"/>
          <w:szCs w:val="21"/>
        </w:rPr>
        <w:t xml:space="preserve"> </w:t>
      </w:r>
    </w:p>
    <w:p w:rsidR="00C744C7" w:rsidRDefault="00C744C7" w:rsidP="009F0C33">
      <w:pPr>
        <w:spacing w:line="0" w:lineRule="atLeast"/>
        <w:rPr>
          <w:rFonts w:ascii="宋体" w:hAnsi="宋体"/>
          <w:sz w:val="24"/>
          <w:szCs w:val="24"/>
        </w:rPr>
      </w:pPr>
    </w:p>
    <w:p w:rsidR="00C744C7" w:rsidRDefault="00C744C7">
      <w:pPr>
        <w:ind w:leftChars="1714" w:left="3771"/>
        <w:rPr>
          <w:rFonts w:ascii="宋体" w:hAnsi="宋体"/>
          <w:sz w:val="24"/>
          <w:szCs w:val="24"/>
        </w:rPr>
      </w:pPr>
    </w:p>
    <w:p w:rsidR="00C744C7" w:rsidRDefault="00C744C7">
      <w:pPr>
        <w:rPr>
          <w:rFonts w:ascii="宋体" w:hAnsi="宋体"/>
          <w:sz w:val="24"/>
          <w:szCs w:val="24"/>
        </w:rPr>
      </w:pPr>
    </w:p>
    <w:p w:rsidR="00980312" w:rsidRDefault="00980312">
      <w:pPr>
        <w:rPr>
          <w:rFonts w:ascii="宋体" w:hAnsi="宋体"/>
          <w:sz w:val="24"/>
          <w:szCs w:val="24"/>
        </w:rPr>
      </w:pPr>
    </w:p>
    <w:p w:rsidR="00251534" w:rsidRDefault="00251534">
      <w:pPr>
        <w:rPr>
          <w:rFonts w:ascii="宋体" w:hAnsi="宋体"/>
          <w:sz w:val="24"/>
          <w:szCs w:val="24"/>
        </w:rPr>
      </w:pPr>
    </w:p>
    <w:p w:rsidR="00C744C7" w:rsidRDefault="00C744C7">
      <w:pPr>
        <w:rPr>
          <w:rFonts w:ascii="宋体" w:hAnsi="宋体"/>
          <w:sz w:val="24"/>
          <w:szCs w:val="24"/>
        </w:rPr>
      </w:pPr>
    </w:p>
    <w:p w:rsidR="00C744C7" w:rsidRDefault="00C744C7">
      <w:pPr>
        <w:rPr>
          <w:rFonts w:ascii="宋体" w:hAnsi="宋体"/>
          <w:sz w:val="24"/>
          <w:szCs w:val="24"/>
        </w:rPr>
      </w:pPr>
    </w:p>
    <w:tbl>
      <w:tblPr>
        <w:tblpPr w:leftFromText="180" w:rightFromText="180" w:vertAnchor="text" w:horzAnchor="page" w:tblpX="27" w:tblpY="1254"/>
        <w:tblW w:w="1709" w:type="pct"/>
        <w:tblBorders>
          <w:top w:val="single" w:sz="12" w:space="0" w:color="996633"/>
          <w:bottom w:val="single" w:sz="12" w:space="0" w:color="996633"/>
          <w:insideH w:val="single" w:sz="8" w:space="0" w:color="996633"/>
          <w:insideV w:val="single" w:sz="8" w:space="0" w:color="996633"/>
        </w:tblBorders>
        <w:tblLook w:val="0000"/>
      </w:tblPr>
      <w:tblGrid>
        <w:gridCol w:w="1384"/>
        <w:gridCol w:w="853"/>
        <w:gridCol w:w="1131"/>
      </w:tblGrid>
      <w:tr w:rsidR="007B0CA0" w:rsidRPr="0038467D" w:rsidTr="007B0CA0">
        <w:trPr>
          <w:trHeight w:val="574"/>
        </w:trPr>
        <w:tc>
          <w:tcPr>
            <w:tcW w:w="2055" w:type="pct"/>
            <w:shd w:val="clear" w:color="auto" w:fill="auto"/>
          </w:tcPr>
          <w:p w:rsidR="007B0CA0" w:rsidRPr="00737CB2" w:rsidRDefault="007B0CA0" w:rsidP="007B0CA0">
            <w:pPr>
              <w:jc w:val="center"/>
              <w:rPr>
                <w:rFonts w:ascii="新宋体" w:eastAsia="新宋体" w:hAnsi="新宋体" w:cs="Arial Unicode MS"/>
                <w:b/>
                <w:color w:val="796A4F"/>
                <w:sz w:val="21"/>
                <w:szCs w:val="21"/>
              </w:rPr>
            </w:pPr>
            <w:r w:rsidRPr="00737CB2">
              <w:rPr>
                <w:rFonts w:ascii="新宋体" w:eastAsia="新宋体" w:hAnsi="新宋体" w:cs="Arial Unicode MS" w:hint="eastAsia"/>
                <w:b/>
                <w:color w:val="796A4F"/>
                <w:sz w:val="21"/>
                <w:szCs w:val="21"/>
              </w:rPr>
              <w:t>合约</w:t>
            </w:r>
          </w:p>
        </w:tc>
        <w:tc>
          <w:tcPr>
            <w:tcW w:w="1266" w:type="pct"/>
            <w:shd w:val="clear" w:color="auto" w:fill="auto"/>
          </w:tcPr>
          <w:p w:rsidR="007B0CA0" w:rsidRPr="00737CB2" w:rsidRDefault="007B0CA0" w:rsidP="007B0CA0">
            <w:pPr>
              <w:jc w:val="center"/>
              <w:rPr>
                <w:rFonts w:ascii="新宋体" w:eastAsia="新宋体" w:hAnsi="新宋体" w:cs="Arial Unicode MS"/>
                <w:b/>
                <w:color w:val="796A4F"/>
                <w:spacing w:val="2"/>
                <w:sz w:val="21"/>
                <w:szCs w:val="21"/>
              </w:rPr>
            </w:pPr>
            <w:r w:rsidRPr="00737CB2">
              <w:rPr>
                <w:rFonts w:ascii="新宋体" w:eastAsia="新宋体" w:hAnsi="新宋体" w:cs="Arial Unicode MS" w:hint="eastAsia"/>
                <w:b/>
                <w:color w:val="796A4F"/>
                <w:sz w:val="21"/>
                <w:szCs w:val="21"/>
              </w:rPr>
              <w:t>收盘</w:t>
            </w:r>
          </w:p>
        </w:tc>
        <w:tc>
          <w:tcPr>
            <w:tcW w:w="1679" w:type="pct"/>
            <w:shd w:val="clear" w:color="auto" w:fill="auto"/>
          </w:tcPr>
          <w:p w:rsidR="007B0CA0" w:rsidRPr="00737CB2" w:rsidRDefault="007B0CA0" w:rsidP="007B0CA0">
            <w:pPr>
              <w:jc w:val="center"/>
              <w:rPr>
                <w:rFonts w:ascii="新宋体" w:eastAsia="新宋体" w:hAnsi="新宋体" w:cs="Arial Unicode MS"/>
                <w:b/>
                <w:color w:val="796A4F"/>
                <w:sz w:val="21"/>
                <w:szCs w:val="21"/>
              </w:rPr>
            </w:pPr>
            <w:r w:rsidRPr="00737CB2">
              <w:rPr>
                <w:rFonts w:ascii="新宋体" w:eastAsia="新宋体" w:hAnsi="新宋体" w:cs="Arial Unicode MS" w:hint="eastAsia"/>
                <w:b/>
                <w:color w:val="796A4F"/>
                <w:sz w:val="21"/>
                <w:szCs w:val="21"/>
              </w:rPr>
              <w:t>涨跌幅%</w:t>
            </w:r>
          </w:p>
        </w:tc>
      </w:tr>
      <w:tr w:rsidR="007B0CA0" w:rsidRPr="0038467D" w:rsidTr="007B0CA0">
        <w:trPr>
          <w:trHeight w:val="286"/>
        </w:trPr>
        <w:tc>
          <w:tcPr>
            <w:tcW w:w="2055" w:type="pct"/>
            <w:shd w:val="clear" w:color="auto" w:fill="auto"/>
          </w:tcPr>
          <w:p w:rsidR="007B0CA0" w:rsidRPr="00187CF9" w:rsidRDefault="007B0CA0" w:rsidP="007B0CA0">
            <w:pPr>
              <w:jc w:val="center"/>
              <w:rPr>
                <w:rFonts w:ascii="新宋体" w:eastAsia="新宋体" w:hAnsi="新宋体"/>
                <w:b/>
                <w:color w:val="796A4F"/>
                <w:sz w:val="21"/>
                <w:szCs w:val="21"/>
              </w:rPr>
            </w:pPr>
            <w:r w:rsidRPr="00187CF9">
              <w:rPr>
                <w:rFonts w:ascii="新宋体" w:eastAsia="新宋体" w:hAnsi="新宋体" w:hint="eastAsia"/>
                <w:b/>
                <w:color w:val="796A4F"/>
                <w:sz w:val="21"/>
                <w:szCs w:val="21"/>
              </w:rPr>
              <w:t>美元指数</w:t>
            </w:r>
          </w:p>
        </w:tc>
        <w:tc>
          <w:tcPr>
            <w:tcW w:w="1266" w:type="pct"/>
            <w:shd w:val="clear" w:color="auto" w:fill="auto"/>
          </w:tcPr>
          <w:p w:rsidR="007B0CA0" w:rsidRPr="00187CF9" w:rsidRDefault="007B0CA0" w:rsidP="000F5370">
            <w:pPr>
              <w:jc w:val="center"/>
              <w:rPr>
                <w:rFonts w:ascii="新宋体" w:eastAsia="新宋体" w:hAnsi="新宋体"/>
                <w:color w:val="796A4F"/>
                <w:sz w:val="21"/>
                <w:szCs w:val="21"/>
              </w:rPr>
            </w:pPr>
            <w:r>
              <w:rPr>
                <w:rFonts w:ascii="新宋体" w:eastAsia="新宋体" w:hAnsi="新宋体" w:hint="eastAsia"/>
                <w:color w:val="796A4F"/>
                <w:sz w:val="21"/>
                <w:szCs w:val="21"/>
              </w:rPr>
              <w:t>8</w:t>
            </w:r>
            <w:r w:rsidR="000F5370">
              <w:rPr>
                <w:rFonts w:ascii="新宋体" w:eastAsia="新宋体" w:hAnsi="新宋体" w:hint="eastAsia"/>
                <w:color w:val="796A4F"/>
                <w:sz w:val="21"/>
                <w:szCs w:val="21"/>
              </w:rPr>
              <w:t>8</w:t>
            </w:r>
            <w:r w:rsidR="009643A9">
              <w:rPr>
                <w:rFonts w:ascii="新宋体" w:eastAsia="新宋体" w:hAnsi="新宋体" w:hint="eastAsia"/>
                <w:color w:val="796A4F"/>
                <w:sz w:val="21"/>
                <w:szCs w:val="21"/>
              </w:rPr>
              <w:t>.</w:t>
            </w:r>
            <w:r w:rsidR="000F5370">
              <w:rPr>
                <w:rFonts w:ascii="新宋体" w:eastAsia="新宋体" w:hAnsi="新宋体" w:hint="eastAsia"/>
                <w:color w:val="796A4F"/>
                <w:sz w:val="21"/>
                <w:szCs w:val="21"/>
              </w:rPr>
              <w:t>01</w:t>
            </w:r>
          </w:p>
        </w:tc>
        <w:tc>
          <w:tcPr>
            <w:tcW w:w="1679" w:type="pct"/>
            <w:shd w:val="clear" w:color="auto" w:fill="auto"/>
          </w:tcPr>
          <w:p w:rsidR="007B0CA0" w:rsidRPr="00457B61" w:rsidRDefault="007B0CA0" w:rsidP="000F5370">
            <w:pPr>
              <w:jc w:val="center"/>
              <w:rPr>
                <w:rFonts w:ascii="新宋体" w:eastAsia="新宋体" w:hAnsi="新宋体"/>
                <w:color w:val="00B050"/>
                <w:sz w:val="21"/>
                <w:szCs w:val="21"/>
              </w:rPr>
            </w:pPr>
            <w:r>
              <w:rPr>
                <w:rFonts w:ascii="新宋体" w:eastAsia="新宋体" w:hAnsi="新宋体" w:hint="eastAsia"/>
                <w:color w:val="00B050"/>
                <w:sz w:val="21"/>
                <w:szCs w:val="21"/>
              </w:rPr>
              <w:t>+</w:t>
            </w:r>
            <w:r w:rsidR="000F5370">
              <w:rPr>
                <w:rFonts w:ascii="新宋体" w:eastAsia="新宋体" w:hAnsi="新宋体" w:hint="eastAsia"/>
                <w:color w:val="00B050"/>
                <w:sz w:val="21"/>
                <w:szCs w:val="21"/>
              </w:rPr>
              <w:t>1</w:t>
            </w:r>
            <w:r>
              <w:rPr>
                <w:rFonts w:ascii="新宋体" w:eastAsia="新宋体" w:hAnsi="新宋体" w:hint="eastAsia"/>
                <w:color w:val="00B050"/>
                <w:sz w:val="21"/>
                <w:szCs w:val="21"/>
              </w:rPr>
              <w:t>.</w:t>
            </w:r>
            <w:r w:rsidR="000F5370">
              <w:rPr>
                <w:rFonts w:ascii="新宋体" w:eastAsia="新宋体" w:hAnsi="新宋体" w:hint="eastAsia"/>
                <w:color w:val="00B050"/>
                <w:sz w:val="21"/>
                <w:szCs w:val="21"/>
              </w:rPr>
              <w:t>17</w:t>
            </w:r>
            <w:r w:rsidRPr="00457B61">
              <w:rPr>
                <w:rFonts w:ascii="新宋体" w:eastAsia="新宋体" w:hAnsi="新宋体" w:hint="eastAsia"/>
                <w:color w:val="00B050"/>
                <w:sz w:val="21"/>
                <w:szCs w:val="21"/>
              </w:rPr>
              <w:t>%</w:t>
            </w:r>
          </w:p>
        </w:tc>
      </w:tr>
      <w:tr w:rsidR="007B0CA0" w:rsidRPr="00187CF9" w:rsidTr="007B0CA0">
        <w:trPr>
          <w:trHeight w:val="286"/>
        </w:trPr>
        <w:tc>
          <w:tcPr>
            <w:tcW w:w="2055" w:type="pct"/>
            <w:shd w:val="clear" w:color="auto" w:fill="auto"/>
          </w:tcPr>
          <w:p w:rsidR="007B0CA0" w:rsidRPr="00187CF9" w:rsidRDefault="007B0CA0" w:rsidP="007B0CA0">
            <w:pPr>
              <w:jc w:val="center"/>
              <w:rPr>
                <w:rFonts w:ascii="新宋体" w:eastAsia="新宋体" w:hAnsi="新宋体"/>
                <w:b/>
                <w:color w:val="796A4F"/>
                <w:sz w:val="21"/>
                <w:szCs w:val="21"/>
              </w:rPr>
            </w:pPr>
            <w:r>
              <w:rPr>
                <w:rFonts w:ascii="新宋体" w:eastAsia="新宋体" w:hAnsi="新宋体" w:hint="eastAsia"/>
                <w:b/>
                <w:color w:val="796A4F"/>
                <w:sz w:val="21"/>
                <w:szCs w:val="21"/>
              </w:rPr>
              <w:t>铁矿石掉期</w:t>
            </w:r>
          </w:p>
        </w:tc>
        <w:tc>
          <w:tcPr>
            <w:tcW w:w="1266" w:type="pct"/>
            <w:shd w:val="clear" w:color="auto" w:fill="auto"/>
          </w:tcPr>
          <w:p w:rsidR="007B0CA0" w:rsidRPr="00187CF9" w:rsidRDefault="000F5370" w:rsidP="000F5370">
            <w:pPr>
              <w:jc w:val="center"/>
              <w:rPr>
                <w:rFonts w:ascii="新宋体" w:eastAsia="新宋体" w:hAnsi="新宋体"/>
                <w:color w:val="796A4F"/>
                <w:sz w:val="21"/>
                <w:szCs w:val="21"/>
              </w:rPr>
            </w:pPr>
            <w:r>
              <w:rPr>
                <w:rFonts w:ascii="新宋体" w:eastAsia="新宋体" w:hAnsi="新宋体" w:hint="eastAsia"/>
                <w:color w:val="796A4F"/>
                <w:sz w:val="21"/>
                <w:szCs w:val="21"/>
              </w:rPr>
              <w:t>77</w:t>
            </w:r>
            <w:r w:rsidR="007B0CA0">
              <w:rPr>
                <w:rFonts w:ascii="新宋体" w:eastAsia="新宋体" w:hAnsi="新宋体" w:hint="eastAsia"/>
                <w:color w:val="796A4F"/>
                <w:sz w:val="21"/>
                <w:szCs w:val="21"/>
              </w:rPr>
              <w:t>.</w:t>
            </w:r>
            <w:r>
              <w:rPr>
                <w:rFonts w:ascii="新宋体" w:eastAsia="新宋体" w:hAnsi="新宋体" w:hint="eastAsia"/>
                <w:color w:val="796A4F"/>
                <w:sz w:val="21"/>
                <w:szCs w:val="21"/>
              </w:rPr>
              <w:t>68</w:t>
            </w:r>
          </w:p>
        </w:tc>
        <w:tc>
          <w:tcPr>
            <w:tcW w:w="1679" w:type="pct"/>
            <w:shd w:val="clear" w:color="auto" w:fill="auto"/>
          </w:tcPr>
          <w:p w:rsidR="007B0CA0" w:rsidRPr="00457B61" w:rsidRDefault="007B0CA0" w:rsidP="000F5370">
            <w:pPr>
              <w:jc w:val="center"/>
              <w:rPr>
                <w:rFonts w:ascii="新宋体" w:eastAsia="新宋体" w:hAnsi="新宋体"/>
                <w:color w:val="00B050"/>
                <w:sz w:val="21"/>
                <w:szCs w:val="21"/>
              </w:rPr>
            </w:pPr>
            <w:r>
              <w:rPr>
                <w:rFonts w:ascii="新宋体" w:eastAsia="新宋体" w:hAnsi="新宋体" w:hint="eastAsia"/>
                <w:color w:val="00B050"/>
                <w:sz w:val="21"/>
                <w:szCs w:val="21"/>
              </w:rPr>
              <w:t>-</w:t>
            </w:r>
            <w:r w:rsidR="000F5370">
              <w:rPr>
                <w:rFonts w:ascii="新宋体" w:eastAsia="新宋体" w:hAnsi="新宋体" w:hint="eastAsia"/>
                <w:color w:val="00B050"/>
                <w:sz w:val="21"/>
                <w:szCs w:val="21"/>
              </w:rPr>
              <w:t>1</w:t>
            </w:r>
            <w:r>
              <w:rPr>
                <w:rFonts w:ascii="新宋体" w:eastAsia="新宋体" w:hAnsi="新宋体" w:hint="eastAsia"/>
                <w:color w:val="00B050"/>
                <w:sz w:val="21"/>
                <w:szCs w:val="21"/>
              </w:rPr>
              <w:t>.</w:t>
            </w:r>
            <w:r w:rsidR="000F5370">
              <w:rPr>
                <w:rFonts w:ascii="新宋体" w:eastAsia="新宋体" w:hAnsi="新宋体" w:hint="eastAsia"/>
                <w:color w:val="00B050"/>
                <w:sz w:val="21"/>
                <w:szCs w:val="21"/>
              </w:rPr>
              <w:t>25</w:t>
            </w:r>
            <w:r w:rsidRPr="00457B61">
              <w:rPr>
                <w:rFonts w:ascii="新宋体" w:eastAsia="新宋体" w:hAnsi="新宋体" w:hint="eastAsia"/>
                <w:color w:val="00B050"/>
                <w:sz w:val="21"/>
                <w:szCs w:val="21"/>
              </w:rPr>
              <w:t>%</w:t>
            </w:r>
          </w:p>
        </w:tc>
      </w:tr>
    </w:tbl>
    <w:p w:rsidR="00C744C7" w:rsidRDefault="00586C4C">
      <w:pPr>
        <w:rPr>
          <w:rFonts w:ascii="黑体" w:eastAsia="黑体" w:hAnsi="宋体"/>
          <w:color w:val="990000"/>
          <w:sz w:val="30"/>
          <w:szCs w:val="30"/>
        </w:rPr>
      </w:pPr>
      <w:r w:rsidRPr="00586C4C">
        <w:pict>
          <v:shape id="Text Box 27" o:spid="_x0000_s1036" type="#_x0000_t202" style="position:absolute;margin-left:-40.3pt;margin-top:19.9pt;width:153pt;height:22.5pt;z-index:251654144;mso-position-horizontal-relative:text;mso-position-vertical-relative:text" filled="f" stroked="f">
            <v:textbox style="mso-next-textbox:#Text Box 27">
              <w:txbxContent>
                <w:p w:rsidR="0096157B" w:rsidRPr="00187CF9" w:rsidRDefault="0096157B">
                  <w:pPr>
                    <w:spacing w:line="0" w:lineRule="atLeast"/>
                    <w:rPr>
                      <w:rFonts w:ascii="新宋体" w:eastAsia="新宋体" w:hAnsi="新宋体" w:cs="Arial"/>
                      <w:b/>
                      <w:color w:val="796A4F"/>
                      <w:sz w:val="24"/>
                      <w:szCs w:val="24"/>
                    </w:rPr>
                  </w:pPr>
                  <w:r w:rsidRPr="00187CF9">
                    <w:rPr>
                      <w:rFonts w:ascii="新宋体" w:eastAsia="新宋体" w:hAnsi="新宋体" w:cs="Arial" w:hint="eastAsia"/>
                      <w:b/>
                      <w:color w:val="796A4F"/>
                      <w:sz w:val="24"/>
                      <w:szCs w:val="24"/>
                    </w:rPr>
                    <w:t>外盘相关指数</w:t>
                  </w:r>
                  <w:r>
                    <w:rPr>
                      <w:rFonts w:ascii="新宋体" w:eastAsia="新宋体" w:hAnsi="新宋体" w:cs="Arial" w:hint="eastAsia"/>
                      <w:b/>
                      <w:color w:val="796A4F"/>
                      <w:sz w:val="24"/>
                      <w:szCs w:val="24"/>
                    </w:rPr>
                    <w:t>周</w:t>
                  </w:r>
                  <w:r w:rsidRPr="00187CF9">
                    <w:rPr>
                      <w:rFonts w:ascii="新宋体" w:eastAsia="新宋体" w:hAnsi="新宋体" w:cs="Arial" w:hint="eastAsia"/>
                      <w:b/>
                      <w:color w:val="796A4F"/>
                      <w:sz w:val="24"/>
                      <w:szCs w:val="24"/>
                    </w:rPr>
                    <w:t>涨跌幅</w:t>
                  </w:r>
                </w:p>
                <w:p w:rsidR="0096157B" w:rsidRDefault="0096157B">
                  <w:pPr>
                    <w:spacing w:line="0" w:lineRule="atLeast"/>
                    <w:rPr>
                      <w:rFonts w:ascii="宋体" w:hAnsi="宋体"/>
                      <w:sz w:val="24"/>
                    </w:rPr>
                  </w:pPr>
                </w:p>
              </w:txbxContent>
            </v:textbox>
          </v:shape>
        </w:pict>
      </w:r>
    </w:p>
    <w:p w:rsidR="00A0506C" w:rsidRPr="00C101BC" w:rsidRDefault="00586C4C" w:rsidP="00A0506C">
      <w:pPr>
        <w:pStyle w:val="2"/>
        <w:rPr>
          <w:color w:val="000000" w:themeColor="text1"/>
          <w:sz w:val="28"/>
          <w:szCs w:val="28"/>
        </w:rPr>
      </w:pPr>
      <w:r w:rsidRPr="00586C4C">
        <w:rPr>
          <w:rFonts w:ascii="黑体" w:eastAsia="黑体" w:hAnsi="宋体"/>
          <w:b w:val="0"/>
          <w:bCs w:val="0"/>
          <w:noProof/>
          <w:color w:val="990000"/>
          <w:sz w:val="30"/>
          <w:szCs w:val="30"/>
        </w:rPr>
        <w:pict>
          <v:shape id="_x0000_s1047" type="#_x0000_t202" style="position:absolute;margin-left:-45.45pt;margin-top:127.2pt;width:153pt;height:23.4pt;z-index:251660288" filled="f" stroked="f">
            <v:textbox style="mso-next-textbox:#_x0000_s1047">
              <w:txbxContent>
                <w:p w:rsidR="0096157B" w:rsidRPr="00FA3260" w:rsidRDefault="0096157B" w:rsidP="00FA3260">
                  <w:pPr>
                    <w:rPr>
                      <w:rFonts w:ascii="新宋体" w:eastAsia="新宋体" w:hAnsi="新宋体" w:cs="Arial"/>
                      <w:color w:val="796A4F"/>
                      <w:sz w:val="20"/>
                      <w:szCs w:val="20"/>
                    </w:rPr>
                  </w:pPr>
                  <w:r w:rsidRPr="00FA3260">
                    <w:rPr>
                      <w:rFonts w:ascii="新宋体" w:eastAsia="新宋体" w:hAnsi="新宋体" w:cs="Arial"/>
                      <w:color w:val="796A4F"/>
                      <w:sz w:val="20"/>
                      <w:szCs w:val="20"/>
                    </w:rPr>
                    <w:t>资料来源：</w:t>
                  </w:r>
                  <w:r w:rsidRPr="00FA3260">
                    <w:rPr>
                      <w:rFonts w:ascii="新宋体" w:eastAsia="新宋体" w:hAnsi="新宋体" w:cs="Arial" w:hint="eastAsia"/>
                      <w:color w:val="796A4F"/>
                      <w:sz w:val="20"/>
                      <w:szCs w:val="20"/>
                    </w:rPr>
                    <w:t>Wind资讯</w:t>
                  </w:r>
                  <w:r w:rsidRPr="00FA3260">
                    <w:rPr>
                      <w:rFonts w:ascii="新宋体" w:eastAsia="新宋体" w:hAnsi="新宋体" w:cs="Arial"/>
                      <w:color w:val="796A4F"/>
                      <w:sz w:val="20"/>
                      <w:szCs w:val="20"/>
                    </w:rPr>
                    <w:t>、方正</w:t>
                  </w:r>
                  <w:r>
                    <w:rPr>
                      <w:rFonts w:ascii="新宋体" w:eastAsia="新宋体" w:hAnsi="新宋体" w:cs="Arial" w:hint="eastAsia"/>
                      <w:color w:val="796A4F"/>
                      <w:sz w:val="20"/>
                      <w:szCs w:val="20"/>
                    </w:rPr>
                    <w:t>中期</w:t>
                  </w:r>
                </w:p>
                <w:p w:rsidR="0096157B" w:rsidRPr="00FA3260" w:rsidRDefault="0096157B">
                  <w:pPr>
                    <w:rPr>
                      <w:color w:val="796A4F"/>
                    </w:rPr>
                  </w:pPr>
                </w:p>
              </w:txbxContent>
            </v:textbox>
          </v:shape>
        </w:pict>
      </w:r>
      <w:r w:rsidRPr="00586C4C">
        <w:rPr>
          <w:rFonts w:ascii="Calibri" w:hAnsi="Calibri"/>
          <w:b w:val="0"/>
          <w:bCs w:val="0"/>
          <w:color w:val="auto"/>
          <w:sz w:val="22"/>
          <w:szCs w:val="22"/>
        </w:rPr>
        <w:pict>
          <v:shape id="Text Box 36" o:spid="_x0000_s1038" type="#_x0000_t202" style="position:absolute;margin-left:-162.95pt;margin-top:409.95pt;width:167.5pt;height:23.4pt;z-index:251657216" filled="f" stroked="f">
            <v:textbox style="mso-next-textbox:#Text Box 36">
              <w:txbxContent>
                <w:p w:rsidR="0096157B" w:rsidRPr="005E6179" w:rsidRDefault="0096157B">
                  <w:pPr>
                    <w:rPr>
                      <w:color w:val="796A4F"/>
                    </w:rPr>
                  </w:pPr>
                  <w:r w:rsidRPr="005E6179">
                    <w:rPr>
                      <w:rFonts w:ascii="新宋体" w:eastAsia="新宋体" w:cs="新宋体" w:hint="eastAsia"/>
                      <w:color w:val="796A4F"/>
                      <w:szCs w:val="21"/>
                    </w:rPr>
                    <w:t>请务必阅读最后重要事项</w:t>
                  </w:r>
                </w:p>
              </w:txbxContent>
            </v:textbox>
          </v:shape>
        </w:pict>
      </w:r>
      <w:r w:rsidRPr="00586C4C">
        <w:rPr>
          <w:rFonts w:ascii="Calibri" w:hAnsi="Calibri"/>
          <w:b w:val="0"/>
          <w:bCs w:val="0"/>
          <w:color w:val="auto"/>
          <w:sz w:val="22"/>
          <w:szCs w:val="22"/>
        </w:rPr>
        <w:pict>
          <v:rect id="_x0000_s1037" style="position:absolute;margin-left:-63pt;margin-top:421.4pt;width:603pt;height:57.2pt;z-index:251649024" stroked="f"/>
        </w:pict>
      </w:r>
      <w:r w:rsidR="00C744C7">
        <w:rPr>
          <w:sz w:val="30"/>
          <w:szCs w:val="30"/>
        </w:rPr>
        <w:br w:type="page"/>
      </w:r>
      <w:r w:rsidR="00A0506C" w:rsidRPr="00C101BC">
        <w:rPr>
          <w:rFonts w:hint="eastAsia"/>
          <w:bCs w:val="0"/>
          <w:color w:val="000000" w:themeColor="text1"/>
          <w:sz w:val="28"/>
          <w:szCs w:val="28"/>
        </w:rPr>
        <w:lastRenderedPageBreak/>
        <w:t>第</w:t>
      </w:r>
      <w:r w:rsidR="00A0506C">
        <w:rPr>
          <w:rFonts w:hint="eastAsia"/>
          <w:bCs w:val="0"/>
          <w:color w:val="000000" w:themeColor="text1"/>
          <w:sz w:val="28"/>
          <w:szCs w:val="28"/>
        </w:rPr>
        <w:t>一</w:t>
      </w:r>
      <w:r w:rsidR="00A0506C" w:rsidRPr="00C101BC">
        <w:rPr>
          <w:rFonts w:hint="eastAsia"/>
          <w:bCs w:val="0"/>
          <w:color w:val="000000" w:themeColor="text1"/>
          <w:sz w:val="28"/>
          <w:szCs w:val="28"/>
        </w:rPr>
        <w:t>部分</w:t>
      </w:r>
      <w:r w:rsidR="00A0506C" w:rsidRPr="00C101BC">
        <w:rPr>
          <w:rFonts w:hint="eastAsia"/>
          <w:bCs w:val="0"/>
          <w:color w:val="000000" w:themeColor="text1"/>
          <w:sz w:val="28"/>
          <w:szCs w:val="28"/>
        </w:rPr>
        <w:t xml:space="preserve">  </w:t>
      </w:r>
      <w:r w:rsidR="00BB3781">
        <w:rPr>
          <w:rFonts w:hint="eastAsia"/>
          <w:bCs w:val="0"/>
          <w:color w:val="000000" w:themeColor="text1"/>
          <w:sz w:val="28"/>
          <w:szCs w:val="28"/>
        </w:rPr>
        <w:t>政策托底</w:t>
      </w:r>
      <w:r w:rsidR="00BB3781">
        <w:rPr>
          <w:rFonts w:hint="eastAsia"/>
          <w:bCs w:val="0"/>
          <w:color w:val="000000" w:themeColor="text1"/>
          <w:sz w:val="28"/>
          <w:szCs w:val="28"/>
        </w:rPr>
        <w:t xml:space="preserve"> </w:t>
      </w:r>
      <w:r w:rsidR="00A0506C" w:rsidRPr="00C101BC">
        <w:rPr>
          <w:rFonts w:hint="eastAsia"/>
          <w:bCs w:val="0"/>
          <w:color w:val="000000" w:themeColor="text1"/>
          <w:sz w:val="28"/>
          <w:szCs w:val="28"/>
        </w:rPr>
        <w:t>中国经济</w:t>
      </w:r>
      <w:r w:rsidR="00BB3781">
        <w:rPr>
          <w:rFonts w:hint="eastAsia"/>
          <w:bCs w:val="0"/>
          <w:color w:val="000000" w:themeColor="text1"/>
          <w:sz w:val="28"/>
          <w:szCs w:val="28"/>
        </w:rPr>
        <w:t>负重前行</w:t>
      </w:r>
      <w:r w:rsidR="00BB3781">
        <w:rPr>
          <w:rFonts w:hint="eastAsia"/>
          <w:bCs w:val="0"/>
          <w:color w:val="000000" w:themeColor="text1"/>
          <w:sz w:val="28"/>
          <w:szCs w:val="28"/>
        </w:rPr>
        <w:t xml:space="preserve"> </w:t>
      </w:r>
    </w:p>
    <w:p w:rsidR="00A0506C" w:rsidRPr="00C101BC" w:rsidRDefault="00822377" w:rsidP="00A0506C">
      <w:pPr>
        <w:pStyle w:val="3"/>
        <w:rPr>
          <w:color w:val="000000" w:themeColor="text1"/>
          <w:sz w:val="21"/>
          <w:szCs w:val="21"/>
        </w:rPr>
      </w:pPr>
      <w:r>
        <w:rPr>
          <w:rFonts w:hint="eastAsia"/>
          <w:color w:val="000000" w:themeColor="text1"/>
          <w:sz w:val="21"/>
          <w:szCs w:val="21"/>
        </w:rPr>
        <w:t>一</w:t>
      </w:r>
      <w:r w:rsidR="00A0506C" w:rsidRPr="00C101BC">
        <w:rPr>
          <w:rFonts w:hint="eastAsia"/>
          <w:color w:val="000000" w:themeColor="text1"/>
          <w:sz w:val="21"/>
          <w:szCs w:val="21"/>
        </w:rPr>
        <w:t>、</w:t>
      </w:r>
      <w:r>
        <w:rPr>
          <w:rFonts w:hint="eastAsia"/>
          <w:color w:val="000000" w:themeColor="text1"/>
          <w:sz w:val="21"/>
          <w:szCs w:val="21"/>
        </w:rPr>
        <w:t>10</w:t>
      </w:r>
      <w:r>
        <w:rPr>
          <w:rFonts w:hint="eastAsia"/>
          <w:color w:val="000000" w:themeColor="text1"/>
          <w:sz w:val="21"/>
          <w:szCs w:val="21"/>
        </w:rPr>
        <w:t>月中国制造业</w:t>
      </w:r>
      <w:r>
        <w:rPr>
          <w:rFonts w:hint="eastAsia"/>
          <w:color w:val="000000" w:themeColor="text1"/>
          <w:sz w:val="21"/>
          <w:szCs w:val="21"/>
        </w:rPr>
        <w:t>PMI</w:t>
      </w:r>
      <w:r>
        <w:rPr>
          <w:rFonts w:hint="eastAsia"/>
          <w:color w:val="000000" w:themeColor="text1"/>
          <w:sz w:val="21"/>
          <w:szCs w:val="21"/>
        </w:rPr>
        <w:t>指数下滑</w:t>
      </w:r>
    </w:p>
    <w:p w:rsidR="00822377" w:rsidRPr="00822377" w:rsidRDefault="00822377" w:rsidP="00822377">
      <w:pPr>
        <w:jc w:val="center"/>
        <w:rPr>
          <w:rFonts w:ascii="宋体" w:hAnsi="宋体" w:cs="宋体"/>
          <w:noProof/>
          <w:sz w:val="24"/>
        </w:rPr>
      </w:pPr>
      <w:r w:rsidRPr="00822377">
        <w:rPr>
          <w:rFonts w:ascii="宋体" w:hAnsi="宋体" w:cs="宋体"/>
          <w:noProof/>
          <w:sz w:val="24"/>
        </w:rPr>
        <w:drawing>
          <wp:inline distT="0" distB="0" distL="0" distR="0">
            <wp:extent cx="5478780" cy="3215640"/>
            <wp:effectExtent l="19050" t="0" r="7620" b="0"/>
            <wp:docPr id="27" name="图片 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9" cstate="print"/>
                    <a:stretch>
                      <a:fillRect/>
                    </a:stretch>
                  </pic:blipFill>
                  <pic:spPr>
                    <a:xfrm>
                      <a:off x="0" y="0"/>
                      <a:ext cx="5478780" cy="3215640"/>
                    </a:xfrm>
                    <a:prstGeom prst="rect">
                      <a:avLst/>
                    </a:prstGeom>
                  </pic:spPr>
                </pic:pic>
              </a:graphicData>
            </a:graphic>
          </wp:inline>
        </w:drawing>
      </w:r>
    </w:p>
    <w:p w:rsidR="00822377" w:rsidRPr="00400A2B" w:rsidRDefault="00822377" w:rsidP="00822377">
      <w:pPr>
        <w:spacing w:line="360" w:lineRule="auto"/>
        <w:jc w:val="center"/>
        <w:rPr>
          <w:rFonts w:ascii="Times New Roman" w:hAnsi="Times New Roman"/>
          <w:b/>
          <w:szCs w:val="21"/>
        </w:rPr>
      </w:pPr>
      <w:r w:rsidRPr="00477DD1">
        <w:rPr>
          <w:rFonts w:ascii="Times New Roman" w:hAnsi="Times New Roman" w:hint="eastAsia"/>
          <w:b/>
          <w:szCs w:val="21"/>
        </w:rPr>
        <w:t>图</w:t>
      </w:r>
      <w:r>
        <w:rPr>
          <w:rFonts w:ascii="Times New Roman" w:hAnsi="Times New Roman" w:hint="eastAsia"/>
          <w:b/>
          <w:szCs w:val="21"/>
        </w:rPr>
        <w:t>1-1</w:t>
      </w:r>
      <w:r w:rsidRPr="00477DD1">
        <w:rPr>
          <w:rFonts w:ascii="Times New Roman" w:hAnsi="Times New Roman" w:hint="eastAsia"/>
          <w:b/>
          <w:szCs w:val="21"/>
        </w:rPr>
        <w:t>：</w:t>
      </w:r>
      <w:r>
        <w:rPr>
          <w:rFonts w:ascii="Times New Roman" w:hAnsi="Times New Roman" w:hint="eastAsia"/>
          <w:b/>
          <w:szCs w:val="21"/>
        </w:rPr>
        <w:t>2009-2014</w:t>
      </w:r>
      <w:r>
        <w:rPr>
          <w:rFonts w:ascii="Times New Roman" w:hAnsi="Times New Roman" w:hint="eastAsia"/>
          <w:b/>
          <w:szCs w:val="21"/>
        </w:rPr>
        <w:t>年两大中国制造业</w:t>
      </w:r>
      <w:r>
        <w:rPr>
          <w:rFonts w:ascii="Times New Roman" w:hAnsi="Times New Roman" w:hint="eastAsia"/>
          <w:b/>
          <w:szCs w:val="21"/>
        </w:rPr>
        <w:t>PMI</w:t>
      </w:r>
      <w:r>
        <w:rPr>
          <w:rFonts w:ascii="Times New Roman" w:hAnsi="Times New Roman" w:hint="eastAsia"/>
          <w:b/>
          <w:szCs w:val="21"/>
        </w:rPr>
        <w:t>指数对比</w:t>
      </w:r>
    </w:p>
    <w:p w:rsidR="00822377" w:rsidRDefault="00822377" w:rsidP="00822377">
      <w:pPr>
        <w:jc w:val="center"/>
        <w:rPr>
          <w:rFonts w:ascii="Times New Roman" w:hAnsi="Times New Roman"/>
          <w:b/>
          <w:szCs w:val="21"/>
        </w:rPr>
      </w:pPr>
      <w:r w:rsidRPr="00477DD1">
        <w:rPr>
          <w:rFonts w:ascii="Times New Roman" w:hAnsi="Times New Roman"/>
          <w:b/>
          <w:szCs w:val="21"/>
        </w:rPr>
        <w:t>资料来源：</w:t>
      </w:r>
      <w:r>
        <w:rPr>
          <w:rFonts w:ascii="Times New Roman" w:hAnsi="Times New Roman" w:hint="eastAsia"/>
          <w:b/>
          <w:szCs w:val="21"/>
        </w:rPr>
        <w:t>Wind</w:t>
      </w:r>
      <w:r>
        <w:rPr>
          <w:rFonts w:ascii="Times New Roman" w:hAnsi="Times New Roman" w:hint="eastAsia"/>
          <w:b/>
          <w:szCs w:val="21"/>
        </w:rPr>
        <w:t>资讯</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6B70DA" w:rsidRDefault="006B70DA" w:rsidP="006B70DA">
      <w:pPr>
        <w:spacing w:line="360" w:lineRule="auto"/>
        <w:ind w:firstLineChars="200" w:firstLine="480"/>
        <w:rPr>
          <w:rFonts w:ascii="宋体" w:hAnsi="宋体"/>
          <w:sz w:val="24"/>
        </w:rPr>
      </w:pPr>
    </w:p>
    <w:p w:rsidR="006B70DA" w:rsidRPr="00536EAD" w:rsidRDefault="006B70DA"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国家统计局公布数据显示，我国10月制造业PMI分类指数全面趋于恶化，10月制造业PMI指数为50.8，比9月回落0.3点，低于预期；10月制造业PMI初值5个构成指数中，产出指数、新订单指数和原材料库存指数回落幅度较大，但就业指数微升，供应商供应时间(</w:t>
      </w:r>
      <w:proofErr w:type="gramStart"/>
      <w:r w:rsidRPr="00536EAD">
        <w:rPr>
          <w:rFonts w:ascii="新宋体" w:eastAsia="新宋体" w:hAnsi="新宋体" w:cs="Arial" w:hint="eastAsia"/>
          <w:color w:val="796A4F"/>
          <w:sz w:val="21"/>
          <w:szCs w:val="21"/>
        </w:rPr>
        <w:t>逆指标</w:t>
      </w:r>
      <w:proofErr w:type="gramEnd"/>
      <w:r w:rsidRPr="00536EAD">
        <w:rPr>
          <w:rFonts w:ascii="新宋体" w:eastAsia="新宋体" w:hAnsi="新宋体" w:cs="Arial" w:hint="eastAsia"/>
          <w:color w:val="796A4F"/>
          <w:sz w:val="21"/>
          <w:szCs w:val="21"/>
        </w:rPr>
        <w:t>)指数持平，总指数小幅回落。</w:t>
      </w:r>
    </w:p>
    <w:p w:rsidR="006B70DA" w:rsidRPr="00536EAD" w:rsidRDefault="006B70DA"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其中，生产指数53.1，比9月回落0.5个百分点，制造业处于较弱扩张趋势。新订单指数为51.6，比9月回落0.6个百分点；新出口订单指数49.9，比9月回落0.3个百分点。国内需求进一步趋弱，国外需求未能保持扩张趋势。采购</w:t>
      </w:r>
      <w:proofErr w:type="gramStart"/>
      <w:r w:rsidRPr="00536EAD">
        <w:rPr>
          <w:rFonts w:ascii="新宋体" w:eastAsia="新宋体" w:hAnsi="新宋体" w:cs="Arial" w:hint="eastAsia"/>
          <w:color w:val="796A4F"/>
          <w:sz w:val="21"/>
          <w:szCs w:val="21"/>
        </w:rPr>
        <w:t>量指数</w:t>
      </w:r>
      <w:proofErr w:type="gramEnd"/>
      <w:r w:rsidRPr="00536EAD">
        <w:rPr>
          <w:rFonts w:ascii="新宋体" w:eastAsia="新宋体" w:hAnsi="新宋体" w:cs="Arial" w:hint="eastAsia"/>
          <w:color w:val="796A4F"/>
          <w:sz w:val="21"/>
          <w:szCs w:val="21"/>
        </w:rPr>
        <w:t>为50.7，比9月回落0.5个百分点。主要原材料购进价格指数为45.1，比9月回落2.3个百分点。进口指数47.9，比9月回落0.1个百分点。产成品库存指数47.9，比9月上升0.7个百分点；原材料库存指数48.4，比9月回落0.4个百分点。产成品和原材料均处于去库存过程中。</w:t>
      </w:r>
    </w:p>
    <w:p w:rsidR="00822377" w:rsidRDefault="00822377" w:rsidP="00822377">
      <w:pPr>
        <w:spacing w:line="360" w:lineRule="auto"/>
        <w:ind w:firstLineChars="200" w:firstLine="480"/>
        <w:rPr>
          <w:rFonts w:ascii="宋体" w:hAnsi="宋体"/>
          <w:sz w:val="24"/>
        </w:rPr>
      </w:pPr>
      <w:r w:rsidRPr="00822377">
        <w:rPr>
          <w:rFonts w:ascii="宋体" w:hAnsi="宋体"/>
          <w:noProof/>
          <w:sz w:val="24"/>
        </w:rPr>
        <w:lastRenderedPageBreak/>
        <w:drawing>
          <wp:inline distT="0" distB="0" distL="0" distR="0">
            <wp:extent cx="5486400" cy="3401695"/>
            <wp:effectExtent l="19050" t="0" r="0" b="0"/>
            <wp:docPr id="241" name="图片 2"/>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0" cstate="print"/>
                    <a:stretch>
                      <a:fillRect/>
                    </a:stretch>
                  </pic:blipFill>
                  <pic:spPr>
                    <a:xfrm>
                      <a:off x="0" y="0"/>
                      <a:ext cx="5486400" cy="3401695"/>
                    </a:xfrm>
                    <a:prstGeom prst="rect">
                      <a:avLst/>
                    </a:prstGeom>
                  </pic:spPr>
                </pic:pic>
              </a:graphicData>
            </a:graphic>
          </wp:inline>
        </w:drawing>
      </w:r>
    </w:p>
    <w:p w:rsidR="00822377" w:rsidRPr="00400A2B" w:rsidRDefault="00822377" w:rsidP="00822377">
      <w:pPr>
        <w:spacing w:line="360" w:lineRule="auto"/>
        <w:jc w:val="center"/>
        <w:rPr>
          <w:rFonts w:ascii="Times New Roman" w:hAnsi="Times New Roman"/>
          <w:b/>
          <w:szCs w:val="21"/>
        </w:rPr>
      </w:pPr>
      <w:r w:rsidRPr="00477DD1">
        <w:rPr>
          <w:rFonts w:ascii="Times New Roman" w:hAnsi="Times New Roman" w:hint="eastAsia"/>
          <w:b/>
          <w:szCs w:val="21"/>
        </w:rPr>
        <w:t>图</w:t>
      </w:r>
      <w:r>
        <w:rPr>
          <w:rFonts w:ascii="Times New Roman" w:hAnsi="Times New Roman" w:hint="eastAsia"/>
          <w:b/>
          <w:szCs w:val="21"/>
        </w:rPr>
        <w:t>1-2</w:t>
      </w:r>
      <w:r w:rsidRPr="00477DD1">
        <w:rPr>
          <w:rFonts w:ascii="Times New Roman" w:hAnsi="Times New Roman" w:hint="eastAsia"/>
          <w:b/>
          <w:szCs w:val="21"/>
        </w:rPr>
        <w:t>：</w:t>
      </w:r>
      <w:r>
        <w:rPr>
          <w:rFonts w:ascii="Times New Roman" w:hAnsi="Times New Roman" w:hint="eastAsia"/>
          <w:b/>
          <w:szCs w:val="21"/>
        </w:rPr>
        <w:t>2009-2014</w:t>
      </w:r>
      <w:r>
        <w:rPr>
          <w:rFonts w:ascii="Times New Roman" w:hAnsi="Times New Roman" w:hint="eastAsia"/>
          <w:b/>
          <w:szCs w:val="21"/>
        </w:rPr>
        <w:t>年中国制造业</w:t>
      </w:r>
      <w:r w:rsidR="00DE03D4">
        <w:rPr>
          <w:rFonts w:ascii="Times New Roman" w:hAnsi="Times New Roman" w:hint="eastAsia"/>
          <w:b/>
          <w:szCs w:val="21"/>
        </w:rPr>
        <w:t>与非制造业</w:t>
      </w:r>
      <w:r>
        <w:rPr>
          <w:rFonts w:ascii="Times New Roman" w:hAnsi="Times New Roman" w:hint="eastAsia"/>
          <w:b/>
          <w:szCs w:val="21"/>
        </w:rPr>
        <w:t>PMI</w:t>
      </w:r>
      <w:r>
        <w:rPr>
          <w:rFonts w:ascii="Times New Roman" w:hAnsi="Times New Roman" w:hint="eastAsia"/>
          <w:b/>
          <w:szCs w:val="21"/>
        </w:rPr>
        <w:t>指数对比</w:t>
      </w:r>
    </w:p>
    <w:p w:rsidR="00822377" w:rsidRDefault="00822377" w:rsidP="00822377">
      <w:pPr>
        <w:jc w:val="center"/>
        <w:rPr>
          <w:rFonts w:ascii="Times New Roman" w:hAnsi="Times New Roman"/>
          <w:b/>
          <w:szCs w:val="21"/>
        </w:rPr>
      </w:pPr>
      <w:r w:rsidRPr="00477DD1">
        <w:rPr>
          <w:rFonts w:ascii="Times New Roman" w:hAnsi="Times New Roman"/>
          <w:b/>
          <w:szCs w:val="21"/>
        </w:rPr>
        <w:t>资料来源：</w:t>
      </w:r>
      <w:r>
        <w:rPr>
          <w:rFonts w:ascii="Times New Roman" w:hAnsi="Times New Roman" w:hint="eastAsia"/>
          <w:b/>
          <w:szCs w:val="21"/>
        </w:rPr>
        <w:t>Wind</w:t>
      </w:r>
      <w:r>
        <w:rPr>
          <w:rFonts w:ascii="Times New Roman" w:hAnsi="Times New Roman" w:hint="eastAsia"/>
          <w:b/>
          <w:szCs w:val="21"/>
        </w:rPr>
        <w:t>资讯</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6B70DA" w:rsidRPr="00536EAD" w:rsidRDefault="006B70DA"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10月制造业生产、产品需求、库存、价格等指标均呈下行趋势，反映10月制造业生产经营仍较低迷。</w:t>
      </w:r>
    </w:p>
    <w:p w:rsidR="006B70DA" w:rsidRPr="00536EAD" w:rsidRDefault="006B70DA"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国家统计局等部门发布的10月非制造业商务活动指数为53.8%，比上月回落0.2个百分点；10月中国非制造业商务活动各单项指数中，新订单、在手订单、存货、中间投入价格、收费价格和供应商配送时间指数回升。</w:t>
      </w:r>
    </w:p>
    <w:p w:rsidR="006B70DA" w:rsidRPr="00536EAD" w:rsidRDefault="006B70DA"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汇</w:t>
      </w:r>
      <w:proofErr w:type="gramStart"/>
      <w:r w:rsidRPr="00536EAD">
        <w:rPr>
          <w:rFonts w:ascii="新宋体" w:eastAsia="新宋体" w:hAnsi="新宋体" w:cs="Arial" w:hint="eastAsia"/>
          <w:color w:val="796A4F"/>
          <w:sz w:val="21"/>
          <w:szCs w:val="21"/>
        </w:rPr>
        <w:t>丰公布</w:t>
      </w:r>
      <w:proofErr w:type="gramEnd"/>
      <w:r w:rsidRPr="00536EAD">
        <w:rPr>
          <w:rFonts w:ascii="新宋体" w:eastAsia="新宋体" w:hAnsi="新宋体" w:cs="Arial" w:hint="eastAsia"/>
          <w:color w:val="796A4F"/>
          <w:sz w:val="21"/>
          <w:szCs w:val="21"/>
        </w:rPr>
        <w:t>的中国10月制造业采购经理指数(PMI)终值持平于初值的50.4，高于上月终值。数据表明我国非制造业和制造业双双出现下滑，中国经济运行虽然总体平稳。但从短期波动和行业数据上看，也反映出经济仍然面临较大下行压力。</w:t>
      </w:r>
    </w:p>
    <w:p w:rsidR="006B70DA" w:rsidRPr="00536EAD" w:rsidRDefault="006B70DA"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汇丰10月PMI终值微幅上升至50.4(9月终值为50.2)，显示出制造业扩张缓慢。国内外订单较初值均有所回落，而就业和存货轻微好转，抵消订单和产出下降带来的影响。鉴于终端需求仍旧薄弱，预计短期内不会出现明显好转。高基数效应在第四季度仍旧显著，房贷放松的正面效应需要时日才能显现，出口可能放缓。</w:t>
      </w:r>
    </w:p>
    <w:p w:rsidR="006B70DA" w:rsidRPr="00536EAD" w:rsidRDefault="006B70DA"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值得注意的是，10月份，大型企业PMI为51.9%，是制造业PMI保持扩张状态的主要因素，但中、小型企业PMI均位于收缩区间。近几个月在国家有关政策的支持下，中小企业经营状况有所好转，但仍比较困难，中小企业PMI走势仍比较弱，这说明制造业经济稳中有升的基础仍需巩固。</w:t>
      </w:r>
    </w:p>
    <w:p w:rsidR="006B70DA" w:rsidRPr="00536EAD" w:rsidRDefault="006B70DA"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lastRenderedPageBreak/>
        <w:t>国务院发展研究中心宏观经济部研究员张立群说，今年三季度我国出台了一系列</w:t>
      </w:r>
      <w:proofErr w:type="gramStart"/>
      <w:r w:rsidRPr="00536EAD">
        <w:rPr>
          <w:rFonts w:ascii="新宋体" w:eastAsia="新宋体" w:hAnsi="新宋体" w:cs="Arial" w:hint="eastAsia"/>
          <w:color w:val="796A4F"/>
          <w:sz w:val="21"/>
          <w:szCs w:val="21"/>
        </w:rPr>
        <w:t>稳增长</w:t>
      </w:r>
      <w:proofErr w:type="gramEnd"/>
      <w:r w:rsidRPr="00536EAD">
        <w:rPr>
          <w:rFonts w:ascii="新宋体" w:eastAsia="新宋体" w:hAnsi="新宋体" w:cs="Arial" w:hint="eastAsia"/>
          <w:color w:val="796A4F"/>
          <w:sz w:val="21"/>
          <w:szCs w:val="21"/>
        </w:rPr>
        <w:t>措施，其效果在市场方面已经开始显现，虽然尚未表现在PMI指数变动中，但支持经济增长趋稳的作用预计会日益明显。据此判断，未来PMI指数不会趋势性回落，经济增长也不会趋势性下行。</w:t>
      </w:r>
    </w:p>
    <w:p w:rsidR="006B70DA" w:rsidRDefault="006B70DA" w:rsidP="006B70DA">
      <w:pPr>
        <w:spacing w:line="360" w:lineRule="auto"/>
        <w:ind w:firstLineChars="200" w:firstLine="480"/>
        <w:rPr>
          <w:rFonts w:ascii="宋体" w:hAnsi="宋体"/>
          <w:sz w:val="24"/>
        </w:rPr>
      </w:pPr>
    </w:p>
    <w:p w:rsidR="00822377" w:rsidRPr="00C101BC" w:rsidRDefault="006B70DA" w:rsidP="00822377">
      <w:pPr>
        <w:pStyle w:val="3"/>
        <w:rPr>
          <w:color w:val="000000" w:themeColor="text1"/>
          <w:sz w:val="21"/>
          <w:szCs w:val="21"/>
        </w:rPr>
      </w:pPr>
      <w:r>
        <w:rPr>
          <w:rFonts w:hint="eastAsia"/>
          <w:color w:val="000000" w:themeColor="text1"/>
          <w:sz w:val="21"/>
          <w:szCs w:val="21"/>
        </w:rPr>
        <w:t>二、</w:t>
      </w:r>
      <w:r>
        <w:rPr>
          <w:rFonts w:hint="eastAsia"/>
          <w:color w:val="000000" w:themeColor="text1"/>
          <w:sz w:val="21"/>
          <w:szCs w:val="21"/>
        </w:rPr>
        <w:t>G</w:t>
      </w:r>
      <w:r w:rsidR="00822377" w:rsidRPr="00C101BC">
        <w:rPr>
          <w:rFonts w:hint="eastAsia"/>
          <w:color w:val="000000" w:themeColor="text1"/>
          <w:sz w:val="21"/>
          <w:szCs w:val="21"/>
        </w:rPr>
        <w:t>DP</w:t>
      </w:r>
      <w:r w:rsidR="00822377" w:rsidRPr="00C101BC">
        <w:rPr>
          <w:rFonts w:hint="eastAsia"/>
          <w:color w:val="000000" w:themeColor="text1"/>
          <w:sz w:val="21"/>
          <w:szCs w:val="21"/>
        </w:rPr>
        <w:t>增速回落至</w:t>
      </w:r>
      <w:r w:rsidR="00822377" w:rsidRPr="00C101BC">
        <w:rPr>
          <w:rFonts w:hint="eastAsia"/>
          <w:color w:val="000000" w:themeColor="text1"/>
          <w:sz w:val="21"/>
          <w:szCs w:val="21"/>
        </w:rPr>
        <w:t>6</w:t>
      </w:r>
      <w:r w:rsidR="00822377" w:rsidRPr="00C101BC">
        <w:rPr>
          <w:rFonts w:hint="eastAsia"/>
          <w:color w:val="000000" w:themeColor="text1"/>
          <w:sz w:val="21"/>
          <w:szCs w:val="21"/>
        </w:rPr>
        <w:t>年低位</w:t>
      </w:r>
    </w:p>
    <w:p w:rsidR="00822377" w:rsidRPr="00822377" w:rsidRDefault="00822377" w:rsidP="00A0506C">
      <w:pPr>
        <w:spacing w:line="360" w:lineRule="auto"/>
        <w:ind w:firstLineChars="200" w:firstLine="480"/>
        <w:rPr>
          <w:rFonts w:ascii="宋体" w:hAnsi="宋体"/>
          <w:sz w:val="24"/>
        </w:rPr>
      </w:pP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国家统计局公布数据显示，前三季度国内生产总值419908亿元，按可比价格计算，同比增长7.4%。分季度看，一季度同比增长7.4%，二季度增长7.5%，三季度增长7.3%。分产业看，第一产业增加值37996亿元，同比增长4.2%；第二产业增加值185787亿元，增长7.4%；第三产业增加值196125亿元，增长7.9%。从环比看，三季度国内生产总值增长1.9%。</w:t>
      </w:r>
    </w:p>
    <w:p w:rsidR="00A0506C" w:rsidRDefault="00A0506C" w:rsidP="00A0506C">
      <w:pPr>
        <w:jc w:val="center"/>
        <w:rPr>
          <w:noProof/>
        </w:rPr>
      </w:pPr>
      <w:r w:rsidRPr="00510D2E">
        <w:rPr>
          <w:noProof/>
        </w:rPr>
        <w:drawing>
          <wp:inline distT="0" distB="0" distL="0" distR="0">
            <wp:extent cx="5486400" cy="3323590"/>
            <wp:effectExtent l="19050" t="0" r="0" b="0"/>
            <wp:docPr id="4" name="图片 6"/>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1" cstate="print"/>
                    <a:stretch>
                      <a:fillRect/>
                    </a:stretch>
                  </pic:blipFill>
                  <pic:spPr>
                    <a:xfrm>
                      <a:off x="0" y="0"/>
                      <a:ext cx="5486400" cy="3323590"/>
                    </a:xfrm>
                    <a:prstGeom prst="rect">
                      <a:avLst/>
                    </a:prstGeom>
                  </pic:spPr>
                </pic:pic>
              </a:graphicData>
            </a:graphic>
          </wp:inline>
        </w:drawing>
      </w:r>
    </w:p>
    <w:p w:rsidR="005F5C57" w:rsidRPr="00400A2B" w:rsidRDefault="005F5C57" w:rsidP="005F5C57">
      <w:pPr>
        <w:spacing w:line="360" w:lineRule="auto"/>
        <w:jc w:val="center"/>
        <w:rPr>
          <w:rFonts w:ascii="Times New Roman" w:hAnsi="Times New Roman"/>
          <w:b/>
          <w:szCs w:val="21"/>
        </w:rPr>
      </w:pPr>
      <w:r w:rsidRPr="00477DD1">
        <w:rPr>
          <w:rFonts w:ascii="Times New Roman" w:hAnsi="Times New Roman" w:hint="eastAsia"/>
          <w:b/>
          <w:szCs w:val="21"/>
        </w:rPr>
        <w:t>图</w:t>
      </w:r>
      <w:r>
        <w:rPr>
          <w:rFonts w:ascii="Times New Roman" w:hAnsi="Times New Roman" w:hint="eastAsia"/>
          <w:b/>
          <w:szCs w:val="21"/>
        </w:rPr>
        <w:t>1-3</w:t>
      </w:r>
      <w:r w:rsidRPr="00477DD1">
        <w:rPr>
          <w:rFonts w:ascii="Times New Roman" w:hAnsi="Times New Roman" w:hint="eastAsia"/>
          <w:b/>
          <w:szCs w:val="21"/>
        </w:rPr>
        <w:t>：</w:t>
      </w:r>
      <w:r>
        <w:rPr>
          <w:rFonts w:ascii="Times New Roman" w:hAnsi="Times New Roman" w:hint="eastAsia"/>
          <w:b/>
          <w:szCs w:val="21"/>
        </w:rPr>
        <w:t>国内</w:t>
      </w:r>
      <w:r>
        <w:rPr>
          <w:rFonts w:ascii="Times New Roman" w:hAnsi="Times New Roman" w:hint="eastAsia"/>
          <w:b/>
          <w:szCs w:val="21"/>
        </w:rPr>
        <w:t>GDP</w:t>
      </w:r>
      <w:r>
        <w:rPr>
          <w:rFonts w:ascii="Times New Roman" w:hAnsi="Times New Roman" w:hint="eastAsia"/>
          <w:b/>
          <w:szCs w:val="21"/>
        </w:rPr>
        <w:t>增速</w:t>
      </w:r>
    </w:p>
    <w:p w:rsidR="00A0506C" w:rsidRDefault="00A0506C" w:rsidP="00A0506C">
      <w:pPr>
        <w:jc w:val="center"/>
        <w:rPr>
          <w:rFonts w:ascii="Times New Roman" w:hAnsi="Times New Roman"/>
          <w:b/>
          <w:szCs w:val="21"/>
        </w:rPr>
      </w:pPr>
      <w:r w:rsidRPr="00477DD1">
        <w:rPr>
          <w:rFonts w:ascii="Times New Roman" w:hAnsi="Times New Roman"/>
          <w:b/>
          <w:szCs w:val="21"/>
        </w:rPr>
        <w:t>资料来源：</w:t>
      </w:r>
      <w:r>
        <w:rPr>
          <w:rFonts w:ascii="Times New Roman" w:hAnsi="Times New Roman" w:hint="eastAsia"/>
          <w:b/>
          <w:szCs w:val="21"/>
        </w:rPr>
        <w:t>Wind</w:t>
      </w:r>
      <w:r>
        <w:rPr>
          <w:rFonts w:ascii="Times New Roman" w:hAnsi="Times New Roman" w:hint="eastAsia"/>
          <w:b/>
          <w:szCs w:val="21"/>
        </w:rPr>
        <w:t>资讯</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A0506C" w:rsidRDefault="00A0506C" w:rsidP="00A0506C">
      <w:pPr>
        <w:jc w:val="center"/>
        <w:rPr>
          <w:noProof/>
        </w:rPr>
      </w:pPr>
      <w:r>
        <w:rPr>
          <w:noProof/>
        </w:rPr>
        <w:lastRenderedPageBreak/>
        <w:drawing>
          <wp:inline distT="0" distB="0" distL="0" distR="0">
            <wp:extent cx="5385435" cy="3695700"/>
            <wp:effectExtent l="19050" t="0" r="5715" b="0"/>
            <wp:docPr id="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srcRect/>
                    <a:stretch>
                      <a:fillRect/>
                    </a:stretch>
                  </pic:blipFill>
                  <pic:spPr bwMode="auto">
                    <a:xfrm>
                      <a:off x="0" y="0"/>
                      <a:ext cx="5396613" cy="3703371"/>
                    </a:xfrm>
                    <a:prstGeom prst="rect">
                      <a:avLst/>
                    </a:prstGeom>
                    <a:noFill/>
                  </pic:spPr>
                </pic:pic>
              </a:graphicData>
            </a:graphic>
          </wp:inline>
        </w:drawing>
      </w:r>
    </w:p>
    <w:p w:rsidR="005F5C57" w:rsidRPr="00400A2B" w:rsidRDefault="005F5C57" w:rsidP="005F5C57">
      <w:pPr>
        <w:spacing w:line="360" w:lineRule="auto"/>
        <w:jc w:val="center"/>
        <w:rPr>
          <w:rFonts w:ascii="Times New Roman" w:hAnsi="Times New Roman"/>
          <w:b/>
          <w:szCs w:val="21"/>
        </w:rPr>
      </w:pPr>
      <w:r w:rsidRPr="00477DD1">
        <w:rPr>
          <w:rFonts w:ascii="Times New Roman" w:hAnsi="Times New Roman" w:hint="eastAsia"/>
          <w:b/>
          <w:szCs w:val="21"/>
        </w:rPr>
        <w:t>图</w:t>
      </w:r>
      <w:r>
        <w:rPr>
          <w:rFonts w:ascii="Times New Roman" w:hAnsi="Times New Roman" w:hint="eastAsia"/>
          <w:b/>
          <w:szCs w:val="21"/>
        </w:rPr>
        <w:t>1-4</w:t>
      </w:r>
      <w:r w:rsidRPr="00477DD1">
        <w:rPr>
          <w:rFonts w:ascii="Times New Roman" w:hAnsi="Times New Roman" w:hint="eastAsia"/>
          <w:b/>
          <w:szCs w:val="21"/>
        </w:rPr>
        <w:t>：</w:t>
      </w:r>
      <w:r>
        <w:rPr>
          <w:rFonts w:ascii="Times New Roman" w:hAnsi="Times New Roman" w:hint="eastAsia"/>
          <w:b/>
          <w:szCs w:val="21"/>
        </w:rPr>
        <w:t>国内经济增长同比与环比</w:t>
      </w:r>
    </w:p>
    <w:p w:rsidR="00A0506C" w:rsidRDefault="00A0506C" w:rsidP="00A0506C">
      <w:pPr>
        <w:spacing w:line="360" w:lineRule="auto"/>
        <w:ind w:leftChars="-270" w:left="-594" w:rightChars="-108" w:right="-238"/>
        <w:jc w:val="center"/>
        <w:rPr>
          <w:rFonts w:ascii="Times New Roman" w:hAnsi="Times New Roman"/>
          <w:b/>
          <w:szCs w:val="21"/>
        </w:rPr>
      </w:pPr>
      <w:r w:rsidRPr="00477DD1">
        <w:rPr>
          <w:rFonts w:ascii="Times New Roman" w:hAnsi="Times New Roman"/>
          <w:b/>
          <w:szCs w:val="21"/>
        </w:rPr>
        <w:t>资料来源：</w:t>
      </w:r>
      <w:r>
        <w:rPr>
          <w:rFonts w:ascii="Times New Roman" w:hAnsi="Times New Roman" w:hint="eastAsia"/>
          <w:b/>
          <w:szCs w:val="21"/>
        </w:rPr>
        <w:t>国家统计局</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第三季度国内GDP增速下滑至7.3%，并创下近6年新低，仅次于2008年第四季度及2009年第一季度的6.6%。GDP同比增速放缓一方面来自于房地产市场大幅降温以及地产投资增速显著下滑的拖累，另一方面，去年第三季度基数较高，也导致同比增速受到高基数的影响。目前国内经济进入新常态，为应对经济转型，经济增速从原来8%以上的高速区间将至6%-8%的中速增长。前三季度7.4%的整体增速使得全年7.5%目前较难完成，我们预计年底前随着铁路与基建投资的乏力，经济增速将有一定回升，但强力型的刺激政策难以出台。长期来看，国内经济转型、实体经济去杠杆，经济增速将进一步向潜在增速回归。</w:t>
      </w:r>
    </w:p>
    <w:p w:rsidR="00A0506C" w:rsidRPr="00664A2D" w:rsidRDefault="00A0506C" w:rsidP="00A0506C">
      <w:pPr>
        <w:spacing w:line="360" w:lineRule="auto"/>
        <w:ind w:firstLineChars="200" w:firstLine="480"/>
        <w:rPr>
          <w:rFonts w:ascii="宋体" w:hAnsi="宋体"/>
          <w:sz w:val="24"/>
        </w:rPr>
      </w:pPr>
    </w:p>
    <w:p w:rsidR="00A0506C" w:rsidRPr="00C101BC" w:rsidRDefault="005F5C57" w:rsidP="00A0506C">
      <w:pPr>
        <w:pStyle w:val="3"/>
        <w:rPr>
          <w:color w:val="000000" w:themeColor="text1"/>
          <w:sz w:val="21"/>
          <w:szCs w:val="21"/>
        </w:rPr>
      </w:pPr>
      <w:r>
        <w:rPr>
          <w:rFonts w:hint="eastAsia"/>
          <w:color w:val="000000" w:themeColor="text1"/>
          <w:sz w:val="21"/>
          <w:szCs w:val="21"/>
        </w:rPr>
        <w:t>三</w:t>
      </w:r>
      <w:r w:rsidR="00A0506C" w:rsidRPr="00C101BC">
        <w:rPr>
          <w:rFonts w:hint="eastAsia"/>
          <w:color w:val="000000" w:themeColor="text1"/>
          <w:sz w:val="21"/>
          <w:szCs w:val="21"/>
        </w:rPr>
        <w:t>、中国消费增速稳中有降</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2014年9月份，社会消费品零售总额23042亿元，同比名义增长11.6%（扣除价格因素实际增长10.8%，以下除特殊说明外均为名义增长）。其中，限额以上单位消费品零售额11582亿元，增长8.5%。</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2-9月份，社会消费品零售总额189151亿元，同比增长12.0%。全国网上零售额18238亿元，同比增长49.9%。其中，限额以上单位网上零售额2888亿元，增长54.8%。</w:t>
      </w:r>
    </w:p>
    <w:p w:rsidR="00A0506C" w:rsidRPr="00400A2B" w:rsidRDefault="00A0506C" w:rsidP="00A0506C">
      <w:pPr>
        <w:spacing w:line="360" w:lineRule="auto"/>
        <w:rPr>
          <w:rFonts w:ascii="Times New Roman" w:hAnsi="Times New Roman"/>
          <w:b/>
          <w:szCs w:val="21"/>
        </w:rPr>
      </w:pPr>
      <w:r w:rsidRPr="00477DD1">
        <w:rPr>
          <w:rFonts w:ascii="Times New Roman" w:hAnsi="Times New Roman" w:hint="eastAsia"/>
          <w:b/>
          <w:szCs w:val="21"/>
        </w:rPr>
        <w:lastRenderedPageBreak/>
        <w:t>图</w:t>
      </w:r>
      <w:r w:rsidR="00822377">
        <w:rPr>
          <w:rFonts w:ascii="Times New Roman" w:hAnsi="Times New Roman" w:hint="eastAsia"/>
          <w:b/>
          <w:szCs w:val="21"/>
        </w:rPr>
        <w:t>1-</w:t>
      </w:r>
      <w:r w:rsidR="005F5C57">
        <w:rPr>
          <w:rFonts w:ascii="Times New Roman" w:hAnsi="Times New Roman" w:hint="eastAsia"/>
          <w:b/>
          <w:szCs w:val="21"/>
        </w:rPr>
        <w:t>5</w:t>
      </w:r>
      <w:r w:rsidRPr="00477DD1">
        <w:rPr>
          <w:rFonts w:ascii="Times New Roman" w:hAnsi="Times New Roman" w:hint="eastAsia"/>
          <w:b/>
          <w:szCs w:val="21"/>
        </w:rPr>
        <w:t>：</w:t>
      </w:r>
      <w:r>
        <w:rPr>
          <w:rFonts w:ascii="Times New Roman" w:hAnsi="Times New Roman" w:hint="eastAsia"/>
          <w:b/>
          <w:szCs w:val="21"/>
        </w:rPr>
        <w:t>中国零售销售变化</w:t>
      </w:r>
      <w:r>
        <w:rPr>
          <w:rFonts w:ascii="Times New Roman" w:hAnsi="Times New Roman" w:hint="eastAsia"/>
          <w:b/>
          <w:szCs w:val="21"/>
        </w:rPr>
        <w:t xml:space="preserve">                  </w:t>
      </w:r>
      <w:r w:rsidRPr="00477DD1">
        <w:rPr>
          <w:rFonts w:ascii="Times New Roman" w:hAnsi="Times New Roman" w:hint="eastAsia"/>
          <w:b/>
          <w:szCs w:val="21"/>
        </w:rPr>
        <w:t>图</w:t>
      </w:r>
      <w:r w:rsidR="00822377">
        <w:rPr>
          <w:rFonts w:ascii="Times New Roman" w:hAnsi="Times New Roman" w:hint="eastAsia"/>
          <w:b/>
          <w:szCs w:val="21"/>
        </w:rPr>
        <w:t>1-</w:t>
      </w:r>
      <w:r w:rsidR="005F5C57">
        <w:rPr>
          <w:rFonts w:ascii="Times New Roman" w:hAnsi="Times New Roman" w:hint="eastAsia"/>
          <w:b/>
          <w:szCs w:val="21"/>
        </w:rPr>
        <w:t>6</w:t>
      </w:r>
      <w:r w:rsidRPr="00477DD1">
        <w:rPr>
          <w:rFonts w:ascii="Times New Roman" w:hAnsi="Times New Roman" w:hint="eastAsia"/>
          <w:b/>
          <w:szCs w:val="21"/>
        </w:rPr>
        <w:t>：</w:t>
      </w:r>
      <w:r>
        <w:rPr>
          <w:rFonts w:ascii="Times New Roman" w:hAnsi="Times New Roman" w:hint="eastAsia"/>
          <w:b/>
          <w:szCs w:val="21"/>
        </w:rPr>
        <w:t>社会消费品零售总额名义与实际增速</w:t>
      </w:r>
    </w:p>
    <w:p w:rsidR="00A0506C" w:rsidRDefault="00A0506C" w:rsidP="00A0506C">
      <w:pPr>
        <w:spacing w:line="360" w:lineRule="auto"/>
        <w:rPr>
          <w:rFonts w:ascii="宋体" w:hAnsi="宋体"/>
          <w:sz w:val="24"/>
        </w:rPr>
      </w:pPr>
      <w:r>
        <w:rPr>
          <w:rFonts w:ascii="宋体" w:hAnsi="宋体"/>
          <w:noProof/>
          <w:sz w:val="24"/>
        </w:rPr>
        <w:drawing>
          <wp:inline distT="0" distB="0" distL="0" distR="0">
            <wp:extent cx="2705100" cy="2000250"/>
            <wp:effectExtent l="19050" t="0" r="0" b="0"/>
            <wp:docPr id="8"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cstate="print"/>
                    <a:srcRect/>
                    <a:stretch>
                      <a:fillRect/>
                    </a:stretch>
                  </pic:blipFill>
                  <pic:spPr bwMode="auto">
                    <a:xfrm>
                      <a:off x="0" y="0"/>
                      <a:ext cx="2705100" cy="2000250"/>
                    </a:xfrm>
                    <a:prstGeom prst="rect">
                      <a:avLst/>
                    </a:prstGeom>
                    <a:noFill/>
                    <a:ln w="9525">
                      <a:noFill/>
                      <a:miter lim="800000"/>
                      <a:headEnd/>
                      <a:tailEnd/>
                    </a:ln>
                  </pic:spPr>
                </pic:pic>
              </a:graphicData>
            </a:graphic>
          </wp:inline>
        </w:drawing>
      </w:r>
      <w:r>
        <w:rPr>
          <w:rFonts w:ascii="宋体" w:hAnsi="宋体" w:hint="eastAsia"/>
          <w:sz w:val="24"/>
        </w:rPr>
        <w:t xml:space="preserve"> </w:t>
      </w:r>
      <w:r>
        <w:rPr>
          <w:rFonts w:ascii="宋体" w:hAnsi="宋体"/>
          <w:noProof/>
          <w:sz w:val="24"/>
        </w:rPr>
        <w:drawing>
          <wp:inline distT="0" distB="0" distL="0" distR="0">
            <wp:extent cx="2828925" cy="2000250"/>
            <wp:effectExtent l="19050" t="0" r="9525" b="0"/>
            <wp:docPr id="9"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 cstate="print"/>
                    <a:srcRect/>
                    <a:stretch>
                      <a:fillRect/>
                    </a:stretch>
                  </pic:blipFill>
                  <pic:spPr bwMode="auto">
                    <a:xfrm>
                      <a:off x="0" y="0"/>
                      <a:ext cx="2828925" cy="2000250"/>
                    </a:xfrm>
                    <a:prstGeom prst="rect">
                      <a:avLst/>
                    </a:prstGeom>
                    <a:noFill/>
                    <a:ln w="9525">
                      <a:noFill/>
                      <a:miter lim="800000"/>
                      <a:headEnd/>
                      <a:tailEnd/>
                    </a:ln>
                  </pic:spPr>
                </pic:pic>
              </a:graphicData>
            </a:graphic>
          </wp:inline>
        </w:drawing>
      </w:r>
    </w:p>
    <w:p w:rsidR="00A0506C" w:rsidRPr="00680A37" w:rsidRDefault="00A0506C" w:rsidP="00A0506C">
      <w:pPr>
        <w:spacing w:line="360" w:lineRule="auto"/>
        <w:ind w:leftChars="-270" w:left="-594" w:rightChars="-108" w:right="-238"/>
        <w:jc w:val="center"/>
        <w:rPr>
          <w:rFonts w:ascii="Times New Roman" w:hAnsi="Times New Roman"/>
          <w:b/>
          <w:szCs w:val="21"/>
        </w:rPr>
      </w:pPr>
      <w:r w:rsidRPr="00477DD1">
        <w:rPr>
          <w:rFonts w:ascii="Times New Roman" w:hAnsi="Times New Roman"/>
          <w:b/>
          <w:szCs w:val="21"/>
        </w:rPr>
        <w:t>资料来源：</w:t>
      </w:r>
      <w:r>
        <w:rPr>
          <w:rFonts w:ascii="Times New Roman" w:hAnsi="Times New Roman" w:hint="eastAsia"/>
          <w:b/>
          <w:szCs w:val="21"/>
        </w:rPr>
        <w:t>国家统计局</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r>
        <w:rPr>
          <w:rFonts w:ascii="Times New Roman" w:hAnsi="Times New Roman" w:hint="eastAsia"/>
          <w:b/>
          <w:szCs w:val="21"/>
        </w:rPr>
        <w:t xml:space="preserve">  </w:t>
      </w:r>
      <w:r w:rsidRPr="00477DD1">
        <w:rPr>
          <w:rFonts w:ascii="Times New Roman" w:hAnsi="Times New Roman"/>
          <w:b/>
          <w:szCs w:val="21"/>
        </w:rPr>
        <w:t>资料来源：</w:t>
      </w:r>
      <w:r>
        <w:rPr>
          <w:rFonts w:ascii="Times New Roman" w:hAnsi="Times New Roman" w:hint="eastAsia"/>
          <w:b/>
          <w:szCs w:val="21"/>
        </w:rPr>
        <w:t>国家统计局</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9月份消费增速进一步下滑，其中餐饮收入同比增长降为负值，国内倡导转变工作作风，反对铺张浪费的政策对于食品消费影响明显。国内餐饮收入下降，尤其是限额以上的高档酒店的餐饮收入下降程度较为明显，一定程度上说明公款的消费受到一定的抑制。目前正在召开的十八届四中全会也以“依法治国”为主题，倡导制度反腐。此外，与房地产相关的下游家具、家电、家装行业消费增速下滑，汽车消费萎靡不振也是拖累消费增速走低的主要原因。但是，涉及居民消费的服装鞋帽、日用品、化妆品、珠宝、通讯器材等消费并未出现下滑，反应消费主体相对稳定。我们预计，在餐饮消费低迷，房地产相关消费暂无起色的情况下，消费仍将保持中</w:t>
      </w:r>
      <w:proofErr w:type="gramStart"/>
      <w:r w:rsidRPr="00536EAD">
        <w:rPr>
          <w:rFonts w:ascii="新宋体" w:eastAsia="新宋体" w:hAnsi="新宋体" w:cs="Arial" w:hint="eastAsia"/>
          <w:color w:val="796A4F"/>
          <w:sz w:val="21"/>
          <w:szCs w:val="21"/>
        </w:rPr>
        <w:t>规</w:t>
      </w:r>
      <w:proofErr w:type="gramEnd"/>
      <w:r w:rsidRPr="00536EAD">
        <w:rPr>
          <w:rFonts w:ascii="新宋体" w:eastAsia="新宋体" w:hAnsi="新宋体" w:cs="Arial" w:hint="eastAsia"/>
          <w:color w:val="796A4F"/>
          <w:sz w:val="21"/>
          <w:szCs w:val="21"/>
        </w:rPr>
        <w:t>中矩，但大幅下滑的可能性也较低。消费仍将继续充当国内经济的稳定剂，但难以扛起拉动经济回升的大旗。</w:t>
      </w:r>
    </w:p>
    <w:p w:rsidR="00A0506C" w:rsidRDefault="005F5C57" w:rsidP="00A0506C">
      <w:pPr>
        <w:pStyle w:val="3"/>
        <w:rPr>
          <w:color w:val="000000" w:themeColor="text1"/>
          <w:sz w:val="21"/>
          <w:szCs w:val="21"/>
        </w:rPr>
      </w:pPr>
      <w:r>
        <w:rPr>
          <w:rFonts w:hint="eastAsia"/>
          <w:color w:val="000000" w:themeColor="text1"/>
          <w:sz w:val="21"/>
          <w:szCs w:val="21"/>
        </w:rPr>
        <w:t>四</w:t>
      </w:r>
      <w:r w:rsidR="00A0506C" w:rsidRPr="00C101BC">
        <w:rPr>
          <w:rFonts w:hint="eastAsia"/>
          <w:color w:val="000000" w:themeColor="text1"/>
          <w:sz w:val="21"/>
          <w:szCs w:val="21"/>
        </w:rPr>
        <w:t>、中国</w:t>
      </w:r>
      <w:r w:rsidR="00A0506C" w:rsidRPr="00C101BC">
        <w:rPr>
          <w:rFonts w:hint="eastAsia"/>
          <w:color w:val="000000" w:themeColor="text1"/>
          <w:sz w:val="21"/>
          <w:szCs w:val="21"/>
        </w:rPr>
        <w:t>9</w:t>
      </w:r>
      <w:r w:rsidR="00A0506C" w:rsidRPr="00C101BC">
        <w:rPr>
          <w:rFonts w:hint="eastAsia"/>
          <w:color w:val="000000" w:themeColor="text1"/>
          <w:sz w:val="21"/>
          <w:szCs w:val="21"/>
        </w:rPr>
        <w:t>月工业数据依旧低迷</w:t>
      </w:r>
    </w:p>
    <w:p w:rsidR="005F5C57" w:rsidRPr="005F5C57" w:rsidRDefault="005F5C57" w:rsidP="005F5C57"/>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2014年9月份，规模以上工业增加值同比实际增长8.0%，比8月份加快1.1个百分点。从环比看，9月份比上月增长0.91%。</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color w:val="796A4F"/>
          <w:sz w:val="21"/>
          <w:szCs w:val="21"/>
        </w:rPr>
        <w:t>9月全社会用电量仅同比增长2.7%，创下自2013年4月以来18个月的次低。</w:t>
      </w:r>
      <w:r w:rsidRPr="00536EAD">
        <w:rPr>
          <w:rFonts w:ascii="新宋体" w:eastAsia="新宋体" w:hAnsi="新宋体" w:cs="Arial" w:hint="eastAsia"/>
          <w:color w:val="796A4F"/>
          <w:sz w:val="21"/>
          <w:szCs w:val="21"/>
        </w:rPr>
        <w:t>具体到产业来看，城乡居民用电增速延续7月以来的下降态势，大幅回落4.5个百分点至-10.2%；第二产业和第三产业用电量虽有所回升，分别达到5.2%和4.9%，也继续处于较低水平。其中，9月工业用电同比增长5.3%，与7月份8%相比仍有差距。</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9月工业增速和发电量数据依旧保持低迷，低于预期。规模以上工业增加值虽然略有回升，但依然处于低迷状态；数据依旧保持低迷。不容忽视的是，经济尤其是工业经济确实在下行，用电量数据显示9月比8月并未有多大好转。</w:t>
      </w:r>
    </w:p>
    <w:p w:rsidR="00A0506C" w:rsidRPr="00400A2B" w:rsidRDefault="00A0506C" w:rsidP="00A0506C">
      <w:pPr>
        <w:spacing w:line="360" w:lineRule="auto"/>
        <w:rPr>
          <w:rFonts w:ascii="Times New Roman" w:hAnsi="Times New Roman"/>
          <w:b/>
          <w:szCs w:val="21"/>
        </w:rPr>
      </w:pPr>
      <w:r w:rsidRPr="00400A2B">
        <w:rPr>
          <w:rFonts w:ascii="Times New Roman" w:hAnsi="Times New Roman" w:hint="eastAsia"/>
          <w:b/>
          <w:szCs w:val="21"/>
        </w:rPr>
        <w:t>图</w:t>
      </w:r>
      <w:r w:rsidR="00822377">
        <w:rPr>
          <w:rFonts w:ascii="Times New Roman" w:hAnsi="Times New Roman" w:hint="eastAsia"/>
          <w:b/>
          <w:szCs w:val="21"/>
        </w:rPr>
        <w:t>1-</w:t>
      </w:r>
      <w:r w:rsidR="005F5C57">
        <w:rPr>
          <w:rFonts w:ascii="Times New Roman" w:hAnsi="Times New Roman" w:hint="eastAsia"/>
          <w:b/>
          <w:szCs w:val="21"/>
        </w:rPr>
        <w:t>7</w:t>
      </w:r>
      <w:r w:rsidRPr="00400A2B">
        <w:rPr>
          <w:rFonts w:ascii="Times New Roman" w:hAnsi="Times New Roman" w:hint="eastAsia"/>
          <w:b/>
          <w:szCs w:val="21"/>
        </w:rPr>
        <w:t>：工业增加值低位徘徊</w:t>
      </w:r>
      <w:r w:rsidRPr="00400A2B">
        <w:rPr>
          <w:rFonts w:ascii="Times New Roman" w:hAnsi="Times New Roman" w:hint="eastAsia"/>
          <w:b/>
          <w:szCs w:val="21"/>
        </w:rPr>
        <w:t xml:space="preserve">                      </w:t>
      </w:r>
      <w:r w:rsidRPr="00400A2B">
        <w:rPr>
          <w:rFonts w:ascii="Times New Roman" w:hAnsi="Times New Roman" w:hint="eastAsia"/>
          <w:b/>
          <w:szCs w:val="21"/>
        </w:rPr>
        <w:t>图</w:t>
      </w:r>
      <w:r w:rsidR="00822377">
        <w:rPr>
          <w:rFonts w:ascii="Times New Roman" w:hAnsi="Times New Roman" w:hint="eastAsia"/>
          <w:b/>
          <w:szCs w:val="21"/>
        </w:rPr>
        <w:t>1-</w:t>
      </w:r>
      <w:r w:rsidR="005F5C57">
        <w:rPr>
          <w:rFonts w:ascii="Times New Roman" w:hAnsi="Times New Roman" w:hint="eastAsia"/>
          <w:b/>
          <w:szCs w:val="21"/>
        </w:rPr>
        <w:t>8</w:t>
      </w:r>
      <w:r w:rsidRPr="00400A2B">
        <w:rPr>
          <w:rFonts w:ascii="Times New Roman" w:hAnsi="Times New Roman" w:hint="eastAsia"/>
          <w:b/>
          <w:szCs w:val="21"/>
        </w:rPr>
        <w:t>：工业用电量略有回升</w:t>
      </w:r>
    </w:p>
    <w:p w:rsidR="00A0506C" w:rsidRPr="00C67202" w:rsidRDefault="00A0506C" w:rsidP="00A0506C">
      <w:pPr>
        <w:pBdr>
          <w:top w:val="single" w:sz="6" w:space="1" w:color="auto"/>
          <w:bottom w:val="single" w:sz="6" w:space="1" w:color="auto"/>
        </w:pBdr>
        <w:spacing w:after="0" w:line="240" w:lineRule="auto"/>
        <w:rPr>
          <w:rFonts w:ascii="新宋体" w:eastAsia="新宋体" w:hAnsi="新宋体"/>
          <w:color w:val="796A4F"/>
        </w:rPr>
      </w:pPr>
      <w:r>
        <w:rPr>
          <w:rFonts w:ascii="新宋体" w:eastAsia="新宋体" w:hAnsi="新宋体"/>
          <w:noProof/>
          <w:color w:val="796A4F"/>
        </w:rPr>
        <w:lastRenderedPageBreak/>
        <w:drawing>
          <wp:inline distT="0" distB="0" distL="0" distR="0">
            <wp:extent cx="2876550" cy="2162175"/>
            <wp:effectExtent l="19050" t="0" r="0" b="0"/>
            <wp:docPr id="1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15"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r w:rsidRPr="00C67202">
        <w:rPr>
          <w:rFonts w:ascii="新宋体" w:eastAsia="新宋体" w:hAnsi="新宋体" w:hint="eastAsia"/>
          <w:color w:val="796A4F"/>
        </w:rPr>
        <w:t xml:space="preserve">   </w:t>
      </w:r>
      <w:r>
        <w:rPr>
          <w:rFonts w:ascii="新宋体" w:eastAsia="新宋体" w:hAnsi="新宋体"/>
          <w:noProof/>
          <w:color w:val="796A4F"/>
        </w:rPr>
        <w:drawing>
          <wp:inline distT="0" distB="0" distL="0" distR="0">
            <wp:extent cx="2876550" cy="2162175"/>
            <wp:effectExtent l="19050" t="0" r="0" b="0"/>
            <wp:docPr id="15"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pic:cNvPicPr>
                      <a:picLocks noChangeArrowheads="1"/>
                    </pic:cNvPicPr>
                  </pic:nvPicPr>
                  <pic:blipFill>
                    <a:blip r:embed="rId16"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rsidR="00A0506C" w:rsidRPr="00400A2B" w:rsidRDefault="00A0506C" w:rsidP="00A0506C">
      <w:pPr>
        <w:spacing w:line="360" w:lineRule="auto"/>
        <w:rPr>
          <w:rFonts w:ascii="Times New Roman" w:hAnsi="Times New Roman"/>
          <w:b/>
          <w:szCs w:val="21"/>
        </w:rPr>
      </w:pPr>
      <w:r w:rsidRPr="00400A2B">
        <w:rPr>
          <w:rFonts w:ascii="Times New Roman" w:hAnsi="Times New Roman"/>
          <w:b/>
          <w:szCs w:val="21"/>
        </w:rPr>
        <w:t>资料来源：</w:t>
      </w:r>
      <w:r w:rsidRPr="00400A2B">
        <w:rPr>
          <w:rFonts w:ascii="Times New Roman" w:hAnsi="Times New Roman" w:hint="eastAsia"/>
          <w:b/>
          <w:szCs w:val="21"/>
        </w:rPr>
        <w:t>WIND</w:t>
      </w:r>
      <w:r w:rsidRPr="00400A2B">
        <w:rPr>
          <w:rFonts w:ascii="Times New Roman" w:hAnsi="Times New Roman" w:hint="eastAsia"/>
          <w:b/>
          <w:szCs w:val="21"/>
        </w:rPr>
        <w:t>资讯</w:t>
      </w:r>
      <w:r w:rsidRPr="00400A2B">
        <w:rPr>
          <w:rFonts w:ascii="Times New Roman" w:hAnsi="Times New Roman"/>
          <w:b/>
          <w:szCs w:val="21"/>
        </w:rPr>
        <w:t>、方正中期研究院</w:t>
      </w:r>
      <w:r>
        <w:rPr>
          <w:rFonts w:ascii="Times New Roman" w:hAnsi="Times New Roman" w:hint="eastAsia"/>
          <w:b/>
          <w:szCs w:val="21"/>
        </w:rPr>
        <w:t>整理</w:t>
      </w:r>
      <w:r>
        <w:rPr>
          <w:rFonts w:ascii="Times New Roman" w:hAnsi="Times New Roman" w:hint="eastAsia"/>
          <w:b/>
          <w:szCs w:val="21"/>
        </w:rPr>
        <w:t xml:space="preserve">    </w:t>
      </w:r>
      <w:r w:rsidRPr="00400A2B">
        <w:rPr>
          <w:rFonts w:ascii="Times New Roman" w:hAnsi="Times New Roman"/>
          <w:b/>
          <w:szCs w:val="21"/>
        </w:rPr>
        <w:t>资料来源：</w:t>
      </w:r>
      <w:r w:rsidRPr="00400A2B">
        <w:rPr>
          <w:rFonts w:ascii="Times New Roman" w:hAnsi="Times New Roman" w:hint="eastAsia"/>
          <w:b/>
          <w:szCs w:val="21"/>
        </w:rPr>
        <w:t>WIND</w:t>
      </w:r>
      <w:r w:rsidRPr="00400A2B">
        <w:rPr>
          <w:rFonts w:ascii="Times New Roman" w:hAnsi="Times New Roman" w:hint="eastAsia"/>
          <w:b/>
          <w:szCs w:val="21"/>
        </w:rPr>
        <w:t>资讯</w:t>
      </w:r>
      <w:r w:rsidRPr="00400A2B">
        <w:rPr>
          <w:rFonts w:ascii="Times New Roman" w:hAnsi="Times New Roman"/>
          <w:b/>
          <w:szCs w:val="21"/>
        </w:rPr>
        <w:t>、方正中期研究院</w:t>
      </w:r>
      <w:r>
        <w:rPr>
          <w:rFonts w:ascii="Times New Roman" w:hAnsi="Times New Roman" w:hint="eastAsia"/>
          <w:b/>
          <w:szCs w:val="21"/>
        </w:rPr>
        <w:t>整理</w:t>
      </w:r>
    </w:p>
    <w:p w:rsidR="00A0506C" w:rsidRPr="00400A2B" w:rsidRDefault="00A0506C" w:rsidP="00A0506C"/>
    <w:p w:rsidR="00A0506C" w:rsidRPr="00C101BC" w:rsidRDefault="005F5C57" w:rsidP="00A0506C">
      <w:pPr>
        <w:pStyle w:val="3"/>
        <w:rPr>
          <w:color w:val="000000" w:themeColor="text1"/>
          <w:sz w:val="21"/>
          <w:szCs w:val="21"/>
        </w:rPr>
      </w:pPr>
      <w:r>
        <w:rPr>
          <w:rFonts w:hint="eastAsia"/>
          <w:color w:val="000000" w:themeColor="text1"/>
          <w:sz w:val="21"/>
          <w:szCs w:val="21"/>
        </w:rPr>
        <w:t>五</w:t>
      </w:r>
      <w:r w:rsidR="00A0506C" w:rsidRPr="00C101BC">
        <w:rPr>
          <w:rFonts w:hint="eastAsia"/>
          <w:color w:val="000000" w:themeColor="text1"/>
          <w:sz w:val="21"/>
          <w:szCs w:val="21"/>
        </w:rPr>
        <w:t>、固定投资增速创新低</w:t>
      </w:r>
      <w:r w:rsidR="00A0506C" w:rsidRPr="00C101BC">
        <w:rPr>
          <w:rFonts w:hint="eastAsia"/>
          <w:color w:val="000000" w:themeColor="text1"/>
          <w:sz w:val="21"/>
          <w:szCs w:val="21"/>
        </w:rPr>
        <w:t xml:space="preserve"> </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2014年2-9月份，民间固定资产投资231509亿元，同比名义增长18.3%(扣除价格因素实际增长17.5%)，增速比2-8月份回落0.7个百分点。民间固定资产投资占全国固定资产投资(不含农户)的比重为64.7%。9月固定资产投资增速16.2%，创下14年以来最差的增速。</w:t>
      </w:r>
    </w:p>
    <w:p w:rsidR="00A0506C" w:rsidRPr="00400A2B" w:rsidRDefault="00A0506C" w:rsidP="00A0506C">
      <w:pPr>
        <w:spacing w:line="360" w:lineRule="auto"/>
        <w:rPr>
          <w:rFonts w:ascii="Times New Roman" w:hAnsi="Times New Roman"/>
          <w:b/>
          <w:szCs w:val="21"/>
        </w:rPr>
      </w:pPr>
      <w:r w:rsidRPr="00400A2B">
        <w:rPr>
          <w:rFonts w:ascii="Times New Roman" w:hAnsi="Times New Roman" w:hint="eastAsia"/>
          <w:b/>
          <w:szCs w:val="21"/>
        </w:rPr>
        <w:t>图</w:t>
      </w:r>
      <w:r w:rsidR="00822377">
        <w:rPr>
          <w:rFonts w:ascii="Times New Roman" w:hAnsi="Times New Roman" w:hint="eastAsia"/>
          <w:b/>
          <w:szCs w:val="21"/>
        </w:rPr>
        <w:t>1-</w:t>
      </w:r>
      <w:r w:rsidR="005F5C57">
        <w:rPr>
          <w:rFonts w:ascii="Times New Roman" w:hAnsi="Times New Roman" w:hint="eastAsia"/>
          <w:b/>
          <w:szCs w:val="21"/>
        </w:rPr>
        <w:t>9</w:t>
      </w:r>
      <w:r w:rsidRPr="00400A2B">
        <w:rPr>
          <w:rFonts w:ascii="Times New Roman" w:hAnsi="Times New Roman" w:hint="eastAsia"/>
          <w:b/>
          <w:szCs w:val="21"/>
        </w:rPr>
        <w:t>：固定资产投资增速持续回落</w:t>
      </w:r>
      <w:r w:rsidRPr="00400A2B">
        <w:rPr>
          <w:rFonts w:ascii="Times New Roman" w:hAnsi="Times New Roman" w:hint="eastAsia"/>
          <w:b/>
          <w:szCs w:val="21"/>
        </w:rPr>
        <w:t xml:space="preserve">                  </w:t>
      </w:r>
      <w:r w:rsidRPr="00400A2B">
        <w:rPr>
          <w:rFonts w:ascii="Times New Roman" w:hAnsi="Times New Roman" w:hint="eastAsia"/>
          <w:b/>
          <w:szCs w:val="21"/>
        </w:rPr>
        <w:t>图</w:t>
      </w:r>
      <w:r w:rsidR="00822377">
        <w:rPr>
          <w:rFonts w:ascii="Times New Roman" w:hAnsi="Times New Roman" w:hint="eastAsia"/>
          <w:b/>
          <w:szCs w:val="21"/>
        </w:rPr>
        <w:t>1-</w:t>
      </w:r>
      <w:r w:rsidR="005F5C57">
        <w:rPr>
          <w:rFonts w:ascii="Times New Roman" w:hAnsi="Times New Roman" w:hint="eastAsia"/>
          <w:b/>
          <w:szCs w:val="21"/>
        </w:rPr>
        <w:t>10</w:t>
      </w:r>
      <w:r w:rsidRPr="00400A2B">
        <w:rPr>
          <w:rFonts w:ascii="Times New Roman" w:hAnsi="Times New Roman" w:hint="eastAsia"/>
          <w:b/>
          <w:szCs w:val="21"/>
        </w:rPr>
        <w:t>：房地产投资完成额持续下降</w:t>
      </w:r>
    </w:p>
    <w:p w:rsidR="00A0506C" w:rsidRPr="00C67202" w:rsidRDefault="00A0506C" w:rsidP="00A0506C">
      <w:pPr>
        <w:pBdr>
          <w:top w:val="single" w:sz="6" w:space="1" w:color="auto"/>
          <w:bottom w:val="single" w:sz="6" w:space="1" w:color="auto"/>
        </w:pBdr>
        <w:spacing w:after="0" w:line="240" w:lineRule="auto"/>
        <w:rPr>
          <w:rFonts w:ascii="新宋体" w:eastAsia="新宋体" w:hAnsi="新宋体"/>
          <w:color w:val="796A4F"/>
        </w:rPr>
      </w:pPr>
      <w:r>
        <w:rPr>
          <w:rFonts w:ascii="新宋体" w:eastAsia="新宋体" w:hAnsi="新宋体"/>
          <w:noProof/>
          <w:color w:val="796A4F"/>
        </w:rPr>
        <w:drawing>
          <wp:inline distT="0" distB="0" distL="0" distR="0">
            <wp:extent cx="2876550" cy="2162175"/>
            <wp:effectExtent l="19050" t="0" r="0" b="0"/>
            <wp:docPr id="1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7"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r w:rsidRPr="00C67202">
        <w:rPr>
          <w:rFonts w:ascii="新宋体" w:eastAsia="新宋体" w:hAnsi="新宋体" w:hint="eastAsia"/>
          <w:color w:val="796A4F"/>
        </w:rPr>
        <w:t xml:space="preserve">   </w:t>
      </w:r>
      <w:r>
        <w:rPr>
          <w:noProof/>
        </w:rPr>
        <w:drawing>
          <wp:inline distT="0" distB="0" distL="0" distR="0">
            <wp:extent cx="2876550" cy="2162175"/>
            <wp:effectExtent l="19050" t="0" r="0" b="0"/>
            <wp:docPr id="17"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noChangeArrowheads="1"/>
                    </pic:cNvPicPr>
                  </pic:nvPicPr>
                  <pic:blipFill>
                    <a:blip r:embed="rId18"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rsidR="00A0506C" w:rsidRPr="00400A2B" w:rsidRDefault="00A0506C" w:rsidP="00A0506C">
      <w:pPr>
        <w:spacing w:line="360" w:lineRule="auto"/>
        <w:rPr>
          <w:rFonts w:ascii="Times New Roman" w:hAnsi="Times New Roman"/>
          <w:b/>
          <w:szCs w:val="21"/>
        </w:rPr>
      </w:pPr>
      <w:r w:rsidRPr="00400A2B">
        <w:rPr>
          <w:rFonts w:ascii="Times New Roman" w:hAnsi="Times New Roman"/>
          <w:b/>
          <w:szCs w:val="21"/>
        </w:rPr>
        <w:t>资料来源：</w:t>
      </w:r>
      <w:r w:rsidRPr="00400A2B">
        <w:rPr>
          <w:rFonts w:ascii="Times New Roman" w:hAnsi="Times New Roman" w:hint="eastAsia"/>
          <w:b/>
          <w:szCs w:val="21"/>
        </w:rPr>
        <w:t>WIND</w:t>
      </w:r>
      <w:r w:rsidRPr="00400A2B">
        <w:rPr>
          <w:rFonts w:ascii="Times New Roman" w:hAnsi="Times New Roman" w:hint="eastAsia"/>
          <w:b/>
          <w:szCs w:val="21"/>
        </w:rPr>
        <w:t>资讯</w:t>
      </w:r>
      <w:r w:rsidRPr="00400A2B">
        <w:rPr>
          <w:rFonts w:ascii="Times New Roman" w:hAnsi="Times New Roman"/>
          <w:b/>
          <w:szCs w:val="21"/>
        </w:rPr>
        <w:t>、方正中期研究院</w:t>
      </w:r>
      <w:r>
        <w:rPr>
          <w:rFonts w:ascii="Times New Roman" w:hAnsi="Times New Roman" w:hint="eastAsia"/>
          <w:b/>
          <w:szCs w:val="21"/>
        </w:rPr>
        <w:t>整理</w:t>
      </w:r>
      <w:r w:rsidRPr="00400A2B">
        <w:rPr>
          <w:rFonts w:ascii="Times New Roman" w:hAnsi="Times New Roman" w:hint="eastAsia"/>
          <w:b/>
          <w:szCs w:val="21"/>
        </w:rPr>
        <w:t xml:space="preserve">     </w:t>
      </w:r>
      <w:r w:rsidRPr="00400A2B">
        <w:rPr>
          <w:rFonts w:ascii="Times New Roman" w:hAnsi="Times New Roman"/>
          <w:b/>
          <w:szCs w:val="21"/>
        </w:rPr>
        <w:t>资料来源：</w:t>
      </w:r>
      <w:r w:rsidRPr="00400A2B">
        <w:rPr>
          <w:rFonts w:ascii="Times New Roman" w:hAnsi="Times New Roman" w:hint="eastAsia"/>
          <w:b/>
          <w:szCs w:val="21"/>
        </w:rPr>
        <w:t>WIND</w:t>
      </w:r>
      <w:r w:rsidRPr="00400A2B">
        <w:rPr>
          <w:rFonts w:ascii="Times New Roman" w:hAnsi="Times New Roman" w:hint="eastAsia"/>
          <w:b/>
          <w:szCs w:val="21"/>
        </w:rPr>
        <w:t>资讯</w:t>
      </w:r>
      <w:r w:rsidRPr="00400A2B">
        <w:rPr>
          <w:rFonts w:ascii="Times New Roman" w:hAnsi="Times New Roman"/>
          <w:b/>
          <w:szCs w:val="21"/>
        </w:rPr>
        <w:t>、方正中期研究院</w:t>
      </w:r>
      <w:r>
        <w:rPr>
          <w:rFonts w:ascii="Times New Roman" w:hAnsi="Times New Roman" w:hint="eastAsia"/>
          <w:b/>
          <w:szCs w:val="21"/>
        </w:rPr>
        <w:t>整理</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固定资产投资增速持续降低符合预期，房地产行业的低迷对于地方固定资产投资增速构成了较大的拖累，我们预计低迷的投资增速将使得第四季度中央继续加大基础设施建设的投入。除了重大水利工程项目外，其他一些行业如铁路、机场等重大工程项目将陆续推出，目的都是为了增加整个社会有效投资的规模。除了政府投入之外，还会吸引社会资本投入到这些重大工程中，在稳定投资增长的同时，将更有力地发挥调结构、补短板、惠民生、增后劲的积极作用。</w:t>
      </w:r>
    </w:p>
    <w:p w:rsidR="00A0506C" w:rsidRPr="00C101BC" w:rsidRDefault="005F5C57" w:rsidP="00A0506C">
      <w:pPr>
        <w:pStyle w:val="3"/>
        <w:rPr>
          <w:color w:val="000000" w:themeColor="text1"/>
          <w:sz w:val="21"/>
          <w:szCs w:val="21"/>
        </w:rPr>
      </w:pPr>
      <w:r>
        <w:rPr>
          <w:rFonts w:hint="eastAsia"/>
          <w:color w:val="000000" w:themeColor="text1"/>
          <w:sz w:val="21"/>
          <w:szCs w:val="21"/>
        </w:rPr>
        <w:lastRenderedPageBreak/>
        <w:t>六</w:t>
      </w:r>
      <w:r w:rsidR="00A0506C" w:rsidRPr="00C101BC">
        <w:rPr>
          <w:rFonts w:hint="eastAsia"/>
          <w:color w:val="000000" w:themeColor="text1"/>
          <w:sz w:val="21"/>
          <w:szCs w:val="21"/>
        </w:rPr>
        <w:t>、房地产市场期待改善</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1、房地产开发投资完成情况</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2014年2-9月份，全国房地产开发投资68751亿元，同比名义增长12.5%(扣除价格因素实际增长11.7%)，增速比2-8月份回落0.7个百分点。其中，住宅投资46725亿元，增长11.3%，增速回落1.1个百分点。住宅投资占房地产开发投资的比重为68.0%。</w:t>
      </w:r>
    </w:p>
    <w:p w:rsidR="00A0506C" w:rsidRDefault="00A0506C" w:rsidP="00A0506C">
      <w:pPr>
        <w:spacing w:line="360" w:lineRule="auto"/>
        <w:ind w:firstLineChars="200" w:firstLine="480"/>
        <w:jc w:val="center"/>
        <w:rPr>
          <w:rFonts w:ascii="宋体" w:hAnsi="宋体"/>
          <w:sz w:val="24"/>
        </w:rPr>
      </w:pPr>
      <w:r w:rsidRPr="00DF22AE">
        <w:rPr>
          <w:rFonts w:ascii="宋体" w:hAnsi="宋体"/>
          <w:noProof/>
          <w:sz w:val="24"/>
        </w:rPr>
        <w:drawing>
          <wp:inline distT="0" distB="0" distL="0" distR="0">
            <wp:extent cx="5135880" cy="3070860"/>
            <wp:effectExtent l="19050" t="0" r="7620" b="0"/>
            <wp:docPr id="18" name="图片 2"/>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9" cstate="print"/>
                    <a:stretch>
                      <a:fillRect/>
                    </a:stretch>
                  </pic:blipFill>
                  <pic:spPr>
                    <a:xfrm>
                      <a:off x="0" y="0"/>
                      <a:ext cx="5135880" cy="3070860"/>
                    </a:xfrm>
                    <a:prstGeom prst="rect">
                      <a:avLst/>
                    </a:prstGeom>
                  </pic:spPr>
                </pic:pic>
              </a:graphicData>
            </a:graphic>
          </wp:inline>
        </w:drawing>
      </w:r>
    </w:p>
    <w:p w:rsidR="00A0506C" w:rsidRDefault="00A0506C" w:rsidP="00A0506C">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sidR="00822377">
        <w:rPr>
          <w:rFonts w:ascii="Times New Roman" w:hAnsi="Times New Roman" w:hint="eastAsia"/>
          <w:b/>
          <w:szCs w:val="21"/>
        </w:rPr>
        <w:t>1-</w:t>
      </w:r>
      <w:r w:rsidR="005F5C57">
        <w:rPr>
          <w:rFonts w:ascii="Times New Roman" w:hAnsi="Times New Roman" w:hint="eastAsia"/>
          <w:b/>
          <w:szCs w:val="21"/>
        </w:rPr>
        <w:t>11</w:t>
      </w:r>
      <w:r w:rsidRPr="00400A2B">
        <w:rPr>
          <w:rFonts w:ascii="Times New Roman" w:hAnsi="Times New Roman" w:hint="eastAsia"/>
          <w:b/>
          <w:szCs w:val="21"/>
        </w:rPr>
        <w:t>：房地产投资完成额</w:t>
      </w:r>
      <w:r>
        <w:rPr>
          <w:rFonts w:ascii="Times New Roman" w:hAnsi="Times New Roman" w:hint="eastAsia"/>
          <w:b/>
          <w:szCs w:val="21"/>
        </w:rPr>
        <w:t>和同比变化</w:t>
      </w:r>
    </w:p>
    <w:p w:rsidR="008168E9" w:rsidRDefault="008168E9" w:rsidP="008168E9">
      <w:pPr>
        <w:spacing w:line="360" w:lineRule="auto"/>
        <w:ind w:leftChars="-270" w:left="-594" w:rightChars="-108" w:right="-238"/>
        <w:jc w:val="center"/>
        <w:rPr>
          <w:rFonts w:ascii="Times New Roman" w:hAnsi="Times New Roman"/>
          <w:b/>
          <w:szCs w:val="21"/>
        </w:rPr>
      </w:pPr>
      <w:r w:rsidRPr="00477DD1">
        <w:rPr>
          <w:rFonts w:ascii="Times New Roman" w:hAnsi="Times New Roman"/>
          <w:b/>
          <w:szCs w:val="21"/>
        </w:rPr>
        <w:t>资料来源：</w:t>
      </w:r>
      <w:r>
        <w:rPr>
          <w:rFonts w:ascii="Times New Roman" w:hAnsi="Times New Roman" w:hint="eastAsia"/>
          <w:b/>
          <w:szCs w:val="21"/>
        </w:rPr>
        <w:t>国家统计局</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8168E9" w:rsidRPr="008168E9" w:rsidRDefault="008168E9" w:rsidP="008168E9">
      <w:pPr>
        <w:spacing w:line="360" w:lineRule="auto"/>
        <w:ind w:firstLineChars="200" w:firstLine="480"/>
        <w:jc w:val="center"/>
        <w:rPr>
          <w:rFonts w:ascii="宋体" w:hAnsi="宋体"/>
          <w:sz w:val="24"/>
        </w:rPr>
      </w:pP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2-9月份，东部地区房地产开发投资38737亿元，同比增长12.6%，增速比2-8月份回落1个百分点;中部地区投资14536亿元，增长10.7%，增速提高0.1个百分点;西部地区投资15479亿元，增长14.0%，增速回落0.4个百分点。</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2-9月份，房地产开发企业房屋施工面积673230万平方米，同比增长11.5%，增速与2-8月份持平。其中，住宅施工面积479017万平方米，增长8.1%。房屋新开工面积131411万平方米，下降9.3%，</w:t>
      </w:r>
      <w:proofErr w:type="gramStart"/>
      <w:r w:rsidRPr="00536EAD">
        <w:rPr>
          <w:rFonts w:ascii="新宋体" w:eastAsia="新宋体" w:hAnsi="新宋体" w:cs="Arial" w:hint="eastAsia"/>
          <w:color w:val="796A4F"/>
          <w:sz w:val="21"/>
          <w:szCs w:val="21"/>
        </w:rPr>
        <w:t>降幅收</w:t>
      </w:r>
      <w:proofErr w:type="gramEnd"/>
      <w:r w:rsidRPr="00536EAD">
        <w:rPr>
          <w:rFonts w:ascii="新宋体" w:eastAsia="新宋体" w:hAnsi="新宋体" w:cs="Arial" w:hint="eastAsia"/>
          <w:color w:val="796A4F"/>
          <w:sz w:val="21"/>
          <w:szCs w:val="21"/>
        </w:rPr>
        <w:t>窄1.2个百分点。其中，住宅新开工面积91754万平方米，下降13.5%。房屋竣工面积56504万平方米，增长7.2%，增速提高0.5个百分点。其中，住宅竣工面积43269万平方米，增长5.1%。</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2-9月份，房地产开发企业土地购置面积24014万平方米，同比下降4.6%，降幅比2-8月份扩大1.4个百分点;土地成交价款6781亿元，增长11.5%，增速回落1.3个百分点。</w:t>
      </w:r>
    </w:p>
    <w:p w:rsidR="00A0506C" w:rsidRDefault="00A0506C" w:rsidP="00A0506C">
      <w:pPr>
        <w:spacing w:line="360" w:lineRule="auto"/>
        <w:ind w:firstLineChars="200" w:firstLine="480"/>
        <w:rPr>
          <w:rFonts w:ascii="宋体" w:hAnsi="宋体"/>
          <w:sz w:val="24"/>
        </w:rPr>
      </w:pPr>
      <w:r w:rsidRPr="00DF22AE">
        <w:rPr>
          <w:rFonts w:ascii="宋体" w:hAnsi="宋体"/>
          <w:noProof/>
          <w:sz w:val="24"/>
        </w:rPr>
        <w:lastRenderedPageBreak/>
        <w:drawing>
          <wp:inline distT="0" distB="0" distL="0" distR="0">
            <wp:extent cx="5124450" cy="3467100"/>
            <wp:effectExtent l="19050" t="0" r="0" b="0"/>
            <wp:docPr id="19" name="图片 4"/>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0" cstate="print"/>
                    <a:stretch>
                      <a:fillRect/>
                    </a:stretch>
                  </pic:blipFill>
                  <pic:spPr>
                    <a:xfrm>
                      <a:off x="0" y="0"/>
                      <a:ext cx="5131518" cy="3471882"/>
                    </a:xfrm>
                    <a:prstGeom prst="rect">
                      <a:avLst/>
                    </a:prstGeom>
                  </pic:spPr>
                </pic:pic>
              </a:graphicData>
            </a:graphic>
          </wp:inline>
        </w:drawing>
      </w:r>
      <w:r w:rsidRPr="00DF22AE">
        <w:rPr>
          <w:rFonts w:ascii="宋体" w:hAnsi="宋体"/>
          <w:sz w:val="24"/>
        </w:rPr>
        <w:t xml:space="preserve"> </w:t>
      </w:r>
    </w:p>
    <w:p w:rsidR="008168E9" w:rsidRDefault="00A0506C" w:rsidP="008168E9">
      <w:pPr>
        <w:spacing w:line="360" w:lineRule="auto"/>
        <w:ind w:leftChars="-270" w:left="-594" w:rightChars="-108" w:right="-238"/>
        <w:jc w:val="center"/>
        <w:rPr>
          <w:rFonts w:ascii="Times New Roman" w:hAnsi="Times New Roman"/>
          <w:b/>
          <w:szCs w:val="21"/>
        </w:rPr>
      </w:pPr>
      <w:r w:rsidRPr="00400A2B">
        <w:rPr>
          <w:rFonts w:ascii="Times New Roman" w:hAnsi="Times New Roman" w:hint="eastAsia"/>
          <w:b/>
          <w:szCs w:val="21"/>
        </w:rPr>
        <w:t>图</w:t>
      </w:r>
      <w:r w:rsidR="00822377">
        <w:rPr>
          <w:rFonts w:ascii="Times New Roman" w:hAnsi="Times New Roman" w:hint="eastAsia"/>
          <w:b/>
          <w:szCs w:val="21"/>
        </w:rPr>
        <w:t>1-</w:t>
      </w:r>
      <w:r>
        <w:rPr>
          <w:rFonts w:ascii="Times New Roman" w:hAnsi="Times New Roman" w:hint="eastAsia"/>
          <w:b/>
          <w:szCs w:val="21"/>
        </w:rPr>
        <w:t>1</w:t>
      </w:r>
      <w:r w:rsidR="005F5C57">
        <w:rPr>
          <w:rFonts w:ascii="Times New Roman" w:hAnsi="Times New Roman" w:hint="eastAsia"/>
          <w:b/>
          <w:szCs w:val="21"/>
        </w:rPr>
        <w:t>2</w:t>
      </w:r>
      <w:r w:rsidRPr="00400A2B">
        <w:rPr>
          <w:rFonts w:ascii="Times New Roman" w:hAnsi="Times New Roman" w:hint="eastAsia"/>
          <w:b/>
          <w:szCs w:val="21"/>
        </w:rPr>
        <w:t>：房地产</w:t>
      </w:r>
      <w:r>
        <w:rPr>
          <w:rFonts w:ascii="Times New Roman" w:hAnsi="Times New Roman" w:hint="eastAsia"/>
          <w:b/>
          <w:szCs w:val="21"/>
        </w:rPr>
        <w:t>施工面积及同比变化</w:t>
      </w:r>
    </w:p>
    <w:p w:rsidR="008168E9" w:rsidRDefault="008168E9" w:rsidP="008168E9">
      <w:pPr>
        <w:spacing w:line="360" w:lineRule="auto"/>
        <w:ind w:leftChars="-270" w:left="-594" w:rightChars="-108" w:right="-238"/>
        <w:jc w:val="center"/>
        <w:rPr>
          <w:rFonts w:ascii="Times New Roman" w:hAnsi="Times New Roman"/>
          <w:b/>
          <w:szCs w:val="21"/>
        </w:rPr>
      </w:pPr>
      <w:r w:rsidRPr="00477DD1">
        <w:rPr>
          <w:rFonts w:ascii="Times New Roman" w:hAnsi="Times New Roman"/>
          <w:b/>
          <w:szCs w:val="21"/>
        </w:rPr>
        <w:t>资料来源：</w:t>
      </w:r>
      <w:r>
        <w:rPr>
          <w:rFonts w:ascii="Times New Roman" w:hAnsi="Times New Roman" w:hint="eastAsia"/>
          <w:b/>
          <w:szCs w:val="21"/>
        </w:rPr>
        <w:t>国家统计局</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A0506C" w:rsidRPr="008168E9" w:rsidRDefault="00A0506C" w:rsidP="008168E9">
      <w:pPr>
        <w:spacing w:line="360" w:lineRule="auto"/>
        <w:ind w:firstLineChars="200" w:firstLine="480"/>
        <w:jc w:val="center"/>
        <w:rPr>
          <w:rFonts w:ascii="宋体" w:hAnsi="宋体"/>
          <w:sz w:val="24"/>
        </w:rPr>
      </w:pP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2、商品房销售和待售情况</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2-9月份，商品房销售面积77132万平方米，同比下降8.6%，降幅比2-8月份扩大0.3个百分点。其中，住宅销售面积下降10.3%，办公楼销售面积下降9.5%，商业营业用房销售面积增长7.0%。商品房销售额49227亿元，下降8.9%，降幅与2-8月份持平。其中，住宅销售额下降10.8%，办公楼销售额下降19.7%，商业营业用房销售额增长6.8%。</w:t>
      </w:r>
    </w:p>
    <w:p w:rsidR="00A0506C" w:rsidRDefault="00A0506C" w:rsidP="00A0506C">
      <w:pPr>
        <w:spacing w:line="360" w:lineRule="auto"/>
        <w:ind w:firstLineChars="200" w:firstLine="480"/>
        <w:jc w:val="center"/>
        <w:rPr>
          <w:rFonts w:ascii="宋体" w:hAnsi="宋体"/>
          <w:sz w:val="24"/>
        </w:rPr>
      </w:pPr>
      <w:r w:rsidRPr="00DF22AE">
        <w:rPr>
          <w:rFonts w:ascii="宋体" w:hAnsi="宋体"/>
          <w:noProof/>
          <w:sz w:val="24"/>
        </w:rPr>
        <w:lastRenderedPageBreak/>
        <w:drawing>
          <wp:inline distT="0" distB="0" distL="0" distR="0">
            <wp:extent cx="4981575" cy="2924175"/>
            <wp:effectExtent l="19050" t="0" r="9525" b="0"/>
            <wp:docPr id="21" name="图片 3"/>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1" cstate="print"/>
                    <a:stretch>
                      <a:fillRect/>
                    </a:stretch>
                  </pic:blipFill>
                  <pic:spPr>
                    <a:xfrm>
                      <a:off x="0" y="0"/>
                      <a:ext cx="4981575" cy="2924175"/>
                    </a:xfrm>
                    <a:prstGeom prst="rect">
                      <a:avLst/>
                    </a:prstGeom>
                  </pic:spPr>
                </pic:pic>
              </a:graphicData>
            </a:graphic>
          </wp:inline>
        </w:drawing>
      </w:r>
    </w:p>
    <w:p w:rsidR="00A0506C" w:rsidRDefault="00A0506C" w:rsidP="00A0506C">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sidR="00822377">
        <w:rPr>
          <w:rFonts w:ascii="Times New Roman" w:hAnsi="Times New Roman" w:hint="eastAsia"/>
          <w:b/>
          <w:szCs w:val="21"/>
        </w:rPr>
        <w:t>1-</w:t>
      </w:r>
      <w:r>
        <w:rPr>
          <w:rFonts w:ascii="Times New Roman" w:hAnsi="Times New Roman" w:hint="eastAsia"/>
          <w:b/>
          <w:szCs w:val="21"/>
        </w:rPr>
        <w:t>1</w:t>
      </w:r>
      <w:r w:rsidR="005F5C57">
        <w:rPr>
          <w:rFonts w:ascii="Times New Roman" w:hAnsi="Times New Roman" w:hint="eastAsia"/>
          <w:b/>
          <w:szCs w:val="21"/>
        </w:rPr>
        <w:t>3</w:t>
      </w:r>
      <w:r w:rsidRPr="00400A2B">
        <w:rPr>
          <w:rFonts w:ascii="Times New Roman" w:hAnsi="Times New Roman" w:hint="eastAsia"/>
          <w:b/>
          <w:szCs w:val="21"/>
        </w:rPr>
        <w:t>：</w:t>
      </w:r>
      <w:r>
        <w:rPr>
          <w:rFonts w:ascii="Times New Roman" w:hAnsi="Times New Roman" w:hint="eastAsia"/>
          <w:b/>
          <w:szCs w:val="21"/>
        </w:rPr>
        <w:t>商品房销售面积及同比变化</w:t>
      </w:r>
    </w:p>
    <w:p w:rsidR="008168E9" w:rsidRDefault="008168E9" w:rsidP="008168E9">
      <w:pPr>
        <w:spacing w:line="360" w:lineRule="auto"/>
        <w:ind w:leftChars="-270" w:left="-594" w:rightChars="-108" w:right="-238"/>
        <w:jc w:val="center"/>
        <w:rPr>
          <w:rFonts w:ascii="Times New Roman" w:hAnsi="Times New Roman"/>
          <w:b/>
          <w:szCs w:val="21"/>
        </w:rPr>
      </w:pPr>
      <w:r w:rsidRPr="00477DD1">
        <w:rPr>
          <w:rFonts w:ascii="Times New Roman" w:hAnsi="Times New Roman"/>
          <w:b/>
          <w:szCs w:val="21"/>
        </w:rPr>
        <w:t>资料来源：</w:t>
      </w:r>
      <w:r>
        <w:rPr>
          <w:rFonts w:ascii="Times New Roman" w:hAnsi="Times New Roman" w:hint="eastAsia"/>
          <w:b/>
          <w:szCs w:val="21"/>
        </w:rPr>
        <w:t>国家统计局</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8168E9" w:rsidRPr="008168E9" w:rsidRDefault="008168E9" w:rsidP="008168E9">
      <w:pPr>
        <w:spacing w:line="360" w:lineRule="auto"/>
        <w:ind w:firstLineChars="200" w:firstLine="480"/>
        <w:jc w:val="center"/>
        <w:rPr>
          <w:rFonts w:ascii="宋体" w:hAnsi="宋体"/>
          <w:sz w:val="24"/>
        </w:rPr>
      </w:pP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2-9月份，东部地区商品房销售面积35908万平方米，同比下降15.3%，降幅比2-8月份扩大0.3个百分点;销售额28418亿元，下降15.5%，降幅与2-8月份持平。中部地区商品房销售面积20693万平方米，下降2.9%，降幅扩大1.2个百分点;销售额10337亿元，增长1.1%，增速回落0.5个百分点。西部地区商品房销售面积20531万平方米，下降0.6%，</w:t>
      </w:r>
      <w:proofErr w:type="gramStart"/>
      <w:r w:rsidRPr="00536EAD">
        <w:rPr>
          <w:rFonts w:ascii="新宋体" w:eastAsia="新宋体" w:hAnsi="新宋体" w:cs="Arial" w:hint="eastAsia"/>
          <w:color w:val="796A4F"/>
          <w:sz w:val="21"/>
          <w:szCs w:val="21"/>
        </w:rPr>
        <w:t>降幅收</w:t>
      </w:r>
      <w:proofErr w:type="gramEnd"/>
      <w:r w:rsidRPr="00536EAD">
        <w:rPr>
          <w:rFonts w:ascii="新宋体" w:eastAsia="新宋体" w:hAnsi="新宋体" w:cs="Arial" w:hint="eastAsia"/>
          <w:color w:val="796A4F"/>
          <w:sz w:val="21"/>
          <w:szCs w:val="21"/>
        </w:rPr>
        <w:t>窄0.5个百分点;销售额10472亿元，增长2.8%，增速提高0.1个百分点。</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9月末，商品房待售面积57148万平方米，比8月末增加988万平方米。其中，住宅待售面积增加629万平方米，办公楼待售面积增加46万平方米，商业营业用房待售面积增加206万平方米。</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3、房地产开发企业到位资金情况</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2-9月份，房地产开发企业到位资金89869亿元，同比增长2.3%，增速比2-8月份回落0.4个百分点。其中，国内贷款16288亿元，增长11.8%;利用外资430亿元，增长9.9%;自筹资金37535亿元，增长11.5%;其他资金35616亿元，下降9.1%。在其他资金中，定金及预收款21582亿元，下降11.1%;个人按揭贷款9794亿元，下降4.9%。</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4、房地产开发景气指数</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9月份，房地产开发景气指数(简称“国房景气指数”)为94.72，比上月回落0.07点。</w:t>
      </w:r>
    </w:p>
    <w:p w:rsidR="00A0506C" w:rsidRDefault="00A0506C" w:rsidP="00A0506C">
      <w:pPr>
        <w:spacing w:line="360" w:lineRule="auto"/>
        <w:ind w:firstLineChars="200" w:firstLine="480"/>
        <w:rPr>
          <w:rFonts w:ascii="宋体" w:hAnsi="宋体"/>
          <w:sz w:val="24"/>
        </w:rPr>
      </w:pPr>
      <w:r w:rsidRPr="00DF22AE">
        <w:rPr>
          <w:rFonts w:ascii="宋体" w:hAnsi="宋体"/>
          <w:noProof/>
          <w:sz w:val="24"/>
        </w:rPr>
        <w:lastRenderedPageBreak/>
        <w:drawing>
          <wp:inline distT="0" distB="0" distL="0" distR="0">
            <wp:extent cx="5486400" cy="3383280"/>
            <wp:effectExtent l="19050" t="0" r="0" b="0"/>
            <wp:docPr id="22" name="图片 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2" cstate="print"/>
                    <a:stretch>
                      <a:fillRect/>
                    </a:stretch>
                  </pic:blipFill>
                  <pic:spPr>
                    <a:xfrm>
                      <a:off x="0" y="0"/>
                      <a:ext cx="5486400" cy="3383280"/>
                    </a:xfrm>
                    <a:prstGeom prst="rect">
                      <a:avLst/>
                    </a:prstGeom>
                  </pic:spPr>
                </pic:pic>
              </a:graphicData>
            </a:graphic>
          </wp:inline>
        </w:drawing>
      </w:r>
    </w:p>
    <w:p w:rsidR="00A0506C" w:rsidRDefault="00A0506C" w:rsidP="00A0506C">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sidR="00822377">
        <w:rPr>
          <w:rFonts w:ascii="Times New Roman" w:hAnsi="Times New Roman" w:hint="eastAsia"/>
          <w:b/>
          <w:szCs w:val="21"/>
        </w:rPr>
        <w:t>1-</w:t>
      </w:r>
      <w:r>
        <w:rPr>
          <w:rFonts w:ascii="Times New Roman" w:hAnsi="Times New Roman" w:hint="eastAsia"/>
          <w:b/>
          <w:szCs w:val="21"/>
        </w:rPr>
        <w:t>1</w:t>
      </w:r>
      <w:r w:rsidR="005F5C57">
        <w:rPr>
          <w:rFonts w:ascii="Times New Roman" w:hAnsi="Times New Roman" w:hint="eastAsia"/>
          <w:b/>
          <w:szCs w:val="21"/>
        </w:rPr>
        <w:t>4</w:t>
      </w:r>
      <w:r w:rsidRPr="00400A2B">
        <w:rPr>
          <w:rFonts w:ascii="Times New Roman" w:hAnsi="Times New Roman" w:hint="eastAsia"/>
          <w:b/>
          <w:szCs w:val="21"/>
        </w:rPr>
        <w:t>：</w:t>
      </w:r>
      <w:r>
        <w:rPr>
          <w:rFonts w:ascii="Times New Roman" w:hAnsi="Times New Roman" w:hint="eastAsia"/>
          <w:b/>
          <w:szCs w:val="21"/>
        </w:rPr>
        <w:t>国房景气指数</w:t>
      </w:r>
      <w:r w:rsidRPr="00400A2B">
        <w:rPr>
          <w:rFonts w:ascii="Times New Roman" w:hAnsi="Times New Roman" w:hint="eastAsia"/>
          <w:b/>
          <w:szCs w:val="21"/>
        </w:rPr>
        <w:t>房地产</w:t>
      </w:r>
      <w:r>
        <w:rPr>
          <w:rFonts w:ascii="Times New Roman" w:hAnsi="Times New Roman" w:hint="eastAsia"/>
          <w:b/>
          <w:szCs w:val="21"/>
        </w:rPr>
        <w:t>施工面积及同比变化</w:t>
      </w:r>
    </w:p>
    <w:p w:rsidR="008168E9" w:rsidRDefault="008168E9" w:rsidP="008168E9">
      <w:pPr>
        <w:spacing w:line="360" w:lineRule="auto"/>
        <w:ind w:leftChars="-270" w:left="-594" w:rightChars="-108" w:right="-238"/>
        <w:jc w:val="center"/>
        <w:rPr>
          <w:rFonts w:ascii="Times New Roman" w:hAnsi="Times New Roman"/>
          <w:b/>
          <w:szCs w:val="21"/>
        </w:rPr>
      </w:pPr>
      <w:r>
        <w:rPr>
          <w:rFonts w:ascii="Times New Roman" w:hAnsi="Times New Roman" w:hint="eastAsia"/>
          <w:b/>
          <w:szCs w:val="21"/>
        </w:rPr>
        <w:t xml:space="preserve">    </w:t>
      </w:r>
      <w:r w:rsidRPr="00477DD1">
        <w:rPr>
          <w:rFonts w:ascii="Times New Roman" w:hAnsi="Times New Roman"/>
          <w:b/>
          <w:szCs w:val="21"/>
        </w:rPr>
        <w:t>资料来源：</w:t>
      </w:r>
      <w:r>
        <w:rPr>
          <w:rFonts w:ascii="Times New Roman" w:hAnsi="Times New Roman" w:hint="eastAsia"/>
          <w:b/>
          <w:szCs w:val="21"/>
        </w:rPr>
        <w:t>国家统计局</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A0506C" w:rsidRPr="00CE3844" w:rsidRDefault="005F5C57" w:rsidP="00A0506C">
      <w:pPr>
        <w:pStyle w:val="3"/>
        <w:rPr>
          <w:color w:val="000000" w:themeColor="text1"/>
          <w:sz w:val="21"/>
          <w:szCs w:val="21"/>
        </w:rPr>
      </w:pPr>
      <w:r>
        <w:rPr>
          <w:rFonts w:hint="eastAsia"/>
          <w:color w:val="000000" w:themeColor="text1"/>
          <w:sz w:val="21"/>
          <w:szCs w:val="21"/>
        </w:rPr>
        <w:t>七</w:t>
      </w:r>
      <w:r w:rsidR="00A0506C" w:rsidRPr="00CE3844">
        <w:rPr>
          <w:rFonts w:hint="eastAsia"/>
          <w:color w:val="000000" w:themeColor="text1"/>
          <w:sz w:val="21"/>
          <w:szCs w:val="21"/>
        </w:rPr>
        <w:t>、</w:t>
      </w:r>
      <w:r w:rsidR="00A0506C">
        <w:rPr>
          <w:rFonts w:hint="eastAsia"/>
          <w:color w:val="000000" w:themeColor="text1"/>
          <w:sz w:val="21"/>
          <w:szCs w:val="21"/>
        </w:rPr>
        <w:t>前三季用电量数据</w:t>
      </w:r>
      <w:r w:rsidR="00A0506C" w:rsidRPr="00CE3844">
        <w:rPr>
          <w:rFonts w:hint="eastAsia"/>
          <w:color w:val="000000" w:themeColor="text1"/>
          <w:sz w:val="21"/>
          <w:szCs w:val="21"/>
        </w:rPr>
        <w:t>不佳</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据中国国家能源局最新公布的数据，今年2-9月，全国全社会用电量累计40975亿千瓦时，同比增长3.9%。9月份，全社会用电量4570亿千瓦时，同比增长2.7%。2-9月，全国全社会用电量累计40975亿千瓦时，同比增长3.9%。分产业看，第一产业用电量783亿千瓦时，同比增长2.4%；第二产业用电量29827亿千瓦时，同比增长4.0%；第三产业用电量5033亿千瓦时，同比增长5.7%；城乡居民生活用电量5332亿千瓦时，同比增长1.8%。</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今年前三季度，全国发电设备累计平均利用小时为3204小时，同比减少174小时。其中，水电设备平均利用小时为2723小时，同比增加84小时；火电设备平均利用小时为3512小时，同比减少182小时。前三季度全国电源新增生产能力(正式投产)5250万千瓦，其中，水电1565万千瓦，火电2580万千瓦。全国装机容量达12.66亿千瓦。截至9月底,全国全口径装机容量达到126591万千瓦,同比增长8.7%,其中:水电、火电、核电装机容量分别达到25789、88692、1778万千瓦,累计增速分别为11.7%、5.3%、21.7%。全国电源基本建设完成投资2113亿元,其中水电572亿元,火电574亿元,核电378亿元,电网建设完成投资2635亿元。全国累计新增装机5250万千瓦,其中水电1565万千瓦,占比29.81%,火电2580万千瓦,占比49.14%,220千伏以上线路累计新增长度28676千米。</w:t>
      </w:r>
    </w:p>
    <w:p w:rsidR="00A0506C" w:rsidRPr="00536EAD" w:rsidRDefault="00A0506C"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海关总署公布2014年前三季度进口情况时称，今年前三季度，出口10.4</w:t>
      </w:r>
      <w:proofErr w:type="gramStart"/>
      <w:r w:rsidRPr="00536EAD">
        <w:rPr>
          <w:rFonts w:ascii="新宋体" w:eastAsia="新宋体" w:hAnsi="新宋体" w:cs="Arial" w:hint="eastAsia"/>
          <w:color w:val="796A4F"/>
          <w:sz w:val="21"/>
          <w:szCs w:val="21"/>
        </w:rPr>
        <w:t>万亿</w:t>
      </w:r>
      <w:proofErr w:type="gramEnd"/>
      <w:r w:rsidRPr="00536EAD">
        <w:rPr>
          <w:rFonts w:ascii="新宋体" w:eastAsia="新宋体" w:hAnsi="新宋体" w:cs="Arial" w:hint="eastAsia"/>
          <w:color w:val="796A4F"/>
          <w:sz w:val="21"/>
          <w:szCs w:val="21"/>
        </w:rPr>
        <w:t>元，增长3.6%，进口9</w:t>
      </w:r>
      <w:proofErr w:type="gramStart"/>
      <w:r w:rsidRPr="00536EAD">
        <w:rPr>
          <w:rFonts w:ascii="新宋体" w:eastAsia="新宋体" w:hAnsi="新宋体" w:cs="Arial" w:hint="eastAsia"/>
          <w:color w:val="796A4F"/>
          <w:sz w:val="21"/>
          <w:szCs w:val="21"/>
        </w:rPr>
        <w:t>万亿</w:t>
      </w:r>
      <w:proofErr w:type="gramEnd"/>
      <w:r w:rsidRPr="00536EAD">
        <w:rPr>
          <w:rFonts w:ascii="新宋体" w:eastAsia="新宋体" w:hAnsi="新宋体" w:cs="Arial" w:hint="eastAsia"/>
          <w:color w:val="796A4F"/>
          <w:sz w:val="21"/>
          <w:szCs w:val="21"/>
        </w:rPr>
        <w:t>元，下降0.1%。贸易顺差1.4</w:t>
      </w:r>
      <w:proofErr w:type="gramStart"/>
      <w:r w:rsidRPr="00536EAD">
        <w:rPr>
          <w:rFonts w:ascii="新宋体" w:eastAsia="新宋体" w:hAnsi="新宋体" w:cs="Arial" w:hint="eastAsia"/>
          <w:color w:val="796A4F"/>
          <w:sz w:val="21"/>
          <w:szCs w:val="21"/>
        </w:rPr>
        <w:t>万亿</w:t>
      </w:r>
      <w:proofErr w:type="gramEnd"/>
      <w:r w:rsidRPr="00536EAD">
        <w:rPr>
          <w:rFonts w:ascii="新宋体" w:eastAsia="新宋体" w:hAnsi="新宋体" w:cs="Arial" w:hint="eastAsia"/>
          <w:color w:val="796A4F"/>
          <w:sz w:val="21"/>
          <w:szCs w:val="21"/>
        </w:rPr>
        <w:t>元，扩大35.3%。按照美元计价，前三季度的进出口，出口和进口</w:t>
      </w:r>
      <w:r w:rsidRPr="00536EAD">
        <w:rPr>
          <w:rFonts w:ascii="新宋体" w:eastAsia="新宋体" w:hAnsi="新宋体" w:cs="Arial" w:hint="eastAsia"/>
          <w:color w:val="796A4F"/>
          <w:sz w:val="21"/>
          <w:szCs w:val="21"/>
        </w:rPr>
        <w:lastRenderedPageBreak/>
        <w:t>值分别同比增长3.3%、5.1%和1.3%。今年前三季度，我国进出口总值19.4</w:t>
      </w:r>
      <w:proofErr w:type="gramStart"/>
      <w:r w:rsidRPr="00536EAD">
        <w:rPr>
          <w:rFonts w:ascii="新宋体" w:eastAsia="新宋体" w:hAnsi="新宋体" w:cs="Arial" w:hint="eastAsia"/>
          <w:color w:val="796A4F"/>
          <w:sz w:val="21"/>
          <w:szCs w:val="21"/>
        </w:rPr>
        <w:t>万亿</w:t>
      </w:r>
      <w:proofErr w:type="gramEnd"/>
      <w:r w:rsidRPr="00536EAD">
        <w:rPr>
          <w:rFonts w:ascii="新宋体" w:eastAsia="新宋体" w:hAnsi="新宋体" w:cs="Arial" w:hint="eastAsia"/>
          <w:color w:val="796A4F"/>
          <w:sz w:val="21"/>
          <w:szCs w:val="21"/>
        </w:rPr>
        <w:t>元人民币，比去年同期增长1.8%。其中，出口10.4</w:t>
      </w:r>
      <w:proofErr w:type="gramStart"/>
      <w:r w:rsidRPr="00536EAD">
        <w:rPr>
          <w:rFonts w:ascii="新宋体" w:eastAsia="新宋体" w:hAnsi="新宋体" w:cs="Arial" w:hint="eastAsia"/>
          <w:color w:val="796A4F"/>
          <w:sz w:val="21"/>
          <w:szCs w:val="21"/>
        </w:rPr>
        <w:t>万亿</w:t>
      </w:r>
      <w:proofErr w:type="gramEnd"/>
      <w:r w:rsidRPr="00536EAD">
        <w:rPr>
          <w:rFonts w:ascii="新宋体" w:eastAsia="新宋体" w:hAnsi="新宋体" w:cs="Arial" w:hint="eastAsia"/>
          <w:color w:val="796A4F"/>
          <w:sz w:val="21"/>
          <w:szCs w:val="21"/>
        </w:rPr>
        <w:t>元，增长3.6%，进口9</w:t>
      </w:r>
      <w:proofErr w:type="gramStart"/>
      <w:r w:rsidRPr="00536EAD">
        <w:rPr>
          <w:rFonts w:ascii="新宋体" w:eastAsia="新宋体" w:hAnsi="新宋体" w:cs="Arial" w:hint="eastAsia"/>
          <w:color w:val="796A4F"/>
          <w:sz w:val="21"/>
          <w:szCs w:val="21"/>
        </w:rPr>
        <w:t>万亿</w:t>
      </w:r>
      <w:proofErr w:type="gramEnd"/>
      <w:r w:rsidRPr="00536EAD">
        <w:rPr>
          <w:rFonts w:ascii="新宋体" w:eastAsia="新宋体" w:hAnsi="新宋体" w:cs="Arial" w:hint="eastAsia"/>
          <w:color w:val="796A4F"/>
          <w:sz w:val="21"/>
          <w:szCs w:val="21"/>
        </w:rPr>
        <w:t>元，下降0.1%。贸易顺差1.4</w:t>
      </w:r>
      <w:proofErr w:type="gramStart"/>
      <w:r w:rsidRPr="00536EAD">
        <w:rPr>
          <w:rFonts w:ascii="新宋体" w:eastAsia="新宋体" w:hAnsi="新宋体" w:cs="Arial" w:hint="eastAsia"/>
          <w:color w:val="796A4F"/>
          <w:sz w:val="21"/>
          <w:szCs w:val="21"/>
        </w:rPr>
        <w:t>万亿</w:t>
      </w:r>
      <w:proofErr w:type="gramEnd"/>
      <w:r w:rsidRPr="00536EAD">
        <w:rPr>
          <w:rFonts w:ascii="新宋体" w:eastAsia="新宋体" w:hAnsi="新宋体" w:cs="Arial" w:hint="eastAsia"/>
          <w:color w:val="796A4F"/>
          <w:sz w:val="21"/>
          <w:szCs w:val="21"/>
        </w:rPr>
        <w:t>元，扩大35.3%。按照美元计价，前三季度的进出口，出口和进口值分别同比增长3.3%、5.1%和1.3%。</w:t>
      </w:r>
    </w:p>
    <w:p w:rsidR="00A0506C" w:rsidRDefault="00A0506C" w:rsidP="005B0335">
      <w:pPr>
        <w:pStyle w:val="ad"/>
        <w:spacing w:beforeLines="50" w:after="50" w:line="360" w:lineRule="auto"/>
        <w:ind w:firstLine="420"/>
        <w:rPr>
          <w:rFonts w:ascii="Arial" w:hAnsi="Arial" w:cs="Arial"/>
          <w:sz w:val="21"/>
          <w:szCs w:val="21"/>
        </w:rPr>
      </w:pPr>
      <w:r w:rsidRPr="00510D2E">
        <w:rPr>
          <w:rFonts w:ascii="Arial" w:hAnsi="Arial" w:cs="Arial"/>
          <w:noProof/>
          <w:sz w:val="21"/>
          <w:szCs w:val="21"/>
        </w:rPr>
        <w:drawing>
          <wp:inline distT="0" distB="0" distL="0" distR="0">
            <wp:extent cx="5486400" cy="3225800"/>
            <wp:effectExtent l="19050" t="0" r="0" b="0"/>
            <wp:docPr id="26" name="图片 5"/>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3" cstate="print"/>
                    <a:stretch>
                      <a:fillRect/>
                    </a:stretch>
                  </pic:blipFill>
                  <pic:spPr>
                    <a:xfrm>
                      <a:off x="0" y="0"/>
                      <a:ext cx="5486400" cy="3225800"/>
                    </a:xfrm>
                    <a:prstGeom prst="rect">
                      <a:avLst/>
                    </a:prstGeom>
                  </pic:spPr>
                </pic:pic>
              </a:graphicData>
            </a:graphic>
          </wp:inline>
        </w:drawing>
      </w:r>
    </w:p>
    <w:p w:rsidR="00E82FA3" w:rsidRDefault="00A0506C" w:rsidP="00E82FA3">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sidR="00822377">
        <w:rPr>
          <w:rFonts w:ascii="Times New Roman" w:hAnsi="Times New Roman" w:hint="eastAsia"/>
          <w:b/>
          <w:szCs w:val="21"/>
        </w:rPr>
        <w:t>1-</w:t>
      </w:r>
      <w:r>
        <w:rPr>
          <w:rFonts w:ascii="Times New Roman" w:hAnsi="Times New Roman" w:hint="eastAsia"/>
          <w:b/>
          <w:szCs w:val="21"/>
        </w:rPr>
        <w:t>1</w:t>
      </w:r>
      <w:r w:rsidR="005F5C57">
        <w:rPr>
          <w:rFonts w:ascii="Times New Roman" w:hAnsi="Times New Roman" w:hint="eastAsia"/>
          <w:b/>
          <w:szCs w:val="21"/>
        </w:rPr>
        <w:t>5</w:t>
      </w:r>
      <w:r w:rsidRPr="00400A2B">
        <w:rPr>
          <w:rFonts w:ascii="Times New Roman" w:hAnsi="Times New Roman" w:hint="eastAsia"/>
          <w:b/>
          <w:szCs w:val="21"/>
        </w:rPr>
        <w:t>：</w:t>
      </w:r>
      <w:r>
        <w:rPr>
          <w:rFonts w:ascii="Times New Roman" w:hAnsi="Times New Roman" w:hint="eastAsia"/>
          <w:b/>
          <w:szCs w:val="21"/>
        </w:rPr>
        <w:t>2009-2014</w:t>
      </w:r>
      <w:r>
        <w:rPr>
          <w:rFonts w:ascii="Times New Roman" w:hAnsi="Times New Roman" w:hint="eastAsia"/>
          <w:b/>
          <w:szCs w:val="21"/>
        </w:rPr>
        <w:t>年中国贸易顺差变化</w:t>
      </w:r>
    </w:p>
    <w:p w:rsidR="008168E9" w:rsidRDefault="008168E9" w:rsidP="00E82FA3">
      <w:pPr>
        <w:spacing w:line="360" w:lineRule="auto"/>
        <w:ind w:firstLineChars="200" w:firstLine="442"/>
        <w:jc w:val="center"/>
        <w:rPr>
          <w:rFonts w:ascii="Times New Roman" w:hAnsi="Times New Roman"/>
          <w:b/>
          <w:szCs w:val="21"/>
        </w:rPr>
      </w:pPr>
      <w:r w:rsidRPr="00477DD1">
        <w:rPr>
          <w:rFonts w:ascii="Times New Roman" w:hAnsi="Times New Roman"/>
          <w:b/>
          <w:szCs w:val="21"/>
        </w:rPr>
        <w:t>资料来源：</w:t>
      </w:r>
      <w:r>
        <w:rPr>
          <w:rFonts w:ascii="Times New Roman" w:hAnsi="Times New Roman" w:hint="eastAsia"/>
          <w:b/>
          <w:szCs w:val="21"/>
        </w:rPr>
        <w:t>国家统计局</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634126" w:rsidRPr="008168E9" w:rsidRDefault="00634126" w:rsidP="00634126">
      <w:pPr>
        <w:spacing w:line="360" w:lineRule="auto"/>
        <w:ind w:firstLineChars="200" w:firstLine="442"/>
        <w:jc w:val="center"/>
        <w:rPr>
          <w:rFonts w:ascii="Times New Roman" w:hAnsi="Times New Roman"/>
          <w:b/>
          <w:szCs w:val="21"/>
        </w:rPr>
      </w:pPr>
    </w:p>
    <w:p w:rsidR="00634126" w:rsidRPr="00CE3844" w:rsidRDefault="00634126" w:rsidP="00634126">
      <w:pPr>
        <w:pStyle w:val="3"/>
        <w:rPr>
          <w:color w:val="000000" w:themeColor="text1"/>
          <w:sz w:val="21"/>
          <w:szCs w:val="21"/>
        </w:rPr>
      </w:pPr>
      <w:r>
        <w:rPr>
          <w:rFonts w:hint="eastAsia"/>
          <w:color w:val="000000" w:themeColor="text1"/>
          <w:sz w:val="21"/>
          <w:szCs w:val="21"/>
        </w:rPr>
        <w:t>八</w:t>
      </w:r>
      <w:r w:rsidRPr="00CE3844">
        <w:rPr>
          <w:rFonts w:hint="eastAsia"/>
          <w:color w:val="000000" w:themeColor="text1"/>
          <w:sz w:val="21"/>
          <w:szCs w:val="21"/>
        </w:rPr>
        <w:t>、</w:t>
      </w:r>
      <w:proofErr w:type="gramStart"/>
      <w:r w:rsidR="005F7795">
        <w:rPr>
          <w:rFonts w:hint="eastAsia"/>
          <w:color w:val="000000" w:themeColor="text1"/>
          <w:sz w:val="21"/>
          <w:szCs w:val="21"/>
        </w:rPr>
        <w:t>习主席</w:t>
      </w:r>
      <w:proofErr w:type="gramEnd"/>
      <w:r w:rsidR="005F7795">
        <w:rPr>
          <w:rFonts w:hint="eastAsia"/>
          <w:color w:val="000000" w:themeColor="text1"/>
          <w:sz w:val="21"/>
          <w:szCs w:val="21"/>
        </w:rPr>
        <w:t>提出“一带一路”发展宏图</w:t>
      </w:r>
    </w:p>
    <w:p w:rsidR="005F7795" w:rsidRPr="00536EAD" w:rsidRDefault="005F7795"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一年前，习近平总书记提出构建“丝绸之路经济带”和21世纪“海上丝绸之路”简称为“一带一路”的战略构想。此战略构想一经提出即刻受到国际社会的高度重视，得到沿途各国的广泛支持，国内相关省市更是摩拳擦掌，其国际影响与战略意义可见一斑。一年来，我国与相关国家和地区组织以创新的合作模式，就共建“丝带丝路”做出巨大努力，以点带面，从线到片，全方位推进沿途国家双边和区域合作，取得可喜进展。</w:t>
      </w:r>
    </w:p>
    <w:p w:rsidR="00D31491" w:rsidRPr="00536EAD" w:rsidRDefault="00D31491"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新常态”下的世界经济有了更紧密的联系，而GDP全球占比超过13%的中国已经成为一支不可忽视的力量。这意味着，谋求转型升级的中国有可能改变韬光养晦的风格，将自身的发展与世界建立更多联系，力争实现共赢的良性局面。</w:t>
      </w:r>
    </w:p>
    <w:p w:rsidR="00D31491" w:rsidRPr="00536EAD" w:rsidRDefault="00D31491"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2014年亚太经合组织(APEC)领导人会议11月5日在北京开幕。APEC在贸易自由化、贸易投资便利化和经济技术合作等支柱合作领域取得了引人注目的成果。具体来看，“一带一路(即丝绸 之路经济带和21</w:t>
      </w:r>
      <w:r w:rsidRPr="00536EAD">
        <w:rPr>
          <w:rFonts w:ascii="新宋体" w:eastAsia="新宋体" w:hAnsi="新宋体" w:cs="Arial" w:hint="eastAsia"/>
          <w:color w:val="796A4F"/>
          <w:sz w:val="21"/>
          <w:szCs w:val="21"/>
        </w:rPr>
        <w:lastRenderedPageBreak/>
        <w:t>世纪海上丝绸之路)”规划尤为值得关注，这不仅因为APEC经济体与“一带一路”区域有着极高的重合性，同时这项规划被认为将对中国和</w:t>
      </w:r>
      <w:proofErr w:type="gramStart"/>
      <w:r w:rsidRPr="00536EAD">
        <w:rPr>
          <w:rFonts w:ascii="新宋体" w:eastAsia="新宋体" w:hAnsi="新宋体" w:cs="Arial" w:hint="eastAsia"/>
          <w:color w:val="796A4F"/>
          <w:sz w:val="21"/>
          <w:szCs w:val="21"/>
        </w:rPr>
        <w:t xml:space="preserve">世 </w:t>
      </w:r>
      <w:proofErr w:type="gramEnd"/>
      <w:r w:rsidRPr="00536EAD">
        <w:rPr>
          <w:rFonts w:ascii="新宋体" w:eastAsia="新宋体" w:hAnsi="新宋体" w:cs="Arial" w:hint="eastAsia"/>
          <w:color w:val="796A4F"/>
          <w:sz w:val="21"/>
          <w:szCs w:val="21"/>
        </w:rPr>
        <w:t>界产生重要影响。</w:t>
      </w:r>
    </w:p>
    <w:p w:rsidR="00D31491" w:rsidRPr="00536EAD" w:rsidRDefault="005F7795"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我们认为，</w:t>
      </w:r>
      <w:proofErr w:type="gramStart"/>
      <w:r w:rsidRPr="00536EAD">
        <w:rPr>
          <w:rFonts w:ascii="新宋体" w:eastAsia="新宋体" w:hAnsi="新宋体" w:cs="Arial" w:hint="eastAsia"/>
          <w:color w:val="796A4F"/>
          <w:sz w:val="21"/>
          <w:szCs w:val="21"/>
        </w:rPr>
        <w:t>习主席</w:t>
      </w:r>
      <w:proofErr w:type="gramEnd"/>
      <w:r w:rsidRPr="00536EAD">
        <w:rPr>
          <w:rFonts w:ascii="新宋体" w:eastAsia="新宋体" w:hAnsi="新宋体" w:cs="Arial" w:hint="eastAsia"/>
          <w:color w:val="796A4F"/>
          <w:sz w:val="21"/>
          <w:szCs w:val="21"/>
        </w:rPr>
        <w:t>提出的</w:t>
      </w:r>
      <w:r w:rsidR="00D31491" w:rsidRPr="00536EAD">
        <w:rPr>
          <w:rFonts w:ascii="新宋体" w:eastAsia="新宋体" w:hAnsi="新宋体" w:cs="Arial" w:hint="eastAsia"/>
          <w:color w:val="796A4F"/>
          <w:sz w:val="21"/>
          <w:szCs w:val="21"/>
        </w:rPr>
        <w:t>“一带一路”规划即</w:t>
      </w:r>
      <w:r w:rsidRPr="00536EAD">
        <w:rPr>
          <w:rFonts w:ascii="新宋体" w:eastAsia="新宋体" w:hAnsi="新宋体" w:cs="Arial" w:hint="eastAsia"/>
          <w:color w:val="796A4F"/>
          <w:sz w:val="21"/>
          <w:szCs w:val="21"/>
        </w:rPr>
        <w:t>将实施</w:t>
      </w:r>
      <w:r w:rsidR="00D31491" w:rsidRPr="00536EAD">
        <w:rPr>
          <w:rFonts w:ascii="新宋体" w:eastAsia="新宋体" w:hAnsi="新宋体" w:cs="Arial" w:hint="eastAsia"/>
          <w:color w:val="796A4F"/>
          <w:sz w:val="21"/>
          <w:szCs w:val="21"/>
        </w:rPr>
        <w:t>，“一带一路”要解决中国过剩产能的市场资源的获取、战略纵深的开拓和国家安全的强化这三个重要的战略问题。“一带一路”战略将是我国未来十年的重大政策红利，初期大规模基础设施建设，紧接着资源能源开发利用，随后全方位贸易服务往来，带来多产业链、多行业的投资机会。在这个规划正式发布之前，各个层面的资本输出和企业“走出去”战略已经启动。近期来，不仅监管</w:t>
      </w:r>
      <w:proofErr w:type="gramStart"/>
      <w:r w:rsidR="00D31491" w:rsidRPr="00536EAD">
        <w:rPr>
          <w:rFonts w:ascii="新宋体" w:eastAsia="新宋体" w:hAnsi="新宋体" w:cs="Arial" w:hint="eastAsia"/>
          <w:color w:val="796A4F"/>
          <w:sz w:val="21"/>
          <w:szCs w:val="21"/>
        </w:rPr>
        <w:t>层对外</w:t>
      </w:r>
      <w:proofErr w:type="gramEnd"/>
      <w:r w:rsidR="00D31491" w:rsidRPr="00536EAD">
        <w:rPr>
          <w:rFonts w:ascii="新宋体" w:eastAsia="新宋体" w:hAnsi="新宋体" w:cs="Arial" w:hint="eastAsia"/>
          <w:color w:val="796A4F"/>
          <w:sz w:val="21"/>
          <w:szCs w:val="21"/>
        </w:rPr>
        <w:t>投资审批的流程大大简化，高层领导人更甘当“推销员”，涉及高铁、能源、基建等的国内企业更加快了海外投资的步伐。</w:t>
      </w:r>
    </w:p>
    <w:p w:rsidR="00D31491" w:rsidRPr="00D31491" w:rsidRDefault="00D31491" w:rsidP="005B0335">
      <w:pPr>
        <w:pStyle w:val="ad"/>
        <w:spacing w:beforeLines="50" w:after="50" w:line="360" w:lineRule="auto"/>
        <w:ind w:firstLine="420"/>
        <w:rPr>
          <w:rFonts w:ascii="Arial" w:hAnsi="Arial" w:cs="Arial"/>
          <w:sz w:val="21"/>
          <w:szCs w:val="21"/>
        </w:rPr>
      </w:pPr>
    </w:p>
    <w:p w:rsidR="000772F8" w:rsidRDefault="000772F8" w:rsidP="005B0335">
      <w:pPr>
        <w:pStyle w:val="ad"/>
        <w:spacing w:beforeLines="50" w:after="50" w:line="360" w:lineRule="auto"/>
        <w:ind w:firstLine="420"/>
        <w:rPr>
          <w:rFonts w:ascii="Arial" w:hAnsi="Arial" w:cs="Arial"/>
          <w:sz w:val="21"/>
          <w:szCs w:val="21"/>
        </w:rPr>
      </w:pPr>
    </w:p>
    <w:p w:rsidR="000772F8" w:rsidRDefault="000772F8" w:rsidP="00E82FA3">
      <w:pPr>
        <w:jc w:val="center"/>
        <w:rPr>
          <w:rFonts w:ascii="Arial" w:hAnsi="Arial" w:cs="Arial"/>
          <w:sz w:val="21"/>
          <w:szCs w:val="21"/>
        </w:rPr>
      </w:pPr>
      <w:r>
        <w:rPr>
          <w:noProof/>
        </w:rPr>
        <w:lastRenderedPageBreak/>
        <w:drawing>
          <wp:inline distT="0" distB="0" distL="0" distR="0">
            <wp:extent cx="5012903" cy="5571461"/>
            <wp:effectExtent l="19050" t="0" r="0" b="0"/>
            <wp:docPr id="31" name="图片 4" descr="c:\users\yanfa1\appdata\roaming\360se6\User Data\temp\74df37d3jw1ej8r8612ygj20ci0o2t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nfa1\appdata\roaming\360se6\User Data\temp\74df37d3jw1ej8r8612ygj20ci0o2tcl.jpg"/>
                    <pic:cNvPicPr>
                      <a:picLocks noChangeAspect="1" noChangeArrowheads="1"/>
                    </pic:cNvPicPr>
                  </pic:nvPicPr>
                  <pic:blipFill>
                    <a:blip r:embed="rId24" cstate="print"/>
                    <a:srcRect t="34697" b="7520"/>
                    <a:stretch>
                      <a:fillRect/>
                    </a:stretch>
                  </pic:blipFill>
                  <pic:spPr bwMode="auto">
                    <a:xfrm>
                      <a:off x="0" y="0"/>
                      <a:ext cx="5012903" cy="5571461"/>
                    </a:xfrm>
                    <a:prstGeom prst="rect">
                      <a:avLst/>
                    </a:prstGeom>
                    <a:noFill/>
                    <a:ln w="9525">
                      <a:noFill/>
                      <a:miter lim="800000"/>
                      <a:headEnd/>
                      <a:tailEnd/>
                    </a:ln>
                  </pic:spPr>
                </pic:pic>
              </a:graphicData>
            </a:graphic>
          </wp:inline>
        </w:drawing>
      </w:r>
    </w:p>
    <w:p w:rsidR="00672D27" w:rsidRPr="00536EAD" w:rsidRDefault="00D31491"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最近两年的制造</w:t>
      </w:r>
      <w:proofErr w:type="gramStart"/>
      <w:r w:rsidRPr="00536EAD">
        <w:rPr>
          <w:rFonts w:ascii="新宋体" w:eastAsia="新宋体" w:hAnsi="新宋体" w:cs="Arial" w:hint="eastAsia"/>
          <w:color w:val="796A4F"/>
          <w:sz w:val="21"/>
          <w:szCs w:val="21"/>
        </w:rPr>
        <w:t>装备业</w:t>
      </w:r>
      <w:proofErr w:type="gramEnd"/>
      <w:r w:rsidRPr="00536EAD">
        <w:rPr>
          <w:rFonts w:ascii="新宋体" w:eastAsia="新宋体" w:hAnsi="新宋体" w:cs="Arial" w:hint="eastAsia"/>
          <w:color w:val="796A4F"/>
          <w:sz w:val="21"/>
          <w:szCs w:val="21"/>
        </w:rPr>
        <w:t>中，中国铁路在世界舞台上可谓出尽风头。墨西哥11月4日宣布，中国铁建、</w:t>
      </w:r>
      <w:proofErr w:type="gramStart"/>
      <w:r w:rsidRPr="00536EAD">
        <w:rPr>
          <w:rFonts w:ascii="新宋体" w:eastAsia="新宋体" w:hAnsi="新宋体" w:cs="Arial" w:hint="eastAsia"/>
          <w:color w:val="796A4F"/>
          <w:sz w:val="21"/>
          <w:szCs w:val="21"/>
        </w:rPr>
        <w:t>中国南车等</w:t>
      </w:r>
      <w:proofErr w:type="gramEnd"/>
      <w:r w:rsidRPr="00536EAD">
        <w:rPr>
          <w:rFonts w:ascii="新宋体" w:eastAsia="新宋体" w:hAnsi="新宋体" w:cs="Arial" w:hint="eastAsia"/>
          <w:color w:val="796A4F"/>
          <w:sz w:val="21"/>
          <w:szCs w:val="21"/>
        </w:rPr>
        <w:t>组成的国际联合体以270亿元中标该国全长210公里的高速铁路项目。这笔被媒体称为“真正意义上的中国高铁海外首单”的交易立即全线拉升股票市场，多只涉及到中国在海外基础建设投资的股票上扬。</w:t>
      </w:r>
    </w:p>
    <w:p w:rsidR="00D31491" w:rsidRPr="00536EAD" w:rsidRDefault="00D31491"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丝绸之路建设也迎来最新合作伙伴。10月28日，中国与阿富汗首脑会谈举行，基础设施建设成为重要议题；11月，巴基斯坦总理谢里夫将访华，预计中巴将签署超过300亿美元基础设施项目合约。</w:t>
      </w:r>
    </w:p>
    <w:p w:rsidR="00D31491" w:rsidRPr="00536EAD" w:rsidRDefault="00D31491"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外交部长王毅</w:t>
      </w:r>
      <w:r w:rsidRPr="00536EAD">
        <w:rPr>
          <w:rFonts w:ascii="新宋体" w:eastAsia="新宋体" w:hAnsi="新宋体" w:cs="Arial"/>
          <w:color w:val="796A4F"/>
          <w:sz w:val="21"/>
          <w:szCs w:val="21"/>
        </w:rPr>
        <w:t>10</w:t>
      </w:r>
      <w:r w:rsidRPr="00536EAD">
        <w:rPr>
          <w:rFonts w:ascii="新宋体" w:eastAsia="新宋体" w:hAnsi="新宋体" w:cs="Arial" w:hint="eastAsia"/>
          <w:color w:val="796A4F"/>
          <w:sz w:val="21"/>
          <w:szCs w:val="21"/>
        </w:rPr>
        <w:t>月</w:t>
      </w:r>
      <w:r w:rsidRPr="00536EAD">
        <w:rPr>
          <w:rFonts w:ascii="新宋体" w:eastAsia="新宋体" w:hAnsi="新宋体" w:cs="Arial"/>
          <w:color w:val="796A4F"/>
          <w:sz w:val="21"/>
          <w:szCs w:val="21"/>
        </w:rPr>
        <w:t>29</w:t>
      </w:r>
      <w:r w:rsidRPr="00536EAD">
        <w:rPr>
          <w:rFonts w:ascii="新宋体" w:eastAsia="新宋体" w:hAnsi="新宋体" w:cs="Arial" w:hint="eastAsia"/>
          <w:color w:val="796A4F"/>
          <w:sz w:val="21"/>
          <w:szCs w:val="21"/>
        </w:rPr>
        <w:t>日进一步表示，今年</w:t>
      </w:r>
      <w:r w:rsidRPr="00536EAD">
        <w:rPr>
          <w:rFonts w:ascii="新宋体" w:eastAsia="新宋体" w:hAnsi="新宋体" w:cs="Arial"/>
          <w:color w:val="796A4F"/>
          <w:sz w:val="21"/>
          <w:szCs w:val="21"/>
        </w:rPr>
        <w:t>APEC</w:t>
      </w:r>
      <w:r w:rsidRPr="00536EAD">
        <w:rPr>
          <w:rFonts w:ascii="新宋体" w:eastAsia="新宋体" w:hAnsi="新宋体" w:cs="Arial" w:hint="eastAsia"/>
          <w:color w:val="796A4F"/>
          <w:sz w:val="21"/>
          <w:szCs w:val="21"/>
        </w:rPr>
        <w:t>会议主题之一就是加强全方位基础设施与互联互通建设。王毅称，中方将在会上阐述关于加强互联互通关系、共建“一带一路”的看法和主张，为解决亚洲互联互通建设面临的关键问题贡献力量。相信这个会议对促进本地区互联互通将会产生重要和积极影响。</w:t>
      </w:r>
    </w:p>
    <w:p w:rsidR="00D31491" w:rsidRPr="00536EAD" w:rsidRDefault="00D31491"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lastRenderedPageBreak/>
        <w:t>世界银行前首席经济学家林毅夫在接受本报采访时曾说：“今天的世界需要新的‘马歇尔计划’，促进全球范围对基础设施的投资，以打破发展中国家的经济增长瓶颈，并给高收入国家的结构性改革提供空间。”尽管中国并非高收入国家，但眼下“一方面是中国的过剩产能和过剩外汇资产，另一方面是新兴市场国家</w:t>
      </w:r>
      <w:r w:rsidRPr="00536EAD">
        <w:rPr>
          <w:rFonts w:ascii="新宋体" w:eastAsia="新宋体" w:hAnsi="新宋体" w:cs="Arial"/>
          <w:color w:val="796A4F"/>
          <w:sz w:val="21"/>
          <w:szCs w:val="21"/>
        </w:rPr>
        <w:t>(EME)</w:t>
      </w:r>
      <w:r w:rsidRPr="00536EAD">
        <w:rPr>
          <w:rFonts w:ascii="新宋体" w:eastAsia="新宋体" w:hAnsi="新宋体" w:cs="Arial" w:hint="eastAsia"/>
          <w:color w:val="796A4F"/>
          <w:sz w:val="21"/>
          <w:szCs w:val="21"/>
        </w:rPr>
        <w:t>和欠发达国家</w:t>
      </w:r>
      <w:r w:rsidRPr="00536EAD">
        <w:rPr>
          <w:rFonts w:ascii="新宋体" w:eastAsia="新宋体" w:hAnsi="新宋体" w:cs="Arial"/>
          <w:color w:val="796A4F"/>
          <w:sz w:val="21"/>
          <w:szCs w:val="21"/>
        </w:rPr>
        <w:t xml:space="preserve"> (LDC)</w:t>
      </w:r>
      <w:r w:rsidRPr="00536EAD">
        <w:rPr>
          <w:rFonts w:ascii="新宋体" w:eastAsia="新宋体" w:hAnsi="新宋体" w:cs="Arial" w:hint="eastAsia"/>
          <w:color w:val="796A4F"/>
          <w:sz w:val="21"/>
          <w:szCs w:val="21"/>
        </w:rPr>
        <w:t>的基础设施建设仍然欠缺，发达国家由于自身陷入主权债务的泥潭无法拉动全球增长，于是，中国利用积累的外汇储备作为拉动全球增长的资本金，同时通过资本输出带动消化过剩产能，成为了一个一石二鸟的战略”。</w:t>
      </w:r>
    </w:p>
    <w:p w:rsidR="004A20F8" w:rsidRDefault="004A20F8" w:rsidP="004A20F8">
      <w:pPr>
        <w:pStyle w:val="2"/>
        <w:rPr>
          <w:bCs w:val="0"/>
          <w:color w:val="000000" w:themeColor="text1"/>
          <w:sz w:val="28"/>
          <w:szCs w:val="28"/>
        </w:rPr>
      </w:pPr>
      <w:r w:rsidRPr="00CE3844">
        <w:rPr>
          <w:rFonts w:hint="eastAsia"/>
          <w:bCs w:val="0"/>
          <w:color w:val="000000" w:themeColor="text1"/>
          <w:sz w:val="28"/>
          <w:szCs w:val="28"/>
        </w:rPr>
        <w:t>第</w:t>
      </w:r>
      <w:r w:rsidR="00A0506C">
        <w:rPr>
          <w:rFonts w:hint="eastAsia"/>
          <w:bCs w:val="0"/>
          <w:color w:val="000000" w:themeColor="text1"/>
          <w:sz w:val="28"/>
          <w:szCs w:val="28"/>
        </w:rPr>
        <w:t>二</w:t>
      </w:r>
      <w:r w:rsidRPr="00CE3844">
        <w:rPr>
          <w:rFonts w:hint="eastAsia"/>
          <w:bCs w:val="0"/>
          <w:color w:val="000000" w:themeColor="text1"/>
          <w:sz w:val="28"/>
          <w:szCs w:val="28"/>
        </w:rPr>
        <w:t>部分</w:t>
      </w:r>
      <w:r w:rsidRPr="00CE3844">
        <w:rPr>
          <w:rFonts w:hint="eastAsia"/>
          <w:bCs w:val="0"/>
          <w:color w:val="000000" w:themeColor="text1"/>
          <w:sz w:val="28"/>
          <w:szCs w:val="28"/>
        </w:rPr>
        <w:t xml:space="preserve">  </w:t>
      </w:r>
      <w:r w:rsidR="00DE03D4">
        <w:rPr>
          <w:rFonts w:hint="eastAsia"/>
          <w:bCs w:val="0"/>
          <w:color w:val="000000" w:themeColor="text1"/>
          <w:sz w:val="28"/>
          <w:szCs w:val="28"/>
        </w:rPr>
        <w:t>海外经济</w:t>
      </w:r>
      <w:r w:rsidRPr="00CE3844">
        <w:rPr>
          <w:rFonts w:hint="eastAsia"/>
          <w:bCs w:val="0"/>
          <w:color w:val="000000" w:themeColor="text1"/>
          <w:sz w:val="28"/>
          <w:szCs w:val="28"/>
        </w:rPr>
        <w:t>形势</w:t>
      </w:r>
      <w:r w:rsidR="00DE03D4">
        <w:rPr>
          <w:rFonts w:hint="eastAsia"/>
          <w:bCs w:val="0"/>
          <w:color w:val="000000" w:themeColor="text1"/>
          <w:sz w:val="28"/>
          <w:szCs w:val="28"/>
        </w:rPr>
        <w:t>好坏各异</w:t>
      </w:r>
    </w:p>
    <w:p w:rsidR="00DE03D4" w:rsidRDefault="00DE03D4" w:rsidP="00DE03D4"/>
    <w:p w:rsidR="00DE03D4" w:rsidRDefault="00DE03D4" w:rsidP="00DE03D4">
      <w:pPr>
        <w:pStyle w:val="3"/>
        <w:rPr>
          <w:color w:val="000000" w:themeColor="text1"/>
          <w:sz w:val="21"/>
          <w:szCs w:val="21"/>
        </w:rPr>
      </w:pPr>
      <w:r w:rsidRPr="00DE03D4">
        <w:rPr>
          <w:rFonts w:hint="eastAsia"/>
          <w:color w:val="000000" w:themeColor="text1"/>
          <w:sz w:val="21"/>
          <w:szCs w:val="21"/>
        </w:rPr>
        <w:t>一、全球制造业</w:t>
      </w:r>
      <w:r w:rsidRPr="00DE03D4">
        <w:rPr>
          <w:rFonts w:hint="eastAsia"/>
          <w:color w:val="000000" w:themeColor="text1"/>
          <w:sz w:val="21"/>
          <w:szCs w:val="21"/>
        </w:rPr>
        <w:t>10</w:t>
      </w:r>
      <w:r w:rsidRPr="00DE03D4">
        <w:rPr>
          <w:rFonts w:hint="eastAsia"/>
          <w:color w:val="000000" w:themeColor="text1"/>
          <w:sz w:val="21"/>
          <w:szCs w:val="21"/>
        </w:rPr>
        <w:t>月份表现不佳</w:t>
      </w:r>
    </w:p>
    <w:p w:rsidR="006B4993" w:rsidRDefault="00DE59D7" w:rsidP="00DE59D7">
      <w:pPr>
        <w:jc w:val="center"/>
      </w:pPr>
      <w:r w:rsidRPr="00DE59D7">
        <w:rPr>
          <w:noProof/>
        </w:rPr>
        <w:drawing>
          <wp:inline distT="0" distB="0" distL="0" distR="0">
            <wp:extent cx="5486400" cy="3587750"/>
            <wp:effectExtent l="19050" t="0" r="0" b="0"/>
            <wp:docPr id="239" name="图片 8"/>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5" cstate="print"/>
                    <a:stretch>
                      <a:fillRect/>
                    </a:stretch>
                  </pic:blipFill>
                  <pic:spPr>
                    <a:xfrm>
                      <a:off x="0" y="0"/>
                      <a:ext cx="5486400" cy="3587750"/>
                    </a:xfrm>
                    <a:prstGeom prst="rect">
                      <a:avLst/>
                    </a:prstGeom>
                  </pic:spPr>
                </pic:pic>
              </a:graphicData>
            </a:graphic>
          </wp:inline>
        </w:drawing>
      </w:r>
    </w:p>
    <w:p w:rsidR="00E82FA3" w:rsidRDefault="00E82FA3" w:rsidP="00E82FA3">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2-1</w:t>
      </w:r>
      <w:r w:rsidRPr="00400A2B">
        <w:rPr>
          <w:rFonts w:ascii="Times New Roman" w:hAnsi="Times New Roman" w:hint="eastAsia"/>
          <w:b/>
          <w:szCs w:val="21"/>
        </w:rPr>
        <w:t>：</w:t>
      </w:r>
      <w:r>
        <w:rPr>
          <w:rFonts w:ascii="Times New Roman" w:hAnsi="Times New Roman" w:hint="eastAsia"/>
          <w:b/>
          <w:szCs w:val="21"/>
        </w:rPr>
        <w:t>2008-2014</w:t>
      </w:r>
      <w:r>
        <w:rPr>
          <w:rFonts w:ascii="Times New Roman" w:hAnsi="Times New Roman" w:hint="eastAsia"/>
          <w:b/>
          <w:szCs w:val="21"/>
        </w:rPr>
        <w:t>年四大</w:t>
      </w:r>
      <w:proofErr w:type="gramStart"/>
      <w:r>
        <w:rPr>
          <w:rFonts w:ascii="Times New Roman" w:hAnsi="Times New Roman" w:hint="eastAsia"/>
          <w:b/>
          <w:szCs w:val="21"/>
        </w:rPr>
        <w:t>经济体制造业</w:t>
      </w:r>
      <w:proofErr w:type="gramEnd"/>
      <w:r>
        <w:rPr>
          <w:rFonts w:ascii="Times New Roman" w:hAnsi="Times New Roman" w:hint="eastAsia"/>
          <w:b/>
          <w:szCs w:val="21"/>
        </w:rPr>
        <w:t>PMI</w:t>
      </w:r>
      <w:r>
        <w:rPr>
          <w:rFonts w:ascii="Times New Roman" w:hAnsi="Times New Roman" w:hint="eastAsia"/>
          <w:b/>
          <w:szCs w:val="21"/>
        </w:rPr>
        <w:t>指数变化</w:t>
      </w:r>
    </w:p>
    <w:p w:rsidR="00E82FA3" w:rsidRDefault="00E82FA3" w:rsidP="00E82FA3">
      <w:pPr>
        <w:spacing w:line="360" w:lineRule="auto"/>
        <w:ind w:firstLineChars="200" w:firstLine="442"/>
        <w:jc w:val="center"/>
        <w:rPr>
          <w:rFonts w:ascii="Times New Roman" w:hAnsi="Times New Roman"/>
          <w:b/>
          <w:szCs w:val="21"/>
        </w:rPr>
      </w:pPr>
      <w:r w:rsidRPr="00477DD1">
        <w:rPr>
          <w:rFonts w:ascii="Times New Roman" w:hAnsi="Times New Roman"/>
          <w:b/>
          <w:szCs w:val="21"/>
        </w:rPr>
        <w:t>资料来源：</w:t>
      </w:r>
      <w:r>
        <w:rPr>
          <w:rFonts w:ascii="Times New Roman" w:hAnsi="Times New Roman" w:hint="eastAsia"/>
          <w:b/>
          <w:szCs w:val="21"/>
        </w:rPr>
        <w:t>WIND</w:t>
      </w:r>
      <w:r>
        <w:rPr>
          <w:rFonts w:ascii="Times New Roman" w:hAnsi="Times New Roman" w:hint="eastAsia"/>
          <w:b/>
          <w:szCs w:val="21"/>
        </w:rPr>
        <w:t>资讯</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DE59D7" w:rsidRPr="00E82FA3" w:rsidRDefault="00DE59D7" w:rsidP="00DE59D7">
      <w:pPr>
        <w:jc w:val="center"/>
      </w:pPr>
    </w:p>
    <w:p w:rsidR="00DE03D4" w:rsidRPr="00536EAD" w:rsidRDefault="00DE03D4"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10月</w:t>
      </w:r>
      <w:r w:rsidR="00CA7689" w:rsidRPr="00536EAD">
        <w:rPr>
          <w:rFonts w:ascii="新宋体" w:eastAsia="新宋体" w:hAnsi="新宋体" w:cs="Arial" w:hint="eastAsia"/>
          <w:color w:val="796A4F"/>
          <w:sz w:val="21"/>
          <w:szCs w:val="21"/>
        </w:rPr>
        <w:t>份</w:t>
      </w:r>
      <w:r w:rsidRPr="00536EAD">
        <w:rPr>
          <w:rFonts w:ascii="新宋体" w:eastAsia="新宋体" w:hAnsi="新宋体" w:cs="Arial" w:hint="eastAsia"/>
          <w:color w:val="796A4F"/>
          <w:sz w:val="21"/>
          <w:szCs w:val="21"/>
        </w:rPr>
        <w:t>全球制造业活动</w:t>
      </w:r>
      <w:r w:rsidR="00CA7689" w:rsidRPr="00536EAD">
        <w:rPr>
          <w:rFonts w:ascii="新宋体" w:eastAsia="新宋体" w:hAnsi="新宋体" w:cs="Arial" w:hint="eastAsia"/>
          <w:color w:val="796A4F"/>
          <w:sz w:val="21"/>
          <w:szCs w:val="21"/>
        </w:rPr>
        <w:t>仍然表现</w:t>
      </w:r>
      <w:r w:rsidRPr="00536EAD">
        <w:rPr>
          <w:rFonts w:ascii="新宋体" w:eastAsia="新宋体" w:hAnsi="新宋体" w:cs="Arial" w:hint="eastAsia"/>
          <w:color w:val="796A4F"/>
          <w:sz w:val="21"/>
          <w:szCs w:val="21"/>
        </w:rPr>
        <w:t>平缓</w:t>
      </w:r>
      <w:r w:rsidR="00CA7689" w:rsidRPr="00536EAD">
        <w:rPr>
          <w:rFonts w:ascii="新宋体" w:eastAsia="新宋体" w:hAnsi="新宋体" w:cs="Arial" w:hint="eastAsia"/>
          <w:color w:val="796A4F"/>
          <w:sz w:val="21"/>
          <w:szCs w:val="21"/>
        </w:rPr>
        <w:t>增长或局部地区萎缩</w:t>
      </w:r>
      <w:r w:rsidRPr="00536EAD">
        <w:rPr>
          <w:rFonts w:ascii="新宋体" w:eastAsia="新宋体" w:hAnsi="新宋体" w:cs="Arial" w:hint="eastAsia"/>
          <w:color w:val="796A4F"/>
          <w:sz w:val="21"/>
          <w:szCs w:val="21"/>
        </w:rPr>
        <w:t>，</w:t>
      </w:r>
      <w:proofErr w:type="gramStart"/>
      <w:r w:rsidRPr="00536EAD">
        <w:rPr>
          <w:rFonts w:ascii="新宋体" w:eastAsia="新宋体" w:hAnsi="新宋体" w:cs="Arial" w:hint="eastAsia"/>
          <w:color w:val="796A4F"/>
          <w:sz w:val="21"/>
          <w:szCs w:val="21"/>
        </w:rPr>
        <w:t>凸</w:t>
      </w:r>
      <w:proofErr w:type="gramEnd"/>
      <w:r w:rsidRPr="00536EAD">
        <w:rPr>
          <w:rFonts w:ascii="新宋体" w:eastAsia="新宋体" w:hAnsi="新宋体" w:cs="Arial" w:hint="eastAsia"/>
          <w:color w:val="796A4F"/>
          <w:sz w:val="21"/>
          <w:szCs w:val="21"/>
        </w:rPr>
        <w:t>显出持续经济刺激政策的必要性，尤其是在欧洲。尽管摩根大通全球制造业PMI</w:t>
      </w:r>
      <w:r w:rsidR="00CA7689" w:rsidRPr="00536EAD">
        <w:rPr>
          <w:rFonts w:ascii="新宋体" w:eastAsia="新宋体" w:hAnsi="新宋体" w:cs="Arial" w:hint="eastAsia"/>
          <w:color w:val="796A4F"/>
          <w:sz w:val="21"/>
          <w:szCs w:val="21"/>
        </w:rPr>
        <w:t>指数在</w:t>
      </w:r>
      <w:r w:rsidRPr="00536EAD">
        <w:rPr>
          <w:rFonts w:ascii="新宋体" w:eastAsia="新宋体" w:hAnsi="新宋体" w:cs="Arial" w:hint="eastAsia"/>
          <w:color w:val="796A4F"/>
          <w:sz w:val="21"/>
          <w:szCs w:val="21"/>
        </w:rPr>
        <w:t>10月企稳</w:t>
      </w:r>
      <w:r w:rsidR="00CA7689" w:rsidRPr="00536EAD">
        <w:rPr>
          <w:rFonts w:ascii="新宋体" w:eastAsia="新宋体" w:hAnsi="新宋体" w:cs="Arial" w:hint="eastAsia"/>
          <w:color w:val="796A4F"/>
          <w:sz w:val="21"/>
          <w:szCs w:val="21"/>
        </w:rPr>
        <w:t>于</w:t>
      </w:r>
      <w:r w:rsidRPr="00536EAD">
        <w:rPr>
          <w:rFonts w:ascii="新宋体" w:eastAsia="新宋体" w:hAnsi="新宋体" w:cs="Arial" w:hint="eastAsia"/>
          <w:color w:val="796A4F"/>
          <w:sz w:val="21"/>
          <w:szCs w:val="21"/>
        </w:rPr>
        <w:t>52.2，同9月持平，但这也是今年以来的最低位，显示出制造业活动扩张缓慢。从</w:t>
      </w:r>
      <w:r w:rsidR="00E82FA3" w:rsidRPr="00536EAD">
        <w:rPr>
          <w:rFonts w:ascii="新宋体" w:eastAsia="新宋体" w:hAnsi="新宋体" w:cs="Arial" w:hint="eastAsia"/>
          <w:color w:val="796A4F"/>
          <w:sz w:val="21"/>
          <w:szCs w:val="21"/>
        </w:rPr>
        <w:t>10月</w:t>
      </w:r>
      <w:r w:rsidRPr="00536EAD">
        <w:rPr>
          <w:rFonts w:ascii="新宋体" w:eastAsia="新宋体" w:hAnsi="新宋体" w:cs="Arial" w:hint="eastAsia"/>
          <w:color w:val="796A4F"/>
          <w:sz w:val="21"/>
          <w:szCs w:val="21"/>
        </w:rPr>
        <w:t>到年末，全球制造业PMI继续预示着制造业产出将有3~4</w:t>
      </w:r>
      <w:r w:rsidR="00E82FA3" w:rsidRPr="00536EAD">
        <w:rPr>
          <w:rFonts w:ascii="新宋体" w:eastAsia="新宋体" w:hAnsi="新宋体" w:cs="Arial" w:hint="eastAsia"/>
          <w:color w:val="796A4F"/>
          <w:sz w:val="21"/>
          <w:szCs w:val="21"/>
        </w:rPr>
        <w:t>个百分点的年收益。</w:t>
      </w:r>
    </w:p>
    <w:p w:rsidR="00DE03D4" w:rsidRPr="00536EAD" w:rsidRDefault="00DE03D4"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lastRenderedPageBreak/>
        <w:t>亚洲地区制造业表现疲软，中国10月官方制造业PMI创5个月新低，韩国位于4个月低点，印度尼西亚则跌至14个月来的最低点。中国经济仍存在下行压力，央行的货币政策仍将保持宽松。这是中国经济艰难的一年。日本央行</w:t>
      </w:r>
      <w:r w:rsidR="00E82FA3" w:rsidRPr="00536EAD">
        <w:rPr>
          <w:rFonts w:ascii="新宋体" w:eastAsia="新宋体" w:hAnsi="新宋体" w:cs="Arial" w:hint="eastAsia"/>
          <w:color w:val="796A4F"/>
          <w:sz w:val="21"/>
          <w:szCs w:val="21"/>
        </w:rPr>
        <w:t>做</w:t>
      </w:r>
      <w:r w:rsidRPr="00536EAD">
        <w:rPr>
          <w:rFonts w:ascii="新宋体" w:eastAsia="新宋体" w:hAnsi="新宋体" w:cs="Arial" w:hint="eastAsia"/>
          <w:color w:val="796A4F"/>
          <w:sz w:val="21"/>
          <w:szCs w:val="21"/>
        </w:rPr>
        <w:t>出的扩大宽松货币政策，将年度资产购买规模从目前的60</w:t>
      </w:r>
      <w:proofErr w:type="gramStart"/>
      <w:r w:rsidRPr="00536EAD">
        <w:rPr>
          <w:rFonts w:ascii="新宋体" w:eastAsia="新宋体" w:hAnsi="新宋体" w:cs="Arial" w:hint="eastAsia"/>
          <w:color w:val="796A4F"/>
          <w:sz w:val="21"/>
          <w:szCs w:val="21"/>
        </w:rPr>
        <w:t>万亿</w:t>
      </w:r>
      <w:proofErr w:type="gramEnd"/>
      <w:r w:rsidRPr="00536EAD">
        <w:rPr>
          <w:rFonts w:ascii="新宋体" w:eastAsia="新宋体" w:hAnsi="新宋体" w:cs="Arial" w:hint="eastAsia"/>
          <w:color w:val="796A4F"/>
          <w:sz w:val="21"/>
          <w:szCs w:val="21"/>
        </w:rPr>
        <w:t>~70</w:t>
      </w:r>
      <w:proofErr w:type="gramStart"/>
      <w:r w:rsidRPr="00536EAD">
        <w:rPr>
          <w:rFonts w:ascii="新宋体" w:eastAsia="新宋体" w:hAnsi="新宋体" w:cs="Arial" w:hint="eastAsia"/>
          <w:color w:val="796A4F"/>
          <w:sz w:val="21"/>
          <w:szCs w:val="21"/>
        </w:rPr>
        <w:t>万亿</w:t>
      </w:r>
      <w:proofErr w:type="gramEnd"/>
      <w:r w:rsidRPr="00536EAD">
        <w:rPr>
          <w:rFonts w:ascii="新宋体" w:eastAsia="新宋体" w:hAnsi="新宋体" w:cs="Arial" w:hint="eastAsia"/>
          <w:color w:val="796A4F"/>
          <w:sz w:val="21"/>
          <w:szCs w:val="21"/>
        </w:rPr>
        <w:t>日元增至80</w:t>
      </w:r>
      <w:proofErr w:type="gramStart"/>
      <w:r w:rsidRPr="00536EAD">
        <w:rPr>
          <w:rFonts w:ascii="新宋体" w:eastAsia="新宋体" w:hAnsi="新宋体" w:cs="Arial" w:hint="eastAsia"/>
          <w:color w:val="796A4F"/>
          <w:sz w:val="21"/>
          <w:szCs w:val="21"/>
        </w:rPr>
        <w:t>万亿</w:t>
      </w:r>
      <w:proofErr w:type="gramEnd"/>
      <w:r w:rsidRPr="00536EAD">
        <w:rPr>
          <w:rFonts w:ascii="新宋体" w:eastAsia="新宋体" w:hAnsi="新宋体" w:cs="Arial" w:hint="eastAsia"/>
          <w:color w:val="796A4F"/>
          <w:sz w:val="21"/>
          <w:szCs w:val="21"/>
        </w:rPr>
        <w:t>日元的决定将为之蒙上阴影。亚洲少有的亮点在印度。汇丰10月印度制造业PMI从上个月的51.0增长至51.6，维持连续12个月扩张。</w:t>
      </w:r>
    </w:p>
    <w:p w:rsidR="00DE03D4" w:rsidRPr="00536EAD" w:rsidRDefault="00DE03D4"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欧元区10月制造业PMI扩张速度</w:t>
      </w:r>
      <w:r w:rsidR="00CA7689" w:rsidRPr="00536EAD">
        <w:rPr>
          <w:rFonts w:ascii="新宋体" w:eastAsia="新宋体" w:hAnsi="新宋体" w:cs="Arial" w:hint="eastAsia"/>
          <w:color w:val="796A4F"/>
          <w:sz w:val="21"/>
          <w:szCs w:val="21"/>
        </w:rPr>
        <w:t>差异太大</w:t>
      </w:r>
      <w:r w:rsidRPr="00536EAD">
        <w:rPr>
          <w:rFonts w:ascii="新宋体" w:eastAsia="新宋体" w:hAnsi="新宋体" w:cs="Arial" w:hint="eastAsia"/>
          <w:color w:val="796A4F"/>
          <w:sz w:val="21"/>
          <w:szCs w:val="21"/>
        </w:rPr>
        <w:t>，各国制造业发展不均衡现象加剧，制造业短期内难以对该地区经济增速带来提振。10月欧元区内，德国制造业不温不火的扩张，伴随着法国和意大利等国的收缩，令力阻通缩的欧洲央行感到不安。某种形式的量化宽松，或者购买政府或企业债券，是欧洲央行对抗欧元区通缩风险、重</w:t>
      </w:r>
      <w:proofErr w:type="gramStart"/>
      <w:r w:rsidRPr="00536EAD">
        <w:rPr>
          <w:rFonts w:ascii="新宋体" w:eastAsia="新宋体" w:hAnsi="新宋体" w:cs="Arial" w:hint="eastAsia"/>
          <w:color w:val="796A4F"/>
          <w:sz w:val="21"/>
          <w:szCs w:val="21"/>
        </w:rPr>
        <w:t>燃经济</w:t>
      </w:r>
      <w:proofErr w:type="gramEnd"/>
      <w:r w:rsidRPr="00536EAD">
        <w:rPr>
          <w:rFonts w:ascii="新宋体" w:eastAsia="新宋体" w:hAnsi="新宋体" w:cs="Arial" w:hint="eastAsia"/>
          <w:color w:val="796A4F"/>
          <w:sz w:val="21"/>
          <w:szCs w:val="21"/>
        </w:rPr>
        <w:t>增长引擎的最后的政策选择之一。根据</w:t>
      </w:r>
      <w:proofErr w:type="spellStart"/>
      <w:r w:rsidRPr="00536EAD">
        <w:rPr>
          <w:rFonts w:ascii="新宋体" w:eastAsia="新宋体" w:hAnsi="新宋体" w:cs="Arial" w:hint="eastAsia"/>
          <w:color w:val="796A4F"/>
          <w:sz w:val="21"/>
          <w:szCs w:val="21"/>
        </w:rPr>
        <w:t>Markit</w:t>
      </w:r>
      <w:proofErr w:type="spellEnd"/>
      <w:r w:rsidRPr="00536EAD">
        <w:rPr>
          <w:rFonts w:ascii="新宋体" w:eastAsia="新宋体" w:hAnsi="新宋体" w:cs="Arial" w:hint="eastAsia"/>
          <w:color w:val="796A4F"/>
          <w:sz w:val="21"/>
          <w:szCs w:val="21"/>
        </w:rPr>
        <w:t>的调查数据，10月欧元区制造业PMI为50.6，比9月的50.3高出0.3个百分点，低于此前预期的50.7。</w:t>
      </w:r>
    </w:p>
    <w:p w:rsidR="00DE03D4" w:rsidRPr="00536EAD" w:rsidRDefault="00DE03D4"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在今年最后一个季度的开端，欧元区制造业表现仍然呈现</w:t>
      </w:r>
      <w:r w:rsidR="00E82FA3" w:rsidRPr="00536EAD">
        <w:rPr>
          <w:rFonts w:ascii="新宋体" w:eastAsia="新宋体" w:hAnsi="新宋体" w:cs="Arial" w:hint="eastAsia"/>
          <w:color w:val="796A4F"/>
          <w:sz w:val="21"/>
          <w:szCs w:val="21"/>
        </w:rPr>
        <w:t>不振</w:t>
      </w:r>
      <w:r w:rsidRPr="00536EAD">
        <w:rPr>
          <w:rFonts w:ascii="新宋体" w:eastAsia="新宋体" w:hAnsi="新宋体" w:cs="Arial" w:hint="eastAsia"/>
          <w:color w:val="796A4F"/>
          <w:sz w:val="21"/>
          <w:szCs w:val="21"/>
        </w:rPr>
        <w:t>。制造业不可能为欧元区疲软的GDP提供任何有意义的推动力。德国制造业恢复了温和增长的步伐，但由于俄罗斯遭受制裁和总体经济增速的放缓，制造业新订单连续第二个月小幅下滑。德国10月制造业PMI为51.4，低于预期的51.8，初值为51.8。调查显示，法国10月制造业活动以比9月更快的速度收缩，PMI为48.5，意大利则为49.0，低于预期50.6，放缓至17个月来的最低。英国10月制造业活动以3个月来最快的速度扩张，但仍受到了欧元</w:t>
      </w:r>
      <w:proofErr w:type="gramStart"/>
      <w:r w:rsidRPr="00536EAD">
        <w:rPr>
          <w:rFonts w:ascii="新宋体" w:eastAsia="新宋体" w:hAnsi="新宋体" w:cs="Arial" w:hint="eastAsia"/>
          <w:color w:val="796A4F"/>
          <w:sz w:val="21"/>
          <w:szCs w:val="21"/>
        </w:rPr>
        <w:t>区需求</w:t>
      </w:r>
      <w:proofErr w:type="gramEnd"/>
      <w:r w:rsidRPr="00536EAD">
        <w:rPr>
          <w:rFonts w:ascii="新宋体" w:eastAsia="新宋体" w:hAnsi="新宋体" w:cs="Arial" w:hint="eastAsia"/>
          <w:color w:val="796A4F"/>
          <w:sz w:val="21"/>
          <w:szCs w:val="21"/>
        </w:rPr>
        <w:t>疲软、出口增速放缓的影响。</w:t>
      </w:r>
    </w:p>
    <w:p w:rsidR="00DE03D4" w:rsidRPr="00536EAD" w:rsidRDefault="00DE03D4" w:rsidP="00536EAD">
      <w:pPr>
        <w:pStyle w:val="ad"/>
        <w:spacing w:beforeLines="50" w:after="50"/>
        <w:ind w:firstLineChars="200" w:firstLine="420"/>
        <w:rPr>
          <w:rFonts w:ascii="新宋体" w:eastAsia="新宋体" w:hAnsi="新宋体" w:cs="Arial"/>
          <w:color w:val="796A4F"/>
          <w:sz w:val="21"/>
          <w:szCs w:val="21"/>
        </w:rPr>
      </w:pPr>
      <w:proofErr w:type="spellStart"/>
      <w:r w:rsidRPr="00536EAD">
        <w:rPr>
          <w:rFonts w:ascii="新宋体" w:eastAsia="新宋体" w:hAnsi="新宋体" w:cs="Arial" w:hint="eastAsia"/>
          <w:color w:val="796A4F"/>
          <w:sz w:val="21"/>
          <w:szCs w:val="21"/>
        </w:rPr>
        <w:t>Markit</w:t>
      </w:r>
      <w:proofErr w:type="spellEnd"/>
      <w:r w:rsidRPr="00536EAD">
        <w:rPr>
          <w:rFonts w:ascii="新宋体" w:eastAsia="新宋体" w:hAnsi="新宋体" w:cs="Arial" w:hint="eastAsia"/>
          <w:color w:val="796A4F"/>
          <w:sz w:val="21"/>
          <w:szCs w:val="21"/>
        </w:rPr>
        <w:t>美国10月制造业活动放缓，但根据美国供应管理协会（ISM），当月美国制造业以3年半以来最快的速度扩张。</w:t>
      </w:r>
      <w:proofErr w:type="spellStart"/>
      <w:r w:rsidRPr="00536EAD">
        <w:rPr>
          <w:rFonts w:ascii="新宋体" w:eastAsia="新宋体" w:hAnsi="新宋体" w:cs="Arial" w:hint="eastAsia"/>
          <w:color w:val="796A4F"/>
          <w:sz w:val="21"/>
          <w:szCs w:val="21"/>
        </w:rPr>
        <w:t>Markit</w:t>
      </w:r>
      <w:proofErr w:type="spellEnd"/>
      <w:r w:rsidRPr="00536EAD">
        <w:rPr>
          <w:rFonts w:ascii="新宋体" w:eastAsia="新宋体" w:hAnsi="新宋体" w:cs="Arial" w:hint="eastAsia"/>
          <w:color w:val="796A4F"/>
          <w:sz w:val="21"/>
          <w:szCs w:val="21"/>
        </w:rPr>
        <w:t>美国</w:t>
      </w:r>
      <w:r w:rsidR="00E82FA3" w:rsidRPr="00536EAD">
        <w:rPr>
          <w:rFonts w:ascii="新宋体" w:eastAsia="新宋体" w:hAnsi="新宋体" w:cs="Arial" w:hint="eastAsia"/>
          <w:color w:val="796A4F"/>
          <w:sz w:val="21"/>
          <w:szCs w:val="21"/>
        </w:rPr>
        <w:t>10月</w:t>
      </w:r>
      <w:r w:rsidRPr="00536EAD">
        <w:rPr>
          <w:rFonts w:ascii="新宋体" w:eastAsia="新宋体" w:hAnsi="新宋体" w:cs="Arial" w:hint="eastAsia"/>
          <w:color w:val="796A4F"/>
          <w:sz w:val="21"/>
          <w:szCs w:val="21"/>
        </w:rPr>
        <w:t>制造业PMI终值从上月的57.5跌至55.9，在第四季度开始，美国丧失了一些复苏强度，反映了欧元区和重要新兴市场出口需求的减弱。ISM数据显示，美国10月制造业PMI从9月的56.6增长到了59，和8月创下的纪录水平持平，也是自2011年3月以来的最高点。</w:t>
      </w:r>
      <w:r w:rsidR="00E82FA3" w:rsidRPr="00536EAD">
        <w:rPr>
          <w:rFonts w:ascii="新宋体" w:eastAsia="新宋体" w:hAnsi="新宋体" w:cs="Arial" w:hint="eastAsia"/>
          <w:color w:val="796A4F"/>
          <w:sz w:val="21"/>
          <w:szCs w:val="21"/>
        </w:rPr>
        <w:t>美国制造业</w:t>
      </w:r>
      <w:r w:rsidRPr="00536EAD">
        <w:rPr>
          <w:rFonts w:ascii="新宋体" w:eastAsia="新宋体" w:hAnsi="新宋体" w:cs="Arial" w:hint="eastAsia"/>
          <w:color w:val="796A4F"/>
          <w:sz w:val="21"/>
          <w:szCs w:val="21"/>
        </w:rPr>
        <w:t>总体增长前景仍然有弹性，内需的潜力明显大于外部的不利因素。加拿大和墨西哥制造业10月表现尚佳，加拿大制造业PMI经季节性因素调整后从上月的53.5上升至55.3，创下2013年11月来的最高值。墨西哥则从9月的52.6升至53.3。墨西哥主要出口制成品，有近80%都出口到美国，有分析师认为今年墨西哥经济在开局较弱的情况下将重拾增速，预计该国今年增速达到2.5%。</w:t>
      </w:r>
    </w:p>
    <w:p w:rsidR="00E82FA3" w:rsidRPr="00536EAD" w:rsidRDefault="00E82FA3"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我们认为，世界最主要的经济体在10月制造业扩张方面表现的十分缓慢，而欧洲主要国家呈现萎缩状况，因此第四季度全球制造业扩张态势并不乐观，这对于期货市场，尤其是工业品期货市场将形成较为直接的利空。</w:t>
      </w:r>
    </w:p>
    <w:p w:rsidR="004A20F8" w:rsidRPr="0031240F" w:rsidRDefault="007F2712" w:rsidP="004A20F8">
      <w:pPr>
        <w:pStyle w:val="3"/>
        <w:rPr>
          <w:color w:val="000000" w:themeColor="text1"/>
          <w:sz w:val="21"/>
          <w:szCs w:val="21"/>
        </w:rPr>
      </w:pPr>
      <w:bookmarkStart w:id="0" w:name="_Toc320518403"/>
      <w:bookmarkStart w:id="1" w:name="_Toc320602086"/>
      <w:bookmarkStart w:id="2" w:name="_Toc320606432"/>
      <w:bookmarkStart w:id="3" w:name="_Toc322521940"/>
      <w:bookmarkStart w:id="4" w:name="_Toc322676535"/>
      <w:bookmarkStart w:id="5" w:name="_Toc322676616"/>
      <w:bookmarkStart w:id="6" w:name="_Toc322956309"/>
      <w:bookmarkStart w:id="7" w:name="_Toc323021765"/>
      <w:bookmarkStart w:id="8" w:name="_Toc323029862"/>
      <w:bookmarkStart w:id="9" w:name="_Toc324837588"/>
      <w:bookmarkStart w:id="10" w:name="_Toc325017576"/>
      <w:bookmarkStart w:id="11" w:name="_Toc397077879"/>
      <w:r>
        <w:rPr>
          <w:rFonts w:hint="eastAsia"/>
          <w:color w:val="000000" w:themeColor="text1"/>
          <w:sz w:val="21"/>
          <w:szCs w:val="21"/>
        </w:rPr>
        <w:t>二</w:t>
      </w:r>
      <w:r w:rsidR="004A20F8" w:rsidRPr="0031240F">
        <w:rPr>
          <w:rFonts w:hint="eastAsia"/>
          <w:color w:val="000000" w:themeColor="text1"/>
          <w:sz w:val="21"/>
          <w:szCs w:val="21"/>
        </w:rPr>
        <w:t>、</w:t>
      </w:r>
      <w:bookmarkEnd w:id="0"/>
      <w:bookmarkEnd w:id="1"/>
      <w:bookmarkEnd w:id="2"/>
      <w:bookmarkEnd w:id="3"/>
      <w:bookmarkEnd w:id="4"/>
      <w:bookmarkEnd w:id="5"/>
      <w:bookmarkEnd w:id="6"/>
      <w:bookmarkEnd w:id="7"/>
      <w:bookmarkEnd w:id="8"/>
      <w:bookmarkEnd w:id="9"/>
      <w:bookmarkEnd w:id="10"/>
      <w:bookmarkEnd w:id="11"/>
      <w:r w:rsidR="004A20F8">
        <w:rPr>
          <w:rFonts w:hint="eastAsia"/>
          <w:color w:val="000000" w:themeColor="text1"/>
          <w:sz w:val="21"/>
          <w:szCs w:val="21"/>
        </w:rPr>
        <w:t>美</w:t>
      </w:r>
      <w:r w:rsidR="004A20F8" w:rsidRPr="0031240F">
        <w:rPr>
          <w:rFonts w:hint="eastAsia"/>
          <w:color w:val="000000" w:themeColor="text1"/>
          <w:sz w:val="21"/>
          <w:szCs w:val="21"/>
        </w:rPr>
        <w:t>国</w:t>
      </w:r>
      <w:r>
        <w:rPr>
          <w:rFonts w:hint="eastAsia"/>
          <w:color w:val="000000" w:themeColor="text1"/>
          <w:sz w:val="21"/>
          <w:szCs w:val="21"/>
        </w:rPr>
        <w:t>第三季度经济增长放缓</w:t>
      </w:r>
    </w:p>
    <w:tbl>
      <w:tblPr>
        <w:tblW w:w="0" w:type="auto"/>
        <w:jc w:val="center"/>
        <w:tblInd w:w="539" w:type="dxa"/>
        <w:tblBorders>
          <w:insideH w:val="single" w:sz="4" w:space="0" w:color="000000"/>
          <w:insideV w:val="single" w:sz="4" w:space="0" w:color="000000"/>
        </w:tblBorders>
        <w:tblLook w:val="04A0"/>
      </w:tblPr>
      <w:tblGrid>
        <w:gridCol w:w="8886"/>
      </w:tblGrid>
      <w:tr w:rsidR="004A20F8" w:rsidRPr="00097749" w:rsidTr="0004747A">
        <w:trPr>
          <w:jc w:val="center"/>
        </w:trPr>
        <w:tc>
          <w:tcPr>
            <w:tcW w:w="8886" w:type="dxa"/>
          </w:tcPr>
          <w:p w:rsidR="004A20F8" w:rsidRDefault="004A20F8" w:rsidP="005B3E06">
            <w:pPr>
              <w:rPr>
                <w:szCs w:val="21"/>
              </w:rPr>
            </w:pPr>
          </w:p>
          <w:p w:rsidR="00CA7689" w:rsidRDefault="00DE59D7" w:rsidP="005B3E06">
            <w:pPr>
              <w:rPr>
                <w:szCs w:val="21"/>
              </w:rPr>
            </w:pPr>
            <w:r w:rsidRPr="00DE59D7">
              <w:rPr>
                <w:noProof/>
                <w:szCs w:val="21"/>
              </w:rPr>
              <w:lastRenderedPageBreak/>
              <w:drawing>
                <wp:inline distT="0" distB="0" distL="0" distR="0">
                  <wp:extent cx="5486400" cy="3176270"/>
                  <wp:effectExtent l="19050" t="0" r="0" b="0"/>
                  <wp:docPr id="30" name="图片 1"/>
                  <wp:cNvGraphicFramePr/>
                  <a:graphic xmlns:a="http://schemas.openxmlformats.org/drawingml/2006/main">
                    <a:graphicData uri="http://schemas.openxmlformats.org/drawingml/2006/picture">
                      <pic:pic xmlns:pic="http://schemas.openxmlformats.org/drawingml/2006/picture">
                        <pic:nvPicPr>
                          <pic:cNvPr id="181" name="图片 180"/>
                          <pic:cNvPicPr>
                            <a:picLocks noChangeAspect="1"/>
                          </pic:cNvPicPr>
                        </pic:nvPicPr>
                        <pic:blipFill>
                          <a:blip r:embed="rId26" cstate="print"/>
                          <a:stretch>
                            <a:fillRect/>
                          </a:stretch>
                        </pic:blipFill>
                        <pic:spPr>
                          <a:xfrm>
                            <a:off x="0" y="0"/>
                            <a:ext cx="5486400" cy="3176270"/>
                          </a:xfrm>
                          <a:prstGeom prst="rect">
                            <a:avLst/>
                          </a:prstGeom>
                        </pic:spPr>
                      </pic:pic>
                    </a:graphicData>
                  </a:graphic>
                </wp:inline>
              </w:drawing>
            </w:r>
          </w:p>
          <w:p w:rsidR="00CA7689" w:rsidRDefault="00CA7689" w:rsidP="00CA7689">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2-2</w:t>
            </w:r>
            <w:r w:rsidRPr="00400A2B">
              <w:rPr>
                <w:rFonts w:ascii="Times New Roman" w:hAnsi="Times New Roman" w:hint="eastAsia"/>
                <w:b/>
                <w:szCs w:val="21"/>
              </w:rPr>
              <w:t>：</w:t>
            </w:r>
            <w:r>
              <w:rPr>
                <w:rFonts w:ascii="Times New Roman" w:hAnsi="Times New Roman" w:hint="eastAsia"/>
                <w:b/>
                <w:szCs w:val="21"/>
              </w:rPr>
              <w:t>200</w:t>
            </w:r>
            <w:r w:rsidR="005B3E06">
              <w:rPr>
                <w:rFonts w:ascii="Times New Roman" w:hAnsi="Times New Roman" w:hint="eastAsia"/>
                <w:b/>
                <w:szCs w:val="21"/>
              </w:rPr>
              <w:t>4</w:t>
            </w:r>
            <w:r>
              <w:rPr>
                <w:rFonts w:ascii="Times New Roman" w:hAnsi="Times New Roman" w:hint="eastAsia"/>
                <w:b/>
                <w:szCs w:val="21"/>
              </w:rPr>
              <w:t>-2014</w:t>
            </w:r>
            <w:r>
              <w:rPr>
                <w:rFonts w:ascii="Times New Roman" w:hAnsi="Times New Roman" w:hint="eastAsia"/>
                <w:b/>
                <w:szCs w:val="21"/>
              </w:rPr>
              <w:t>年</w:t>
            </w:r>
            <w:r w:rsidR="005B3E06">
              <w:rPr>
                <w:rFonts w:ascii="Times New Roman" w:hAnsi="Times New Roman" w:hint="eastAsia"/>
                <w:b/>
                <w:szCs w:val="21"/>
              </w:rPr>
              <w:t>美国</w:t>
            </w:r>
            <w:r w:rsidR="005B3E06">
              <w:rPr>
                <w:rFonts w:ascii="Times New Roman" w:hAnsi="Times New Roman" w:hint="eastAsia"/>
                <w:b/>
                <w:szCs w:val="21"/>
              </w:rPr>
              <w:t>GDP</w:t>
            </w:r>
            <w:r w:rsidR="005B3E06">
              <w:rPr>
                <w:rFonts w:ascii="Times New Roman" w:hAnsi="Times New Roman" w:hint="eastAsia"/>
                <w:b/>
                <w:szCs w:val="21"/>
              </w:rPr>
              <w:t>环比增长及构成</w:t>
            </w:r>
            <w:r>
              <w:rPr>
                <w:rFonts w:ascii="Times New Roman" w:hAnsi="Times New Roman" w:hint="eastAsia"/>
                <w:b/>
                <w:szCs w:val="21"/>
              </w:rPr>
              <w:t>变化</w:t>
            </w:r>
          </w:p>
          <w:p w:rsidR="00CA7689" w:rsidRDefault="00CA7689" w:rsidP="00CA7689">
            <w:pPr>
              <w:spacing w:line="360" w:lineRule="auto"/>
              <w:ind w:firstLineChars="200" w:firstLine="442"/>
              <w:jc w:val="center"/>
              <w:rPr>
                <w:rFonts w:ascii="Times New Roman" w:hAnsi="Times New Roman"/>
                <w:b/>
                <w:szCs w:val="21"/>
              </w:rPr>
            </w:pPr>
            <w:r w:rsidRPr="00477DD1">
              <w:rPr>
                <w:rFonts w:ascii="Times New Roman" w:hAnsi="Times New Roman"/>
                <w:b/>
                <w:szCs w:val="21"/>
              </w:rPr>
              <w:t>资料来源：</w:t>
            </w:r>
            <w:r w:rsidR="005B3E06">
              <w:rPr>
                <w:rFonts w:ascii="Times New Roman" w:hAnsi="Times New Roman" w:hint="eastAsia"/>
                <w:b/>
                <w:szCs w:val="21"/>
              </w:rPr>
              <w:t>Bloomberg</w:t>
            </w:r>
            <w:r w:rsidR="005B3E06"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DE59D7" w:rsidRPr="00CA7689" w:rsidRDefault="00DE59D7" w:rsidP="00CA7689">
            <w:pPr>
              <w:tabs>
                <w:tab w:val="left" w:pos="2696"/>
              </w:tabs>
              <w:rPr>
                <w:szCs w:val="21"/>
              </w:rPr>
            </w:pPr>
          </w:p>
          <w:p w:rsidR="00DE59D7" w:rsidRDefault="00DE59D7" w:rsidP="005B3E06">
            <w:pPr>
              <w:rPr>
                <w:szCs w:val="21"/>
              </w:rPr>
            </w:pPr>
            <w:r w:rsidRPr="00DE59D7">
              <w:rPr>
                <w:noProof/>
                <w:szCs w:val="21"/>
              </w:rPr>
              <w:drawing>
                <wp:inline distT="0" distB="0" distL="0" distR="0">
                  <wp:extent cx="5486400" cy="3484245"/>
                  <wp:effectExtent l="19050" t="0" r="0" b="0"/>
                  <wp:docPr id="224" name="图片 2"/>
                  <wp:cNvGraphicFramePr/>
                  <a:graphic xmlns:a="http://schemas.openxmlformats.org/drawingml/2006/main">
                    <a:graphicData uri="http://schemas.openxmlformats.org/drawingml/2006/picture">
                      <pic:pic xmlns:pic="http://schemas.openxmlformats.org/drawingml/2006/picture">
                        <pic:nvPicPr>
                          <pic:cNvPr id="205" name="图片 204"/>
                          <pic:cNvPicPr>
                            <a:picLocks noChangeAspect="1"/>
                          </pic:cNvPicPr>
                        </pic:nvPicPr>
                        <pic:blipFill>
                          <a:blip r:embed="rId27" cstate="print"/>
                          <a:stretch>
                            <a:fillRect/>
                          </a:stretch>
                        </pic:blipFill>
                        <pic:spPr>
                          <a:xfrm>
                            <a:off x="0" y="0"/>
                            <a:ext cx="5486400" cy="3484245"/>
                          </a:xfrm>
                          <a:prstGeom prst="rect">
                            <a:avLst/>
                          </a:prstGeom>
                        </pic:spPr>
                      </pic:pic>
                    </a:graphicData>
                  </a:graphic>
                </wp:inline>
              </w:drawing>
            </w:r>
          </w:p>
          <w:p w:rsidR="00CA7689" w:rsidRDefault="00CA7689" w:rsidP="00CA7689">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lastRenderedPageBreak/>
              <w:t>图</w:t>
            </w:r>
            <w:r>
              <w:rPr>
                <w:rFonts w:ascii="Times New Roman" w:hAnsi="Times New Roman" w:hint="eastAsia"/>
                <w:b/>
                <w:szCs w:val="21"/>
              </w:rPr>
              <w:t>2-</w:t>
            </w:r>
            <w:r w:rsidR="005B3E06">
              <w:rPr>
                <w:rFonts w:ascii="Times New Roman" w:hAnsi="Times New Roman" w:hint="eastAsia"/>
                <w:b/>
                <w:szCs w:val="21"/>
              </w:rPr>
              <w:t>3</w:t>
            </w:r>
            <w:r w:rsidRPr="00400A2B">
              <w:rPr>
                <w:rFonts w:ascii="Times New Roman" w:hAnsi="Times New Roman" w:hint="eastAsia"/>
                <w:b/>
                <w:szCs w:val="21"/>
              </w:rPr>
              <w:t>：</w:t>
            </w:r>
            <w:r w:rsidR="005B3E06">
              <w:rPr>
                <w:rFonts w:ascii="Times New Roman" w:hAnsi="Times New Roman" w:hint="eastAsia"/>
                <w:b/>
                <w:szCs w:val="21"/>
              </w:rPr>
              <w:t xml:space="preserve"> 2014</w:t>
            </w:r>
            <w:r w:rsidR="005B3E06">
              <w:rPr>
                <w:rFonts w:ascii="Times New Roman" w:hAnsi="Times New Roman" w:hint="eastAsia"/>
                <w:b/>
                <w:szCs w:val="21"/>
              </w:rPr>
              <w:t>年第三季度美国</w:t>
            </w:r>
            <w:r w:rsidR="005B3E06">
              <w:rPr>
                <w:rFonts w:ascii="Times New Roman" w:hAnsi="Times New Roman" w:hint="eastAsia"/>
                <w:b/>
                <w:szCs w:val="21"/>
              </w:rPr>
              <w:t>GDP</w:t>
            </w:r>
            <w:r w:rsidR="005B3E06">
              <w:rPr>
                <w:rFonts w:ascii="Times New Roman" w:hAnsi="Times New Roman" w:hint="eastAsia"/>
                <w:b/>
                <w:szCs w:val="21"/>
              </w:rPr>
              <w:t>各分项内容的贡献率对比</w:t>
            </w:r>
          </w:p>
          <w:p w:rsidR="00CA7689" w:rsidRDefault="00CA7689" w:rsidP="00CA7689">
            <w:pPr>
              <w:spacing w:line="360" w:lineRule="auto"/>
              <w:ind w:firstLineChars="200" w:firstLine="442"/>
              <w:jc w:val="center"/>
              <w:rPr>
                <w:rFonts w:ascii="Times New Roman" w:hAnsi="Times New Roman"/>
                <w:b/>
                <w:szCs w:val="21"/>
              </w:rPr>
            </w:pPr>
            <w:r w:rsidRPr="00477DD1">
              <w:rPr>
                <w:rFonts w:ascii="Times New Roman" w:hAnsi="Times New Roman"/>
                <w:b/>
                <w:szCs w:val="21"/>
              </w:rPr>
              <w:t>资料来源：</w:t>
            </w:r>
            <w:r w:rsidR="005B3E06">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E42997" w:rsidRDefault="00E42997" w:rsidP="005B3E06">
            <w:pPr>
              <w:rPr>
                <w:szCs w:val="21"/>
              </w:rPr>
            </w:pPr>
          </w:p>
          <w:p w:rsidR="00E42997" w:rsidRPr="00536EAD" w:rsidRDefault="00E42997"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美国商务部数据显示，在经历第二季度4.6%的强劲增长后，美国经济表现继续好于预期，经季节性调整，第三季度美国国内生产总值(GDP)</w:t>
            </w:r>
            <w:proofErr w:type="gramStart"/>
            <w:r w:rsidRPr="00536EAD">
              <w:rPr>
                <w:rFonts w:ascii="新宋体" w:eastAsia="新宋体" w:hAnsi="新宋体" w:cs="Arial" w:hint="eastAsia"/>
                <w:color w:val="796A4F"/>
                <w:sz w:val="21"/>
                <w:szCs w:val="21"/>
              </w:rPr>
              <w:t>初值环</w:t>
            </w:r>
            <w:proofErr w:type="gramEnd"/>
            <w:r w:rsidRPr="00536EAD">
              <w:rPr>
                <w:rFonts w:ascii="新宋体" w:eastAsia="新宋体" w:hAnsi="新宋体" w:cs="Arial" w:hint="eastAsia"/>
                <w:color w:val="796A4F"/>
                <w:sz w:val="21"/>
                <w:szCs w:val="21"/>
              </w:rPr>
              <w:t>比增长3.5%，高于3%的市场预期，取得2003年上半年以来最强的连续季度增长。</w:t>
            </w:r>
          </w:p>
          <w:p w:rsidR="00E42997" w:rsidRPr="00536EAD" w:rsidRDefault="00E42997"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从GDP的分项数据来看，美国政府开支增加、贸易逆差降低弥补了消费者支出减缓的影响，推动美国经济继续强势复苏。美国第三季度联邦政府开支增加10%，第二季度为减少0.9%，扭转了连续7个季度减少的局面；各州和地方政府开支增加1.3%，低于第二季度3.4%的增幅。在美国第三季度3.5%的GDP增幅中，美国出口贡献了1.4个百分点。美国第三季度进口下降1.7%，出口则大幅增长7.8%，第二季度进口终值为增长11.3%，出口终值为增长11.1%。</w:t>
            </w:r>
          </w:p>
          <w:p w:rsidR="00E42997" w:rsidRPr="00536EAD" w:rsidRDefault="00E42997"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第三季度，美国消费者支出及商业投资的放缓是造成经济增长低于第二季度的主要原因。占美国经济总量近70%的消费者支出放缓，第三季度仅增长1.8%，而第二季度消费者支出终值为增长2.5%。美国第三季度设备、建筑及知识产权等项目的商业投资增长5.5%，第二季度商业投资终值为增长9.7%。美国第三季度商业库存投资拖累经济增长0.57个百分点，而第二季度商业库存投资则为经济增长贡献了1.42个百分点。</w:t>
            </w:r>
          </w:p>
          <w:p w:rsidR="00E42997" w:rsidRPr="00536EAD" w:rsidRDefault="00E42997"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美国GDP增长连续好于市场预期，支持了美联储对美国经济走势的判断。美联储认为，9月以来的经济数据显示美国经济活动温和扩张，就业市场进一步改善，新增就业人数稳定，失业率继续降低。总体而言，就业市场的系列指标显示，劳动力资源利用率不足的状况正在好转。家庭支出以温和速度增长，企业固定投资在增加，但房地产部门复苏仍然缓慢。</w:t>
            </w:r>
          </w:p>
          <w:p w:rsidR="00E42997" w:rsidRPr="00536EAD" w:rsidRDefault="00E42997"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但是，我们认为，美国第三季度远高于日本和欧洲的经济增速，对全球经济而言是一个“积极信号”。美国石油产量的增长降低了进口，促进了制造业回升，帮助美国经济抵御了欧洲和亚洲经济增长放缓的冲击。与此同时，美国就业市场的持续改善与全球油价的下跌令美国消费者信心上升，即将到来的11-12月美国圣诞假日购物季也有利于推高消费支出。</w:t>
            </w:r>
          </w:p>
          <w:p w:rsidR="00E42997" w:rsidRPr="00536EAD" w:rsidRDefault="00E42997"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由于美国消费者支出增长趋于稳固，今年下半年美国经济增速有望保持在3%以上。IMF在10月初更新的全球经济展望中预测，今明两年美国经济将分别增长2.2%和3.1%。美国经济加快复苏，使得机构对美联储将提前加息预期愈加强烈，预测加息时点会在明年</w:t>
            </w:r>
            <w:proofErr w:type="gramStart"/>
            <w:r w:rsidRPr="00536EAD">
              <w:rPr>
                <w:rFonts w:ascii="新宋体" w:eastAsia="新宋体" w:hAnsi="新宋体" w:cs="Arial" w:hint="eastAsia"/>
                <w:color w:val="796A4F"/>
                <w:sz w:val="21"/>
                <w:szCs w:val="21"/>
              </w:rPr>
              <w:t>年</w:t>
            </w:r>
            <w:proofErr w:type="gramEnd"/>
            <w:r w:rsidRPr="00536EAD">
              <w:rPr>
                <w:rFonts w:ascii="新宋体" w:eastAsia="新宋体" w:hAnsi="新宋体" w:cs="Arial" w:hint="eastAsia"/>
                <w:color w:val="796A4F"/>
                <w:sz w:val="21"/>
                <w:szCs w:val="21"/>
              </w:rPr>
              <w:t>中。而第三季度3.5%的GDP数据，将进一步增强美联储对本国经济和就业前景的信心，并推动美联储货币政策立场转变。美联储结束资产购买计划后，未来数月关注的重点将转移到加息时点及如何提前向市场发出加息信号。</w:t>
            </w:r>
          </w:p>
          <w:p w:rsidR="00DE59D7" w:rsidRDefault="00DE59D7" w:rsidP="005B3E06">
            <w:pPr>
              <w:rPr>
                <w:szCs w:val="21"/>
              </w:rPr>
            </w:pPr>
            <w:r w:rsidRPr="00DE59D7">
              <w:rPr>
                <w:noProof/>
                <w:szCs w:val="21"/>
              </w:rPr>
              <w:lastRenderedPageBreak/>
              <w:drawing>
                <wp:inline distT="0" distB="0" distL="0" distR="0">
                  <wp:extent cx="5486400" cy="3547745"/>
                  <wp:effectExtent l="19050" t="0" r="0" b="0"/>
                  <wp:docPr id="225" name="图片 3"/>
                  <wp:cNvGraphicFramePr/>
                  <a:graphic xmlns:a="http://schemas.openxmlformats.org/drawingml/2006/main">
                    <a:graphicData uri="http://schemas.openxmlformats.org/drawingml/2006/picture">
                      <pic:pic xmlns:pic="http://schemas.openxmlformats.org/drawingml/2006/picture">
                        <pic:nvPicPr>
                          <pic:cNvPr id="193" name="图片 192"/>
                          <pic:cNvPicPr>
                            <a:picLocks noChangeAspect="1"/>
                          </pic:cNvPicPr>
                        </pic:nvPicPr>
                        <pic:blipFill>
                          <a:blip r:embed="rId28" cstate="print"/>
                          <a:stretch>
                            <a:fillRect/>
                          </a:stretch>
                        </pic:blipFill>
                        <pic:spPr>
                          <a:xfrm>
                            <a:off x="0" y="0"/>
                            <a:ext cx="5486400" cy="3547745"/>
                          </a:xfrm>
                          <a:prstGeom prst="rect">
                            <a:avLst/>
                          </a:prstGeom>
                        </pic:spPr>
                      </pic:pic>
                    </a:graphicData>
                  </a:graphic>
                </wp:inline>
              </w:drawing>
            </w:r>
          </w:p>
          <w:p w:rsidR="005B3E06" w:rsidRDefault="005B3E06" w:rsidP="005B3E06">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2-4</w:t>
            </w:r>
            <w:r w:rsidRPr="00400A2B">
              <w:rPr>
                <w:rFonts w:ascii="Times New Roman" w:hAnsi="Times New Roman" w:hint="eastAsia"/>
                <w:b/>
                <w:szCs w:val="21"/>
              </w:rPr>
              <w:t>：</w:t>
            </w:r>
            <w:r>
              <w:rPr>
                <w:rFonts w:ascii="Times New Roman" w:hAnsi="Times New Roman" w:hint="eastAsia"/>
                <w:b/>
                <w:szCs w:val="21"/>
              </w:rPr>
              <w:t>2000- 2014</w:t>
            </w:r>
            <w:r>
              <w:rPr>
                <w:rFonts w:ascii="Times New Roman" w:hAnsi="Times New Roman" w:hint="eastAsia"/>
                <w:b/>
                <w:szCs w:val="21"/>
              </w:rPr>
              <w:t>年美国</w:t>
            </w:r>
            <w:r>
              <w:rPr>
                <w:rFonts w:ascii="Times New Roman" w:hAnsi="Times New Roman" w:hint="eastAsia"/>
                <w:b/>
                <w:szCs w:val="21"/>
              </w:rPr>
              <w:t>GDP</w:t>
            </w:r>
            <w:r>
              <w:rPr>
                <w:rFonts w:ascii="Times New Roman" w:hAnsi="Times New Roman" w:hint="eastAsia"/>
                <w:b/>
                <w:szCs w:val="21"/>
              </w:rPr>
              <w:t>与个人消费增长趋势对比</w:t>
            </w:r>
          </w:p>
          <w:p w:rsidR="00CA7689" w:rsidRPr="00CA7689" w:rsidRDefault="005B3E06" w:rsidP="005B3E06">
            <w:pPr>
              <w:spacing w:line="360" w:lineRule="auto"/>
              <w:ind w:firstLineChars="200" w:firstLine="442"/>
              <w:jc w:val="center"/>
              <w:rPr>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DE59D7" w:rsidRDefault="00DE59D7" w:rsidP="005B3E06">
            <w:pPr>
              <w:rPr>
                <w:szCs w:val="21"/>
              </w:rPr>
            </w:pPr>
            <w:r w:rsidRPr="00DE59D7">
              <w:rPr>
                <w:noProof/>
                <w:szCs w:val="21"/>
              </w:rPr>
              <w:drawing>
                <wp:inline distT="0" distB="0" distL="0" distR="0">
                  <wp:extent cx="5486400" cy="3703955"/>
                  <wp:effectExtent l="19050" t="0" r="0" b="0"/>
                  <wp:docPr id="233" name="图片 4"/>
                  <wp:cNvGraphicFramePr/>
                  <a:graphic xmlns:a="http://schemas.openxmlformats.org/drawingml/2006/main">
                    <a:graphicData uri="http://schemas.openxmlformats.org/drawingml/2006/picture">
                      <pic:pic xmlns:pic="http://schemas.openxmlformats.org/drawingml/2006/picture">
                        <pic:nvPicPr>
                          <pic:cNvPr id="199" name="图片 198"/>
                          <pic:cNvPicPr>
                            <a:picLocks noChangeAspect="1"/>
                          </pic:cNvPicPr>
                        </pic:nvPicPr>
                        <pic:blipFill>
                          <a:blip r:embed="rId29" cstate="print"/>
                          <a:stretch>
                            <a:fillRect/>
                          </a:stretch>
                        </pic:blipFill>
                        <pic:spPr>
                          <a:xfrm>
                            <a:off x="0" y="0"/>
                            <a:ext cx="5486400" cy="3703955"/>
                          </a:xfrm>
                          <a:prstGeom prst="rect">
                            <a:avLst/>
                          </a:prstGeom>
                        </pic:spPr>
                      </pic:pic>
                    </a:graphicData>
                  </a:graphic>
                </wp:inline>
              </w:drawing>
            </w:r>
          </w:p>
          <w:p w:rsidR="005B3E06" w:rsidRDefault="005B3E06" w:rsidP="005B3E06">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lastRenderedPageBreak/>
              <w:t>图</w:t>
            </w:r>
            <w:r>
              <w:rPr>
                <w:rFonts w:ascii="Times New Roman" w:hAnsi="Times New Roman" w:hint="eastAsia"/>
                <w:b/>
                <w:szCs w:val="21"/>
              </w:rPr>
              <w:t>2-5</w:t>
            </w:r>
            <w:r w:rsidRPr="00400A2B">
              <w:rPr>
                <w:rFonts w:ascii="Times New Roman" w:hAnsi="Times New Roman" w:hint="eastAsia"/>
                <w:b/>
                <w:szCs w:val="21"/>
              </w:rPr>
              <w:t>：</w:t>
            </w:r>
            <w:r>
              <w:rPr>
                <w:rFonts w:ascii="Times New Roman" w:hAnsi="Times New Roman" w:hint="eastAsia"/>
                <w:b/>
                <w:szCs w:val="21"/>
              </w:rPr>
              <w:t>2001- 2014</w:t>
            </w:r>
            <w:r>
              <w:rPr>
                <w:rFonts w:ascii="Times New Roman" w:hAnsi="Times New Roman" w:hint="eastAsia"/>
                <w:b/>
                <w:szCs w:val="21"/>
              </w:rPr>
              <w:t>年美国住宅投资与企业投资增长趋势对比</w:t>
            </w:r>
          </w:p>
          <w:p w:rsidR="005B3E06" w:rsidRDefault="005B3E06" w:rsidP="005B3E06">
            <w:pPr>
              <w:spacing w:line="360" w:lineRule="auto"/>
              <w:ind w:firstLineChars="200" w:firstLine="442"/>
              <w:jc w:val="center"/>
              <w:rPr>
                <w:rFonts w:ascii="Times New Roman" w:hAnsi="Times New Roman"/>
                <w:b/>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CA7689" w:rsidRPr="00CA7689" w:rsidRDefault="00CA7689" w:rsidP="005B3E06">
            <w:pPr>
              <w:rPr>
                <w:szCs w:val="21"/>
              </w:rPr>
            </w:pPr>
          </w:p>
          <w:p w:rsidR="00DE59D7" w:rsidRDefault="00DE59D7" w:rsidP="005B3E06">
            <w:pPr>
              <w:rPr>
                <w:szCs w:val="21"/>
              </w:rPr>
            </w:pPr>
            <w:r w:rsidRPr="00DE59D7">
              <w:rPr>
                <w:noProof/>
                <w:szCs w:val="21"/>
              </w:rPr>
              <w:drawing>
                <wp:inline distT="0" distB="0" distL="0" distR="0">
                  <wp:extent cx="5486400" cy="3401695"/>
                  <wp:effectExtent l="19050" t="0" r="0" b="0"/>
                  <wp:docPr id="234" name="图片 5"/>
                  <wp:cNvGraphicFramePr/>
                  <a:graphic xmlns:a="http://schemas.openxmlformats.org/drawingml/2006/main">
                    <a:graphicData uri="http://schemas.openxmlformats.org/drawingml/2006/picture">
                      <pic:pic xmlns:pic="http://schemas.openxmlformats.org/drawingml/2006/picture">
                        <pic:nvPicPr>
                          <pic:cNvPr id="204" name="图片 203"/>
                          <pic:cNvPicPr>
                            <a:picLocks noChangeAspect="1"/>
                          </pic:cNvPicPr>
                        </pic:nvPicPr>
                        <pic:blipFill>
                          <a:blip r:embed="rId30" cstate="print"/>
                          <a:stretch>
                            <a:fillRect/>
                          </a:stretch>
                        </pic:blipFill>
                        <pic:spPr>
                          <a:xfrm>
                            <a:off x="0" y="0"/>
                            <a:ext cx="5486400" cy="3401695"/>
                          </a:xfrm>
                          <a:prstGeom prst="rect">
                            <a:avLst/>
                          </a:prstGeom>
                        </pic:spPr>
                      </pic:pic>
                    </a:graphicData>
                  </a:graphic>
                </wp:inline>
              </w:drawing>
            </w:r>
          </w:p>
          <w:p w:rsidR="005B3E06" w:rsidRDefault="005B3E06" w:rsidP="005B3E06">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2-6</w:t>
            </w:r>
            <w:r w:rsidRPr="00400A2B">
              <w:rPr>
                <w:rFonts w:ascii="Times New Roman" w:hAnsi="Times New Roman" w:hint="eastAsia"/>
                <w:b/>
                <w:szCs w:val="21"/>
              </w:rPr>
              <w:t>：</w:t>
            </w:r>
            <w:r>
              <w:rPr>
                <w:rFonts w:ascii="Times New Roman" w:hAnsi="Times New Roman" w:hint="eastAsia"/>
                <w:b/>
                <w:szCs w:val="21"/>
              </w:rPr>
              <w:t>2000- 2014</w:t>
            </w:r>
            <w:r>
              <w:rPr>
                <w:rFonts w:ascii="Times New Roman" w:hAnsi="Times New Roman" w:hint="eastAsia"/>
                <w:b/>
                <w:szCs w:val="21"/>
              </w:rPr>
              <w:t>年美国</w:t>
            </w:r>
            <w:r>
              <w:rPr>
                <w:rFonts w:ascii="Times New Roman" w:hAnsi="Times New Roman" w:hint="eastAsia"/>
                <w:b/>
                <w:szCs w:val="21"/>
              </w:rPr>
              <w:t>GDP</w:t>
            </w:r>
            <w:r>
              <w:rPr>
                <w:rFonts w:ascii="Times New Roman" w:hAnsi="Times New Roman" w:hint="eastAsia"/>
                <w:b/>
                <w:szCs w:val="21"/>
              </w:rPr>
              <w:t>与私人库存及固定投资增长趋势对比</w:t>
            </w:r>
          </w:p>
          <w:p w:rsidR="005B3E06" w:rsidRDefault="005B3E06" w:rsidP="005B3E06">
            <w:pPr>
              <w:spacing w:line="360" w:lineRule="auto"/>
              <w:ind w:firstLineChars="200" w:firstLine="442"/>
              <w:jc w:val="center"/>
              <w:rPr>
                <w:rFonts w:ascii="Times New Roman" w:hAnsi="Times New Roman"/>
                <w:b/>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CA7689" w:rsidRPr="00CA7689" w:rsidRDefault="00CA7689" w:rsidP="005B3E06">
            <w:pPr>
              <w:rPr>
                <w:szCs w:val="21"/>
              </w:rPr>
            </w:pPr>
          </w:p>
          <w:p w:rsidR="00DE59D7" w:rsidRDefault="00DE59D7" w:rsidP="005B3E06">
            <w:pPr>
              <w:rPr>
                <w:szCs w:val="21"/>
              </w:rPr>
            </w:pPr>
            <w:r w:rsidRPr="00DE59D7">
              <w:rPr>
                <w:noProof/>
                <w:szCs w:val="21"/>
              </w:rPr>
              <w:lastRenderedPageBreak/>
              <w:drawing>
                <wp:inline distT="0" distB="0" distL="0" distR="0">
                  <wp:extent cx="5486400" cy="3722370"/>
                  <wp:effectExtent l="19050" t="0" r="0" b="0"/>
                  <wp:docPr id="235" name="图片 6"/>
                  <wp:cNvGraphicFramePr/>
                  <a:graphic xmlns:a="http://schemas.openxmlformats.org/drawingml/2006/main">
                    <a:graphicData uri="http://schemas.openxmlformats.org/drawingml/2006/picture">
                      <pic:pic xmlns:pic="http://schemas.openxmlformats.org/drawingml/2006/picture">
                        <pic:nvPicPr>
                          <pic:cNvPr id="201" name="图片 200"/>
                          <pic:cNvPicPr>
                            <a:picLocks noChangeAspect="1"/>
                          </pic:cNvPicPr>
                        </pic:nvPicPr>
                        <pic:blipFill>
                          <a:blip r:embed="rId31" cstate="print"/>
                          <a:stretch>
                            <a:fillRect/>
                          </a:stretch>
                        </pic:blipFill>
                        <pic:spPr>
                          <a:xfrm>
                            <a:off x="0" y="0"/>
                            <a:ext cx="5486400" cy="3722370"/>
                          </a:xfrm>
                          <a:prstGeom prst="rect">
                            <a:avLst/>
                          </a:prstGeom>
                        </pic:spPr>
                      </pic:pic>
                    </a:graphicData>
                  </a:graphic>
                </wp:inline>
              </w:drawing>
            </w:r>
          </w:p>
          <w:p w:rsidR="005B3E06" w:rsidRDefault="005B3E06" w:rsidP="005B3E06">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2-7</w:t>
            </w:r>
            <w:r w:rsidRPr="00400A2B">
              <w:rPr>
                <w:rFonts w:ascii="Times New Roman" w:hAnsi="Times New Roman" w:hint="eastAsia"/>
                <w:b/>
                <w:szCs w:val="21"/>
              </w:rPr>
              <w:t>：</w:t>
            </w:r>
            <w:r>
              <w:rPr>
                <w:rFonts w:ascii="Times New Roman" w:hAnsi="Times New Roman" w:hint="eastAsia"/>
                <w:b/>
                <w:szCs w:val="21"/>
              </w:rPr>
              <w:t>2000- 2014</w:t>
            </w:r>
            <w:r>
              <w:rPr>
                <w:rFonts w:ascii="Times New Roman" w:hAnsi="Times New Roman" w:hint="eastAsia"/>
                <w:b/>
                <w:szCs w:val="21"/>
              </w:rPr>
              <w:t>年美国进出品增长率对比</w:t>
            </w:r>
          </w:p>
          <w:p w:rsidR="00CA7689" w:rsidRPr="00CA7689" w:rsidRDefault="005B3E06" w:rsidP="005B3E06">
            <w:pPr>
              <w:spacing w:line="360" w:lineRule="auto"/>
              <w:ind w:firstLineChars="200" w:firstLine="442"/>
              <w:jc w:val="center"/>
              <w:rPr>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DE59D7" w:rsidRDefault="00DE59D7" w:rsidP="00DE59D7">
            <w:r w:rsidRPr="00DE59D7">
              <w:rPr>
                <w:noProof/>
              </w:rPr>
              <w:lastRenderedPageBreak/>
              <w:drawing>
                <wp:inline distT="0" distB="0" distL="0" distR="0">
                  <wp:extent cx="5486400" cy="3693795"/>
                  <wp:effectExtent l="19050" t="0" r="0" b="0"/>
                  <wp:docPr id="236" name="图片 7"/>
                  <wp:cNvGraphicFramePr/>
                  <a:graphic xmlns:a="http://schemas.openxmlformats.org/drawingml/2006/main">
                    <a:graphicData uri="http://schemas.openxmlformats.org/drawingml/2006/picture">
                      <pic:pic xmlns:pic="http://schemas.openxmlformats.org/drawingml/2006/picture">
                        <pic:nvPicPr>
                          <pic:cNvPr id="202" name="图片 201"/>
                          <pic:cNvPicPr>
                            <a:picLocks noChangeAspect="1"/>
                          </pic:cNvPicPr>
                        </pic:nvPicPr>
                        <pic:blipFill>
                          <a:blip r:embed="rId32" cstate="print"/>
                          <a:stretch>
                            <a:fillRect/>
                          </a:stretch>
                        </pic:blipFill>
                        <pic:spPr>
                          <a:xfrm>
                            <a:off x="0" y="0"/>
                            <a:ext cx="5486400" cy="3693795"/>
                          </a:xfrm>
                          <a:prstGeom prst="rect">
                            <a:avLst/>
                          </a:prstGeom>
                        </pic:spPr>
                      </pic:pic>
                    </a:graphicData>
                  </a:graphic>
                </wp:inline>
              </w:drawing>
            </w:r>
          </w:p>
          <w:p w:rsidR="005B3E06" w:rsidRDefault="005B3E06" w:rsidP="005B3E06">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2-8</w:t>
            </w:r>
            <w:r w:rsidRPr="00400A2B">
              <w:rPr>
                <w:rFonts w:ascii="Times New Roman" w:hAnsi="Times New Roman" w:hint="eastAsia"/>
                <w:b/>
                <w:szCs w:val="21"/>
              </w:rPr>
              <w:t>：</w:t>
            </w:r>
            <w:r>
              <w:rPr>
                <w:rFonts w:ascii="Times New Roman" w:hAnsi="Times New Roman" w:hint="eastAsia"/>
                <w:b/>
                <w:szCs w:val="21"/>
              </w:rPr>
              <w:t>2000- 2014</w:t>
            </w:r>
            <w:r>
              <w:rPr>
                <w:rFonts w:ascii="Times New Roman" w:hAnsi="Times New Roman" w:hint="eastAsia"/>
                <w:b/>
                <w:szCs w:val="21"/>
              </w:rPr>
              <w:t>年美国</w:t>
            </w:r>
            <w:r>
              <w:rPr>
                <w:rFonts w:ascii="Times New Roman" w:hAnsi="Times New Roman" w:hint="eastAsia"/>
                <w:b/>
                <w:szCs w:val="21"/>
              </w:rPr>
              <w:t>GDP</w:t>
            </w:r>
            <w:r>
              <w:rPr>
                <w:rFonts w:ascii="Times New Roman" w:hAnsi="Times New Roman" w:hint="eastAsia"/>
                <w:b/>
                <w:szCs w:val="21"/>
              </w:rPr>
              <w:t>与政府支出增长趋势对比</w:t>
            </w:r>
          </w:p>
          <w:p w:rsidR="005B3E06" w:rsidRDefault="005B3E06" w:rsidP="005B3E06">
            <w:pPr>
              <w:spacing w:line="360" w:lineRule="auto"/>
              <w:ind w:firstLineChars="200" w:firstLine="442"/>
              <w:jc w:val="center"/>
              <w:rPr>
                <w:rFonts w:ascii="Times New Roman" w:hAnsi="Times New Roman"/>
                <w:b/>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207D96" w:rsidRPr="00536EAD" w:rsidRDefault="00207D96"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美国第三季度美国GDP的环比年化增长率为3.5%，主要由于出口大幅增长以及军事支出增长，超出经济学家预期。经济学家此前平均预期第三季度经季节调整后的GDP环比年化增长率为3%。在这一季度中，消费者支出的增长速度从此前一个季度的2.5%放缓至1.8%，设备相关的商业投资也放缓至7.2%，此外住宅建筑支出也放缓增速。该季度出口大幅增长7.8%，但进口则下滑1.7%，这使得贸易成为对第三季度经济增长贡献最大的一个部门。</w:t>
            </w:r>
          </w:p>
          <w:p w:rsidR="00207D96" w:rsidRPr="00536EAD" w:rsidRDefault="00207D96"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联邦政府支出由于五角大楼的硬件需求而在第三季度中大幅增长10%，也起到了提振经济增长的作用，这一增幅创下自2009年以来的最高水平，当时奥巴马政府出台了大规模的经济刺激性计划。</w:t>
            </w:r>
          </w:p>
          <w:p w:rsidR="004A20F8" w:rsidRPr="00207D96" w:rsidRDefault="00207D96" w:rsidP="00536EAD">
            <w:pPr>
              <w:pStyle w:val="ad"/>
              <w:spacing w:beforeLines="50" w:after="50"/>
              <w:ind w:firstLineChars="200" w:firstLine="420"/>
            </w:pPr>
            <w:r w:rsidRPr="00536EAD">
              <w:rPr>
                <w:rFonts w:ascii="新宋体" w:eastAsia="新宋体" w:hAnsi="新宋体" w:cs="Arial" w:hint="eastAsia"/>
                <w:color w:val="796A4F"/>
                <w:sz w:val="21"/>
                <w:szCs w:val="21"/>
              </w:rPr>
              <w:t>与此同时，库存在第三季度中增长628亿美元，低于上一季度的848亿美元，则对经济增长形成了拖累。个人消费支出指数（PCE）的环比年化增长率为1.2%，低于上一季度的2.3%，主要由于能源价格下跌，从而抑制了物价压力。不计</w:t>
            </w:r>
            <w:proofErr w:type="gramStart"/>
            <w:r w:rsidRPr="00536EAD">
              <w:rPr>
                <w:rFonts w:ascii="新宋体" w:eastAsia="新宋体" w:hAnsi="新宋体" w:cs="Arial" w:hint="eastAsia"/>
                <w:color w:val="796A4F"/>
                <w:sz w:val="21"/>
                <w:szCs w:val="21"/>
              </w:rPr>
              <w:t>入粮食</w:t>
            </w:r>
            <w:proofErr w:type="gramEnd"/>
            <w:r w:rsidRPr="00536EAD">
              <w:rPr>
                <w:rFonts w:ascii="新宋体" w:eastAsia="新宋体" w:hAnsi="新宋体" w:cs="Arial" w:hint="eastAsia"/>
                <w:color w:val="796A4F"/>
                <w:sz w:val="21"/>
                <w:szCs w:val="21"/>
              </w:rPr>
              <w:t>和能源的核心个人消费支出指数增长1.4%。</w:t>
            </w:r>
          </w:p>
        </w:tc>
      </w:tr>
    </w:tbl>
    <w:p w:rsidR="004A20F8" w:rsidRPr="0031240F" w:rsidRDefault="0004747A" w:rsidP="004A20F8">
      <w:pPr>
        <w:pStyle w:val="3"/>
        <w:rPr>
          <w:color w:val="000000" w:themeColor="text1"/>
          <w:sz w:val="21"/>
          <w:szCs w:val="21"/>
        </w:rPr>
      </w:pPr>
      <w:bookmarkStart w:id="12" w:name="_Toc397077880"/>
      <w:r>
        <w:rPr>
          <w:rFonts w:hint="eastAsia"/>
          <w:color w:val="000000" w:themeColor="text1"/>
          <w:sz w:val="21"/>
          <w:szCs w:val="21"/>
        </w:rPr>
        <w:lastRenderedPageBreak/>
        <w:t>三</w:t>
      </w:r>
      <w:r w:rsidR="004A20F8" w:rsidRPr="0031240F">
        <w:rPr>
          <w:rFonts w:hint="eastAsia"/>
          <w:color w:val="000000" w:themeColor="text1"/>
          <w:sz w:val="21"/>
          <w:szCs w:val="21"/>
        </w:rPr>
        <w:t>、</w:t>
      </w:r>
      <w:bookmarkStart w:id="13" w:name="_Toc354477503"/>
      <w:bookmarkEnd w:id="12"/>
      <w:r w:rsidR="009E2034">
        <w:rPr>
          <w:rFonts w:hint="eastAsia"/>
          <w:color w:val="000000" w:themeColor="text1"/>
          <w:sz w:val="21"/>
          <w:szCs w:val="21"/>
        </w:rPr>
        <w:t>美国</w:t>
      </w:r>
      <w:r w:rsidR="004A20F8" w:rsidRPr="0031240F">
        <w:rPr>
          <w:rFonts w:hint="eastAsia"/>
          <w:color w:val="000000" w:themeColor="text1"/>
          <w:sz w:val="21"/>
          <w:szCs w:val="21"/>
        </w:rPr>
        <w:t>9</w:t>
      </w:r>
      <w:r w:rsidR="004A20F8" w:rsidRPr="0031240F">
        <w:rPr>
          <w:rFonts w:hint="eastAsia"/>
          <w:color w:val="000000" w:themeColor="text1"/>
          <w:sz w:val="21"/>
          <w:szCs w:val="21"/>
        </w:rPr>
        <w:t>月</w:t>
      </w:r>
      <w:r w:rsidR="009E2034">
        <w:rPr>
          <w:rFonts w:hint="eastAsia"/>
          <w:color w:val="000000" w:themeColor="text1"/>
          <w:sz w:val="21"/>
          <w:szCs w:val="21"/>
        </w:rPr>
        <w:t>就业数据</w:t>
      </w:r>
      <w:r w:rsidR="001A22E0">
        <w:rPr>
          <w:rFonts w:hint="eastAsia"/>
          <w:color w:val="000000" w:themeColor="text1"/>
          <w:sz w:val="21"/>
          <w:szCs w:val="21"/>
        </w:rPr>
        <w:t>持续改善</w:t>
      </w:r>
    </w:p>
    <w:tbl>
      <w:tblPr>
        <w:tblW w:w="0" w:type="auto"/>
        <w:jc w:val="center"/>
        <w:tblInd w:w="539" w:type="dxa"/>
        <w:tblBorders>
          <w:insideH w:val="single" w:sz="4" w:space="0" w:color="000000"/>
          <w:insideV w:val="single" w:sz="4" w:space="0" w:color="000000"/>
        </w:tblBorders>
        <w:tblLook w:val="04A0"/>
      </w:tblPr>
      <w:tblGrid>
        <w:gridCol w:w="8953"/>
      </w:tblGrid>
      <w:tr w:rsidR="004A20F8" w:rsidRPr="00097749" w:rsidTr="0024724E">
        <w:trPr>
          <w:trHeight w:val="23"/>
          <w:jc w:val="center"/>
        </w:trPr>
        <w:tc>
          <w:tcPr>
            <w:tcW w:w="8953" w:type="dxa"/>
          </w:tcPr>
          <w:p w:rsidR="004A20F8" w:rsidRDefault="004A20F8" w:rsidP="005B3E06">
            <w:pPr>
              <w:rPr>
                <w:szCs w:val="21"/>
              </w:rPr>
            </w:pPr>
          </w:p>
          <w:p w:rsidR="0004747A" w:rsidRPr="00536EAD" w:rsidRDefault="0004747A"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lastRenderedPageBreak/>
              <w:t>美国10月ADP就业人数23万 高于预期。美国10月企业就业人数较上个月进一步增加，显示美国就业增长仍然处于15年来最佳水平。美国ADP研究所数据显示，10月份美国私人部门新增就业人数23万，多于预期值22万。前值从21.3万上修至22.5万。员工规模在50至499人的中型企业的就业人口新增12.2万，是9月的两倍多。美国国内需求正在增加，企业需要雇佣更多的员工来满足不断增长的需求。经济正在全面增长，而且并不限于少数几个行业。就业增长也印证了这一点，我们看到就业正在大范围好转。</w:t>
            </w:r>
          </w:p>
          <w:p w:rsidR="0004747A" w:rsidRPr="0004747A" w:rsidRDefault="0004747A" w:rsidP="0004747A">
            <w:pPr>
              <w:tabs>
                <w:tab w:val="left" w:pos="1038"/>
              </w:tabs>
              <w:rPr>
                <w:szCs w:val="21"/>
              </w:rPr>
            </w:pPr>
          </w:p>
          <w:p w:rsidR="009E2034" w:rsidRDefault="009E2034" w:rsidP="005B3E06">
            <w:pPr>
              <w:rPr>
                <w:szCs w:val="21"/>
              </w:rPr>
            </w:pPr>
            <w:r w:rsidRPr="009E2034">
              <w:rPr>
                <w:noProof/>
                <w:szCs w:val="21"/>
              </w:rPr>
              <w:drawing>
                <wp:inline distT="0" distB="0" distL="0" distR="0">
                  <wp:extent cx="5486400" cy="3103245"/>
                  <wp:effectExtent l="19050" t="0" r="0" b="0"/>
                  <wp:docPr id="240" name="图片 9"/>
                  <wp:cNvGraphicFramePr/>
                  <a:graphic xmlns:a="http://schemas.openxmlformats.org/drawingml/2006/main">
                    <a:graphicData uri="http://schemas.openxmlformats.org/drawingml/2006/picture">
                      <pic:pic xmlns:pic="http://schemas.openxmlformats.org/drawingml/2006/picture">
                        <pic:nvPicPr>
                          <pic:cNvPr id="72" name="图片 71"/>
                          <pic:cNvPicPr>
                            <a:picLocks noChangeAspect="1"/>
                          </pic:cNvPicPr>
                        </pic:nvPicPr>
                        <pic:blipFill>
                          <a:blip r:embed="rId33" cstate="print"/>
                          <a:stretch>
                            <a:fillRect/>
                          </a:stretch>
                        </pic:blipFill>
                        <pic:spPr>
                          <a:xfrm>
                            <a:off x="0" y="0"/>
                            <a:ext cx="5486400" cy="3103245"/>
                          </a:xfrm>
                          <a:prstGeom prst="rect">
                            <a:avLst/>
                          </a:prstGeom>
                        </pic:spPr>
                      </pic:pic>
                    </a:graphicData>
                  </a:graphic>
                </wp:inline>
              </w:drawing>
            </w:r>
          </w:p>
          <w:p w:rsidR="0004747A" w:rsidRDefault="0004747A" w:rsidP="0004747A">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w:t>
            </w:r>
            <w:r w:rsidR="00207D96">
              <w:rPr>
                <w:rFonts w:ascii="Times New Roman" w:hAnsi="Times New Roman" w:hint="eastAsia"/>
                <w:b/>
                <w:szCs w:val="21"/>
              </w:rPr>
              <w:t>9</w:t>
            </w:r>
            <w:r w:rsidRPr="00400A2B">
              <w:rPr>
                <w:rFonts w:ascii="Times New Roman" w:hAnsi="Times New Roman" w:hint="eastAsia"/>
                <w:b/>
                <w:szCs w:val="21"/>
              </w:rPr>
              <w:t>：</w:t>
            </w:r>
            <w:r>
              <w:rPr>
                <w:rFonts w:ascii="Times New Roman" w:hAnsi="Times New Roman" w:hint="eastAsia"/>
                <w:b/>
                <w:szCs w:val="21"/>
              </w:rPr>
              <w:t>200</w:t>
            </w:r>
            <w:r w:rsidR="00207D96">
              <w:rPr>
                <w:rFonts w:ascii="Times New Roman" w:hAnsi="Times New Roman" w:hint="eastAsia"/>
                <w:b/>
                <w:szCs w:val="21"/>
              </w:rPr>
              <w:t>3</w:t>
            </w:r>
            <w:r>
              <w:rPr>
                <w:rFonts w:ascii="Times New Roman" w:hAnsi="Times New Roman" w:hint="eastAsia"/>
                <w:b/>
                <w:szCs w:val="21"/>
              </w:rPr>
              <w:t>- 2014</w:t>
            </w:r>
            <w:r>
              <w:rPr>
                <w:rFonts w:ascii="Times New Roman" w:hAnsi="Times New Roman" w:hint="eastAsia"/>
                <w:b/>
                <w:szCs w:val="21"/>
              </w:rPr>
              <w:t>年美国</w:t>
            </w:r>
            <w:r w:rsidR="00207D96">
              <w:rPr>
                <w:rFonts w:ascii="Times New Roman" w:hAnsi="Times New Roman" w:hint="eastAsia"/>
                <w:b/>
                <w:szCs w:val="21"/>
              </w:rPr>
              <w:t>首次与持续领取失业</w:t>
            </w:r>
            <w:proofErr w:type="gramStart"/>
            <w:r w:rsidR="00207D96">
              <w:rPr>
                <w:rFonts w:ascii="Times New Roman" w:hAnsi="Times New Roman" w:hint="eastAsia"/>
                <w:b/>
                <w:szCs w:val="21"/>
              </w:rPr>
              <w:t>金人数</w:t>
            </w:r>
            <w:proofErr w:type="gramEnd"/>
            <w:r>
              <w:rPr>
                <w:rFonts w:ascii="Times New Roman" w:hAnsi="Times New Roman" w:hint="eastAsia"/>
                <w:b/>
                <w:szCs w:val="21"/>
              </w:rPr>
              <w:t>对比</w:t>
            </w:r>
          </w:p>
          <w:p w:rsidR="0004747A" w:rsidRDefault="0004747A" w:rsidP="00207D96">
            <w:pPr>
              <w:jc w:val="center"/>
              <w:rPr>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w:t>
            </w:r>
          </w:p>
          <w:p w:rsidR="009E2034" w:rsidRDefault="009E2034" w:rsidP="005B3E06">
            <w:pPr>
              <w:rPr>
                <w:szCs w:val="21"/>
              </w:rPr>
            </w:pPr>
            <w:r w:rsidRPr="009E2034">
              <w:rPr>
                <w:noProof/>
                <w:szCs w:val="21"/>
              </w:rPr>
              <w:lastRenderedPageBreak/>
              <w:drawing>
                <wp:inline distT="0" distB="0" distL="0" distR="0">
                  <wp:extent cx="5486400" cy="3444875"/>
                  <wp:effectExtent l="19050" t="0" r="0" b="0"/>
                  <wp:docPr id="242" name="图片 10"/>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34" cstate="print"/>
                          <a:stretch>
                            <a:fillRect/>
                          </a:stretch>
                        </pic:blipFill>
                        <pic:spPr>
                          <a:xfrm>
                            <a:off x="0" y="0"/>
                            <a:ext cx="5486400" cy="3444875"/>
                          </a:xfrm>
                          <a:prstGeom prst="rect">
                            <a:avLst/>
                          </a:prstGeom>
                        </pic:spPr>
                      </pic:pic>
                    </a:graphicData>
                  </a:graphic>
                </wp:inline>
              </w:drawing>
            </w:r>
          </w:p>
          <w:p w:rsidR="0004747A" w:rsidRDefault="0004747A" w:rsidP="0004747A">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w:t>
            </w:r>
            <w:r w:rsidR="00207D96">
              <w:rPr>
                <w:rFonts w:ascii="Times New Roman" w:hAnsi="Times New Roman" w:hint="eastAsia"/>
                <w:b/>
                <w:szCs w:val="21"/>
              </w:rPr>
              <w:t>10</w:t>
            </w:r>
            <w:r w:rsidRPr="00400A2B">
              <w:rPr>
                <w:rFonts w:ascii="Times New Roman" w:hAnsi="Times New Roman" w:hint="eastAsia"/>
                <w:b/>
                <w:szCs w:val="21"/>
              </w:rPr>
              <w:t>：</w:t>
            </w:r>
            <w:r>
              <w:rPr>
                <w:rFonts w:ascii="Times New Roman" w:hAnsi="Times New Roman" w:hint="eastAsia"/>
                <w:b/>
                <w:szCs w:val="21"/>
              </w:rPr>
              <w:t>200</w:t>
            </w:r>
            <w:r w:rsidR="00207D96">
              <w:rPr>
                <w:rFonts w:ascii="Times New Roman" w:hAnsi="Times New Roman" w:hint="eastAsia"/>
                <w:b/>
                <w:szCs w:val="21"/>
              </w:rPr>
              <w:t>2</w:t>
            </w:r>
            <w:r>
              <w:rPr>
                <w:rFonts w:ascii="Times New Roman" w:hAnsi="Times New Roman" w:hint="eastAsia"/>
                <w:b/>
                <w:szCs w:val="21"/>
              </w:rPr>
              <w:t>- 2014</w:t>
            </w:r>
            <w:r>
              <w:rPr>
                <w:rFonts w:ascii="Times New Roman" w:hAnsi="Times New Roman" w:hint="eastAsia"/>
                <w:b/>
                <w:szCs w:val="21"/>
              </w:rPr>
              <w:t>年美国</w:t>
            </w:r>
            <w:r w:rsidR="00207D96">
              <w:rPr>
                <w:rFonts w:ascii="Times New Roman" w:hAnsi="Times New Roman" w:hint="eastAsia"/>
                <w:b/>
                <w:szCs w:val="21"/>
              </w:rPr>
              <w:t>员工平均小时收入</w:t>
            </w:r>
            <w:r>
              <w:rPr>
                <w:rFonts w:ascii="Times New Roman" w:hAnsi="Times New Roman" w:hint="eastAsia"/>
                <w:b/>
                <w:szCs w:val="21"/>
              </w:rPr>
              <w:t>趋势</w:t>
            </w:r>
          </w:p>
          <w:p w:rsidR="0004747A" w:rsidRDefault="0004747A" w:rsidP="0004747A">
            <w:pPr>
              <w:jc w:val="center"/>
              <w:rPr>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w:t>
            </w:r>
          </w:p>
          <w:p w:rsidR="009E2034" w:rsidRDefault="009E2034" w:rsidP="005B3E06">
            <w:pPr>
              <w:rPr>
                <w:szCs w:val="21"/>
              </w:rPr>
            </w:pPr>
            <w:r w:rsidRPr="009E2034">
              <w:rPr>
                <w:noProof/>
                <w:szCs w:val="21"/>
              </w:rPr>
              <w:drawing>
                <wp:inline distT="0" distB="0" distL="0" distR="0">
                  <wp:extent cx="5486400" cy="3332480"/>
                  <wp:effectExtent l="19050" t="0" r="0" b="0"/>
                  <wp:docPr id="243" name="图片 1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35" cstate="print"/>
                          <a:stretch>
                            <a:fillRect/>
                          </a:stretch>
                        </pic:blipFill>
                        <pic:spPr>
                          <a:xfrm>
                            <a:off x="0" y="0"/>
                            <a:ext cx="5486400" cy="3332480"/>
                          </a:xfrm>
                          <a:prstGeom prst="rect">
                            <a:avLst/>
                          </a:prstGeom>
                        </pic:spPr>
                      </pic:pic>
                    </a:graphicData>
                  </a:graphic>
                </wp:inline>
              </w:drawing>
            </w:r>
          </w:p>
          <w:p w:rsidR="0004747A" w:rsidRDefault="0004747A" w:rsidP="0004747A">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w:t>
            </w:r>
            <w:r w:rsidR="00207D96">
              <w:rPr>
                <w:rFonts w:ascii="Times New Roman" w:hAnsi="Times New Roman" w:hint="eastAsia"/>
                <w:b/>
                <w:szCs w:val="21"/>
              </w:rPr>
              <w:t>11</w:t>
            </w:r>
            <w:r w:rsidRPr="00400A2B">
              <w:rPr>
                <w:rFonts w:ascii="Times New Roman" w:hAnsi="Times New Roman" w:hint="eastAsia"/>
                <w:b/>
                <w:szCs w:val="21"/>
              </w:rPr>
              <w:t>：</w:t>
            </w:r>
            <w:r>
              <w:rPr>
                <w:rFonts w:ascii="Times New Roman" w:hAnsi="Times New Roman" w:hint="eastAsia"/>
                <w:b/>
                <w:szCs w:val="21"/>
              </w:rPr>
              <w:t>200</w:t>
            </w:r>
            <w:r w:rsidR="00207D96">
              <w:rPr>
                <w:rFonts w:ascii="Times New Roman" w:hAnsi="Times New Roman" w:hint="eastAsia"/>
                <w:b/>
                <w:szCs w:val="21"/>
              </w:rPr>
              <w:t>2</w:t>
            </w:r>
            <w:r>
              <w:rPr>
                <w:rFonts w:ascii="Times New Roman" w:hAnsi="Times New Roman" w:hint="eastAsia"/>
                <w:b/>
                <w:szCs w:val="21"/>
              </w:rPr>
              <w:t>- 2014</w:t>
            </w:r>
            <w:r>
              <w:rPr>
                <w:rFonts w:ascii="Times New Roman" w:hAnsi="Times New Roman" w:hint="eastAsia"/>
                <w:b/>
                <w:szCs w:val="21"/>
              </w:rPr>
              <w:t>年美国</w:t>
            </w:r>
            <w:r w:rsidR="00207D96">
              <w:rPr>
                <w:rFonts w:ascii="Times New Roman" w:hAnsi="Times New Roman" w:hint="eastAsia"/>
                <w:b/>
                <w:szCs w:val="21"/>
              </w:rPr>
              <w:t>公司裁员人数变化</w:t>
            </w:r>
          </w:p>
          <w:p w:rsidR="0004747A" w:rsidRDefault="0004747A" w:rsidP="0004747A">
            <w:pPr>
              <w:jc w:val="center"/>
              <w:rPr>
                <w:szCs w:val="21"/>
              </w:rPr>
            </w:pPr>
            <w:r w:rsidRPr="00477DD1">
              <w:rPr>
                <w:rFonts w:ascii="Times New Roman" w:hAnsi="Times New Roman"/>
                <w:b/>
                <w:szCs w:val="21"/>
              </w:rPr>
              <w:lastRenderedPageBreak/>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w:t>
            </w:r>
          </w:p>
          <w:p w:rsidR="009E2034" w:rsidRDefault="000E695E" w:rsidP="005B3E06">
            <w:pPr>
              <w:rPr>
                <w:szCs w:val="21"/>
              </w:rPr>
            </w:pPr>
            <w:r w:rsidRPr="000E695E">
              <w:rPr>
                <w:noProof/>
                <w:szCs w:val="21"/>
              </w:rPr>
              <w:drawing>
                <wp:inline distT="0" distB="0" distL="0" distR="0">
                  <wp:extent cx="5486400" cy="3303270"/>
                  <wp:effectExtent l="19050" t="0" r="0" b="0"/>
                  <wp:docPr id="244" name="图片 12"/>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36" cstate="print"/>
                          <a:stretch>
                            <a:fillRect/>
                          </a:stretch>
                        </pic:blipFill>
                        <pic:spPr>
                          <a:xfrm>
                            <a:off x="0" y="0"/>
                            <a:ext cx="5486400" cy="3303270"/>
                          </a:xfrm>
                          <a:prstGeom prst="rect">
                            <a:avLst/>
                          </a:prstGeom>
                        </pic:spPr>
                      </pic:pic>
                    </a:graphicData>
                  </a:graphic>
                </wp:inline>
              </w:drawing>
            </w:r>
          </w:p>
          <w:p w:rsidR="0004747A" w:rsidRDefault="0004747A" w:rsidP="0004747A">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w:t>
            </w:r>
            <w:r w:rsidR="00207D96">
              <w:rPr>
                <w:rFonts w:ascii="Times New Roman" w:hAnsi="Times New Roman" w:hint="eastAsia"/>
                <w:b/>
                <w:szCs w:val="21"/>
              </w:rPr>
              <w:t>12</w:t>
            </w:r>
            <w:r w:rsidRPr="00400A2B">
              <w:rPr>
                <w:rFonts w:ascii="Times New Roman" w:hAnsi="Times New Roman" w:hint="eastAsia"/>
                <w:b/>
                <w:szCs w:val="21"/>
              </w:rPr>
              <w:t>：</w:t>
            </w:r>
            <w:r>
              <w:rPr>
                <w:rFonts w:ascii="Times New Roman" w:hAnsi="Times New Roman" w:hint="eastAsia"/>
                <w:b/>
                <w:szCs w:val="21"/>
              </w:rPr>
              <w:t>2000- 2014</w:t>
            </w:r>
            <w:r>
              <w:rPr>
                <w:rFonts w:ascii="Times New Roman" w:hAnsi="Times New Roman" w:hint="eastAsia"/>
                <w:b/>
                <w:szCs w:val="21"/>
              </w:rPr>
              <w:t>年美国</w:t>
            </w:r>
            <w:r w:rsidR="00207D96">
              <w:rPr>
                <w:rFonts w:ascii="Times New Roman" w:hAnsi="Times New Roman" w:hint="eastAsia"/>
                <w:b/>
                <w:szCs w:val="21"/>
              </w:rPr>
              <w:t>劳动参与率</w:t>
            </w:r>
            <w:r>
              <w:rPr>
                <w:rFonts w:ascii="Times New Roman" w:hAnsi="Times New Roman" w:hint="eastAsia"/>
                <w:b/>
                <w:szCs w:val="21"/>
              </w:rPr>
              <w:t>趋势</w:t>
            </w:r>
            <w:r w:rsidR="00207D96">
              <w:rPr>
                <w:rFonts w:ascii="Times New Roman" w:hAnsi="Times New Roman" w:hint="eastAsia"/>
                <w:b/>
                <w:szCs w:val="21"/>
              </w:rPr>
              <w:t>变化</w:t>
            </w:r>
          </w:p>
          <w:p w:rsidR="0004747A" w:rsidRDefault="0004747A" w:rsidP="0004747A">
            <w:pPr>
              <w:jc w:val="center"/>
              <w:rPr>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w:t>
            </w:r>
          </w:p>
          <w:p w:rsidR="001A22E0" w:rsidRPr="00536EAD" w:rsidRDefault="001A22E0"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美国11月1日当</w:t>
            </w:r>
            <w:proofErr w:type="gramStart"/>
            <w:r w:rsidRPr="00536EAD">
              <w:rPr>
                <w:rFonts w:ascii="新宋体" w:eastAsia="新宋体" w:hAnsi="新宋体" w:cs="Arial" w:hint="eastAsia"/>
                <w:color w:val="796A4F"/>
                <w:sz w:val="21"/>
                <w:szCs w:val="21"/>
              </w:rPr>
              <w:t>周季调后</w:t>
            </w:r>
            <w:proofErr w:type="gramEnd"/>
            <w:r w:rsidRPr="00536EAD">
              <w:rPr>
                <w:rFonts w:ascii="新宋体" w:eastAsia="新宋体" w:hAnsi="新宋体" w:cs="Arial" w:hint="eastAsia"/>
                <w:color w:val="796A4F"/>
                <w:sz w:val="21"/>
                <w:szCs w:val="21"/>
              </w:rPr>
              <w:t>首次申请失业</w:t>
            </w:r>
            <w:proofErr w:type="gramStart"/>
            <w:r w:rsidRPr="00536EAD">
              <w:rPr>
                <w:rFonts w:ascii="新宋体" w:eastAsia="新宋体" w:hAnsi="新宋体" w:cs="Arial" w:hint="eastAsia"/>
                <w:color w:val="796A4F"/>
                <w:sz w:val="21"/>
                <w:szCs w:val="21"/>
              </w:rPr>
              <w:t>金人数</w:t>
            </w:r>
            <w:proofErr w:type="gramEnd"/>
            <w:r w:rsidRPr="00536EAD">
              <w:rPr>
                <w:rFonts w:ascii="新宋体" w:eastAsia="新宋体" w:hAnsi="新宋体" w:cs="Arial" w:hint="eastAsia"/>
                <w:color w:val="796A4F"/>
                <w:sz w:val="21"/>
                <w:szCs w:val="21"/>
              </w:rPr>
              <w:t>27.8万，较上月减少近1万人，好于预期的28.5万。四周平均首次申请失业</w:t>
            </w:r>
            <w:proofErr w:type="gramStart"/>
            <w:r w:rsidRPr="00536EAD">
              <w:rPr>
                <w:rFonts w:ascii="新宋体" w:eastAsia="新宋体" w:hAnsi="新宋体" w:cs="Arial" w:hint="eastAsia"/>
                <w:color w:val="796A4F"/>
                <w:sz w:val="21"/>
                <w:szCs w:val="21"/>
              </w:rPr>
              <w:t>金人数</w:t>
            </w:r>
            <w:proofErr w:type="gramEnd"/>
            <w:r w:rsidRPr="00536EAD">
              <w:rPr>
                <w:rFonts w:ascii="新宋体" w:eastAsia="新宋体" w:hAnsi="新宋体" w:cs="Arial" w:hint="eastAsia"/>
                <w:color w:val="796A4F"/>
                <w:sz w:val="21"/>
                <w:szCs w:val="21"/>
              </w:rPr>
              <w:t>27.9万，较上周大幅减少2250人，创2000年4月以来新低。出于对美国经济和就业市场的信心，美联储上个月如期结束了QE3。美国10月25日当</w:t>
            </w:r>
            <w:proofErr w:type="gramStart"/>
            <w:r w:rsidRPr="00536EAD">
              <w:rPr>
                <w:rFonts w:ascii="新宋体" w:eastAsia="新宋体" w:hAnsi="新宋体" w:cs="Arial" w:hint="eastAsia"/>
                <w:color w:val="796A4F"/>
                <w:sz w:val="21"/>
                <w:szCs w:val="21"/>
              </w:rPr>
              <w:t>周季调后续</w:t>
            </w:r>
            <w:proofErr w:type="gramEnd"/>
            <w:r w:rsidRPr="00536EAD">
              <w:rPr>
                <w:rFonts w:ascii="新宋体" w:eastAsia="新宋体" w:hAnsi="新宋体" w:cs="Arial" w:hint="eastAsia"/>
                <w:color w:val="796A4F"/>
                <w:sz w:val="21"/>
                <w:szCs w:val="21"/>
              </w:rPr>
              <w:t>申失业</w:t>
            </w:r>
            <w:proofErr w:type="gramStart"/>
            <w:r w:rsidRPr="00536EAD">
              <w:rPr>
                <w:rFonts w:ascii="新宋体" w:eastAsia="新宋体" w:hAnsi="新宋体" w:cs="Arial" w:hint="eastAsia"/>
                <w:color w:val="796A4F"/>
                <w:sz w:val="21"/>
                <w:szCs w:val="21"/>
              </w:rPr>
              <w:t>金人数</w:t>
            </w:r>
            <w:proofErr w:type="gramEnd"/>
            <w:r w:rsidRPr="00536EAD">
              <w:rPr>
                <w:rFonts w:ascii="新宋体" w:eastAsia="新宋体" w:hAnsi="新宋体" w:cs="Arial" w:hint="eastAsia"/>
                <w:color w:val="796A4F"/>
                <w:sz w:val="21"/>
                <w:szCs w:val="21"/>
              </w:rPr>
              <w:t>234.8万人，预期236.3万人，前值从238.4万修正为238.7万。</w:t>
            </w:r>
          </w:p>
          <w:p w:rsidR="004A20F8" w:rsidRPr="00536EAD" w:rsidRDefault="00207D96"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截至2014年9月，美国失业率大幅下滑至5.9%，为2008年7月份低点：美国劳动参与率也大幅下行，并创下36年来的最低值62.7%，与1978年相同。根据户口调查约有23.2万人找到新工作，但是更令人失望的是没有参与工作的人数增加31.5万人至9260万人。</w:t>
            </w:r>
          </w:p>
          <w:p w:rsidR="0024724E" w:rsidRPr="00097749" w:rsidRDefault="00146DE5" w:rsidP="00146DE5">
            <w:r w:rsidRPr="00146DE5">
              <w:rPr>
                <w:noProof/>
              </w:rPr>
              <w:lastRenderedPageBreak/>
              <w:drawing>
                <wp:inline distT="0" distB="0" distL="0" distR="0">
                  <wp:extent cx="5486400" cy="3544570"/>
                  <wp:effectExtent l="19050" t="0" r="0" b="0"/>
                  <wp:docPr id="43" name="图片 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37" cstate="print"/>
                          <a:stretch>
                            <a:fillRect/>
                          </a:stretch>
                        </pic:blipFill>
                        <pic:spPr>
                          <a:xfrm>
                            <a:off x="0" y="0"/>
                            <a:ext cx="5486400" cy="3544570"/>
                          </a:xfrm>
                          <a:prstGeom prst="rect">
                            <a:avLst/>
                          </a:prstGeom>
                        </pic:spPr>
                      </pic:pic>
                    </a:graphicData>
                  </a:graphic>
                </wp:inline>
              </w:drawing>
            </w:r>
          </w:p>
        </w:tc>
      </w:tr>
      <w:tr w:rsidR="004A20F8" w:rsidRPr="00FB156A" w:rsidTr="0024724E">
        <w:trPr>
          <w:trHeight w:val="620"/>
          <w:jc w:val="center"/>
        </w:trPr>
        <w:tc>
          <w:tcPr>
            <w:tcW w:w="8953" w:type="dxa"/>
          </w:tcPr>
          <w:p w:rsidR="00146DE5" w:rsidRDefault="00146DE5" w:rsidP="00146DE5">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lastRenderedPageBreak/>
              <w:t>图</w:t>
            </w:r>
            <w:r>
              <w:rPr>
                <w:rFonts w:ascii="Times New Roman" w:hAnsi="Times New Roman" w:hint="eastAsia"/>
                <w:b/>
                <w:szCs w:val="21"/>
              </w:rPr>
              <w:t>2-13</w:t>
            </w:r>
            <w:r w:rsidRPr="00400A2B">
              <w:rPr>
                <w:rFonts w:ascii="Times New Roman" w:hAnsi="Times New Roman" w:hint="eastAsia"/>
                <w:b/>
                <w:szCs w:val="21"/>
              </w:rPr>
              <w:t>：</w:t>
            </w:r>
            <w:r>
              <w:rPr>
                <w:rFonts w:ascii="Times New Roman" w:hAnsi="Times New Roman" w:hint="eastAsia"/>
                <w:b/>
                <w:szCs w:val="21"/>
              </w:rPr>
              <w:t>2003- 2014</w:t>
            </w:r>
            <w:r>
              <w:rPr>
                <w:rFonts w:ascii="Times New Roman" w:hAnsi="Times New Roman" w:hint="eastAsia"/>
                <w:b/>
                <w:szCs w:val="21"/>
              </w:rPr>
              <w:t>年美国</w:t>
            </w:r>
            <w:r>
              <w:rPr>
                <w:rFonts w:ascii="Times New Roman" w:hAnsi="Times New Roman" w:hint="eastAsia"/>
                <w:b/>
                <w:szCs w:val="21"/>
              </w:rPr>
              <w:t>ADP</w:t>
            </w:r>
            <w:r>
              <w:rPr>
                <w:rFonts w:ascii="Times New Roman" w:hAnsi="Times New Roman" w:hint="eastAsia"/>
                <w:b/>
                <w:szCs w:val="21"/>
              </w:rPr>
              <w:t>和非农业就业人数变化对比</w:t>
            </w:r>
          </w:p>
          <w:p w:rsidR="00146DE5" w:rsidRDefault="00146DE5" w:rsidP="00146DE5">
            <w:pPr>
              <w:jc w:val="center"/>
              <w:rPr>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w:t>
            </w:r>
          </w:p>
          <w:p w:rsidR="004A20F8" w:rsidRPr="00FB156A" w:rsidRDefault="004A20F8" w:rsidP="0024724E"/>
        </w:tc>
      </w:tr>
    </w:tbl>
    <w:p w:rsidR="0024724E" w:rsidRDefault="00146DE5" w:rsidP="0024724E">
      <w:pPr>
        <w:pStyle w:val="3"/>
        <w:rPr>
          <w:color w:val="000000" w:themeColor="text1"/>
          <w:sz w:val="21"/>
          <w:szCs w:val="21"/>
        </w:rPr>
      </w:pPr>
      <w:r>
        <w:rPr>
          <w:rFonts w:hint="eastAsia"/>
          <w:color w:val="000000" w:themeColor="text1"/>
          <w:sz w:val="21"/>
          <w:szCs w:val="21"/>
        </w:rPr>
        <w:t>四</w:t>
      </w:r>
      <w:r w:rsidR="0024724E" w:rsidRPr="0031240F">
        <w:rPr>
          <w:rFonts w:hint="eastAsia"/>
          <w:color w:val="000000" w:themeColor="text1"/>
          <w:sz w:val="21"/>
          <w:szCs w:val="21"/>
        </w:rPr>
        <w:t>、</w:t>
      </w:r>
      <w:r>
        <w:rPr>
          <w:rFonts w:hint="eastAsia"/>
          <w:color w:val="000000" w:themeColor="text1"/>
          <w:sz w:val="21"/>
          <w:szCs w:val="21"/>
        </w:rPr>
        <w:t>美国消费市场保持增长态势</w:t>
      </w:r>
      <w:r>
        <w:rPr>
          <w:rFonts w:hint="eastAsia"/>
          <w:color w:val="000000" w:themeColor="text1"/>
          <w:sz w:val="21"/>
          <w:szCs w:val="21"/>
        </w:rPr>
        <w:t xml:space="preserve"> </w:t>
      </w:r>
    </w:p>
    <w:p w:rsidR="001C64BB" w:rsidRDefault="001C64BB" w:rsidP="001C64BB">
      <w:pPr>
        <w:ind w:firstLineChars="200" w:firstLine="440"/>
      </w:pPr>
    </w:p>
    <w:p w:rsidR="00083087" w:rsidRPr="00536EAD" w:rsidRDefault="001C64BB"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美国谘商局的数据显示，10月份美国谘商会消费者信心指数上升至2007年10月来最高水平。其中，对消费者信心指数提</w:t>
      </w:r>
      <w:proofErr w:type="gramStart"/>
      <w:r w:rsidRPr="00536EAD">
        <w:rPr>
          <w:rFonts w:ascii="新宋体" w:eastAsia="新宋体" w:hAnsi="新宋体" w:cs="Arial" w:hint="eastAsia"/>
          <w:color w:val="796A4F"/>
          <w:sz w:val="21"/>
          <w:szCs w:val="21"/>
        </w:rPr>
        <w:t>振最大</w:t>
      </w:r>
      <w:proofErr w:type="gramEnd"/>
      <w:r w:rsidRPr="00536EAD">
        <w:rPr>
          <w:rFonts w:ascii="新宋体" w:eastAsia="新宋体" w:hAnsi="新宋体" w:cs="Arial" w:hint="eastAsia"/>
          <w:color w:val="796A4F"/>
          <w:sz w:val="21"/>
          <w:szCs w:val="21"/>
        </w:rPr>
        <w:t>的是消费者信心预期指数的提升，显示出美联储进完全退出QE的压力在逐步减小。数据显示，美国10月美国消费者信心指数升至94.5，预估为87.0；9月消费者信心指数从86.0上至89.0。目前就业市场和企业状况的较此前更加乐观，消费者对经济现况的信心也在改善。分项数据显示，10月美国消费者信心预期指数升至95.0，为2011年2月来最高，9月经修正后为86.4；10月消费者信心现况指数为93.7，9月经修正后为93.0。另一数据显示，“工作难获得”指数下降至29.1%，9月经修正后为29.4%。“就业岗位充足”指数上升至16.5%，9月经修正后为16.3%。</w:t>
      </w:r>
    </w:p>
    <w:p w:rsidR="001C64BB" w:rsidRPr="00536EAD" w:rsidRDefault="001C64BB"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美国经济研究机构世界大型企业研究会的报告显示，得益于就业市场改善和油价下跌，10月份美国消费者信心指数大幅反弹，升至七年新高。报告显示，10月份世界大型企业研究会消费者信心指数为94.5，高于9月份修正后的89.0，创2007年10月以来新高，好于经济学家普遍预期。</w:t>
      </w:r>
    </w:p>
    <w:p w:rsidR="001C64BB" w:rsidRPr="00536EAD" w:rsidRDefault="001C64BB"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分项看，10月份反映当前状况的信心指数从上月的93.0升至93.7，反映未来预期的信心指数从上月的86.4大幅升至95.0。</w:t>
      </w:r>
    </w:p>
    <w:p w:rsidR="00083087" w:rsidRDefault="00083087" w:rsidP="001C64BB">
      <w:pPr>
        <w:jc w:val="center"/>
      </w:pPr>
      <w:r w:rsidRPr="00083087">
        <w:rPr>
          <w:noProof/>
        </w:rPr>
        <w:lastRenderedPageBreak/>
        <w:drawing>
          <wp:inline distT="0" distB="0" distL="0" distR="0">
            <wp:extent cx="5486400" cy="3700145"/>
            <wp:effectExtent l="19050" t="0" r="0" b="0"/>
            <wp:docPr id="44" name="图片 2"/>
            <wp:cNvGraphicFramePr/>
            <a:graphic xmlns:a="http://schemas.openxmlformats.org/drawingml/2006/main">
              <a:graphicData uri="http://schemas.openxmlformats.org/drawingml/2006/picture">
                <pic:pic xmlns:pic="http://schemas.openxmlformats.org/drawingml/2006/picture">
                  <pic:nvPicPr>
                    <pic:cNvPr id="301" name="图片 300"/>
                    <pic:cNvPicPr>
                      <a:picLocks noChangeAspect="1"/>
                    </pic:cNvPicPr>
                  </pic:nvPicPr>
                  <pic:blipFill>
                    <a:blip r:embed="rId38" cstate="print"/>
                    <a:stretch>
                      <a:fillRect/>
                    </a:stretch>
                  </pic:blipFill>
                  <pic:spPr>
                    <a:xfrm>
                      <a:off x="0" y="0"/>
                      <a:ext cx="5486400" cy="3700145"/>
                    </a:xfrm>
                    <a:prstGeom prst="rect">
                      <a:avLst/>
                    </a:prstGeom>
                  </pic:spPr>
                </pic:pic>
              </a:graphicData>
            </a:graphic>
          </wp:inline>
        </w:drawing>
      </w:r>
    </w:p>
    <w:p w:rsidR="001C64BB" w:rsidRDefault="001C64BB" w:rsidP="001C64BB">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2-14</w:t>
      </w:r>
      <w:r w:rsidRPr="00400A2B">
        <w:rPr>
          <w:rFonts w:ascii="Times New Roman" w:hAnsi="Times New Roman" w:hint="eastAsia"/>
          <w:b/>
          <w:szCs w:val="21"/>
        </w:rPr>
        <w:t>：</w:t>
      </w:r>
      <w:r>
        <w:rPr>
          <w:rFonts w:ascii="Times New Roman" w:hAnsi="Times New Roman" w:hint="eastAsia"/>
          <w:b/>
          <w:szCs w:val="21"/>
        </w:rPr>
        <w:t>2003- 2014</w:t>
      </w:r>
      <w:r>
        <w:rPr>
          <w:rFonts w:ascii="Times New Roman" w:hAnsi="Times New Roman" w:hint="eastAsia"/>
          <w:b/>
          <w:szCs w:val="21"/>
        </w:rPr>
        <w:t>年美国</w:t>
      </w:r>
      <w:r w:rsidR="00042159">
        <w:rPr>
          <w:rFonts w:ascii="Times New Roman" w:hAnsi="Times New Roman" w:hint="eastAsia"/>
          <w:b/>
          <w:szCs w:val="21"/>
        </w:rPr>
        <w:t>零售销售与核心零售销售同比变化</w:t>
      </w:r>
    </w:p>
    <w:p w:rsidR="001C64BB" w:rsidRDefault="001C64BB" w:rsidP="001C64BB">
      <w:pPr>
        <w:jc w:val="center"/>
        <w:rPr>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w:t>
      </w:r>
    </w:p>
    <w:p w:rsidR="001C64BB" w:rsidRDefault="001C64BB" w:rsidP="001C64BB">
      <w:pPr>
        <w:jc w:val="center"/>
      </w:pPr>
    </w:p>
    <w:p w:rsidR="00083087" w:rsidRDefault="00083087" w:rsidP="001C64BB">
      <w:pPr>
        <w:jc w:val="center"/>
      </w:pPr>
      <w:r w:rsidRPr="00083087">
        <w:rPr>
          <w:noProof/>
        </w:rPr>
        <w:lastRenderedPageBreak/>
        <w:drawing>
          <wp:inline distT="0" distB="0" distL="0" distR="0">
            <wp:extent cx="5486400" cy="3855085"/>
            <wp:effectExtent l="19050" t="0" r="0" b="0"/>
            <wp:docPr id="45" name="图片 3"/>
            <wp:cNvGraphicFramePr/>
            <a:graphic xmlns:a="http://schemas.openxmlformats.org/drawingml/2006/main">
              <a:graphicData uri="http://schemas.openxmlformats.org/drawingml/2006/picture">
                <pic:pic xmlns:pic="http://schemas.openxmlformats.org/drawingml/2006/picture">
                  <pic:nvPicPr>
                    <pic:cNvPr id="300" name="图片 299"/>
                    <pic:cNvPicPr>
                      <a:picLocks noChangeAspect="1"/>
                    </pic:cNvPicPr>
                  </pic:nvPicPr>
                  <pic:blipFill>
                    <a:blip r:embed="rId39" cstate="print"/>
                    <a:stretch>
                      <a:fillRect/>
                    </a:stretch>
                  </pic:blipFill>
                  <pic:spPr>
                    <a:xfrm>
                      <a:off x="0" y="0"/>
                      <a:ext cx="5486400" cy="3855085"/>
                    </a:xfrm>
                    <a:prstGeom prst="rect">
                      <a:avLst/>
                    </a:prstGeom>
                  </pic:spPr>
                </pic:pic>
              </a:graphicData>
            </a:graphic>
          </wp:inline>
        </w:drawing>
      </w:r>
    </w:p>
    <w:p w:rsidR="001C64BB" w:rsidRDefault="001C64BB" w:rsidP="001C64BB">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2-15</w:t>
      </w:r>
      <w:r w:rsidRPr="00400A2B">
        <w:rPr>
          <w:rFonts w:ascii="Times New Roman" w:hAnsi="Times New Roman" w:hint="eastAsia"/>
          <w:b/>
          <w:szCs w:val="21"/>
        </w:rPr>
        <w:t>：</w:t>
      </w:r>
      <w:r w:rsidR="00042159">
        <w:rPr>
          <w:rFonts w:ascii="Times New Roman" w:hAnsi="Times New Roman" w:hint="eastAsia"/>
          <w:b/>
          <w:szCs w:val="21"/>
        </w:rPr>
        <w:t xml:space="preserve"> 2003- 2014</w:t>
      </w:r>
      <w:r w:rsidR="00042159">
        <w:rPr>
          <w:rFonts w:ascii="Times New Roman" w:hAnsi="Times New Roman" w:hint="eastAsia"/>
          <w:b/>
          <w:szCs w:val="21"/>
        </w:rPr>
        <w:t>年美国零售销售与核心零售销售环比变化</w:t>
      </w:r>
    </w:p>
    <w:p w:rsidR="001C64BB" w:rsidRDefault="001C64BB" w:rsidP="001C64BB">
      <w:pPr>
        <w:jc w:val="center"/>
        <w:rPr>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w:t>
      </w:r>
    </w:p>
    <w:p w:rsidR="001C64BB" w:rsidRDefault="001C64BB" w:rsidP="001C64BB">
      <w:pPr>
        <w:ind w:firstLineChars="200" w:firstLine="440"/>
      </w:pPr>
    </w:p>
    <w:p w:rsidR="00042159" w:rsidRPr="00536EAD" w:rsidRDefault="00042159"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美国9月份零售额下降，这表明许多美国人在进入今年最</w:t>
      </w:r>
      <w:proofErr w:type="gramStart"/>
      <w:r w:rsidRPr="00536EAD">
        <w:rPr>
          <w:rFonts w:ascii="新宋体" w:eastAsia="新宋体" w:hAnsi="新宋体" w:cs="Arial" w:hint="eastAsia"/>
          <w:color w:val="796A4F"/>
          <w:sz w:val="21"/>
          <w:szCs w:val="21"/>
        </w:rPr>
        <w:t>後</w:t>
      </w:r>
      <w:proofErr w:type="gramEnd"/>
      <w:r w:rsidRPr="00536EAD">
        <w:rPr>
          <w:rFonts w:ascii="新宋体" w:eastAsia="新宋体" w:hAnsi="新宋体" w:cs="Arial" w:hint="eastAsia"/>
          <w:color w:val="796A4F"/>
          <w:sz w:val="21"/>
          <w:szCs w:val="21"/>
        </w:rPr>
        <w:t>几个月时仍对支出保持谨慎态度。美国9月零售销售环比下降0.3%，预期增长0.1%，前值则增长0.6%。 具体数据显示，9月份零售和食品销售额较8月份下降0.3%至4,427亿美元，这是零售额自1月份以来首次下降，当时异常寒冷的冬季天气导致经济放缓，预期为近下降0.1%,前值为上升0.6%。 而不包括汽车的核心零售额较上月下降0.2%，预期为上升0.2%，前值为上升0.3%。 商务部表示，9月份零售额下降部分是受汽车、家居建材供应商以及无店铺零售商 (其中包括网上零售额) 的零售额减少影响。9月服装店零售额环比减少1.2%，为近两年来最大降幅。 9月份汽车及配件零售额下降0.8%，为1月份以来首次下降。 9月加油站零售额环比下降0.8%，同比下降2.5%。 9月份不包括汽车和汽油的零售额下降0.1%。</w:t>
      </w:r>
    </w:p>
    <w:p w:rsidR="001C64BB" w:rsidRPr="00536EAD" w:rsidRDefault="001C64BB"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市场对全球经济增速放缓的消极情绪，触发金融市场的恐慌性抛售。与经济周期密切相关的大宗商品，比如原油和原材料等，市场人气继续受需求忧虑的拖累而低迷。今年三季度，大宗商品累计下挫12%，季度跌幅为2008年四季度以来最大。其中，布伦</w:t>
      </w:r>
      <w:proofErr w:type="gramStart"/>
      <w:r w:rsidRPr="00536EAD">
        <w:rPr>
          <w:rFonts w:ascii="新宋体" w:eastAsia="新宋体" w:hAnsi="新宋体" w:cs="Arial" w:hint="eastAsia"/>
          <w:color w:val="796A4F"/>
          <w:sz w:val="21"/>
          <w:szCs w:val="21"/>
        </w:rPr>
        <w:t>特</w:t>
      </w:r>
      <w:proofErr w:type="gramEnd"/>
      <w:r w:rsidRPr="00536EAD">
        <w:rPr>
          <w:rFonts w:ascii="新宋体" w:eastAsia="新宋体" w:hAnsi="新宋体" w:cs="Arial" w:hint="eastAsia"/>
          <w:color w:val="796A4F"/>
          <w:sz w:val="21"/>
          <w:szCs w:val="21"/>
        </w:rPr>
        <w:t>和WTI原油、玉米、小麦等谷物价格也相继步入熊市。不断增加的供应、强势美元及全球经济增速放缓施压商品价格进一步走低。此外，乌克兰危机和中东地缘政治危机也对市场起到了推波助澜的作用。大宗商品的全球大买家中国的经济增速可能创下20年以来的最慢增速。</w:t>
      </w:r>
    </w:p>
    <w:p w:rsidR="00083087" w:rsidRDefault="00083087" w:rsidP="001C64BB">
      <w:pPr>
        <w:jc w:val="center"/>
      </w:pPr>
      <w:r w:rsidRPr="00083087">
        <w:rPr>
          <w:noProof/>
        </w:rPr>
        <w:lastRenderedPageBreak/>
        <w:drawing>
          <wp:inline distT="0" distB="0" distL="0" distR="0">
            <wp:extent cx="5486400" cy="3448050"/>
            <wp:effectExtent l="19050" t="0" r="0" b="0"/>
            <wp:docPr id="46" name="图片 4"/>
            <wp:cNvGraphicFramePr/>
            <a:graphic xmlns:a="http://schemas.openxmlformats.org/drawingml/2006/main">
              <a:graphicData uri="http://schemas.openxmlformats.org/drawingml/2006/picture">
                <pic:pic xmlns:pic="http://schemas.openxmlformats.org/drawingml/2006/picture">
                  <pic:nvPicPr>
                    <pic:cNvPr id="299" name="图片 298"/>
                    <pic:cNvPicPr>
                      <a:picLocks noChangeAspect="1"/>
                    </pic:cNvPicPr>
                  </pic:nvPicPr>
                  <pic:blipFill>
                    <a:blip r:embed="rId40" cstate="print"/>
                    <a:stretch>
                      <a:fillRect/>
                    </a:stretch>
                  </pic:blipFill>
                  <pic:spPr>
                    <a:xfrm>
                      <a:off x="0" y="0"/>
                      <a:ext cx="5486400" cy="3448050"/>
                    </a:xfrm>
                    <a:prstGeom prst="rect">
                      <a:avLst/>
                    </a:prstGeom>
                  </pic:spPr>
                </pic:pic>
              </a:graphicData>
            </a:graphic>
          </wp:inline>
        </w:drawing>
      </w:r>
    </w:p>
    <w:p w:rsidR="001C64BB" w:rsidRDefault="001C64BB" w:rsidP="001C64BB">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2-16</w:t>
      </w:r>
      <w:r w:rsidRPr="00400A2B">
        <w:rPr>
          <w:rFonts w:ascii="Times New Roman" w:hAnsi="Times New Roman" w:hint="eastAsia"/>
          <w:b/>
          <w:szCs w:val="21"/>
        </w:rPr>
        <w:t>：</w:t>
      </w:r>
      <w:r w:rsidR="00042159">
        <w:rPr>
          <w:rFonts w:ascii="Times New Roman" w:hAnsi="Times New Roman" w:hint="eastAsia"/>
          <w:b/>
          <w:szCs w:val="21"/>
        </w:rPr>
        <w:t>2003- 2014</w:t>
      </w:r>
      <w:r w:rsidR="00042159">
        <w:rPr>
          <w:rFonts w:ascii="Times New Roman" w:hAnsi="Times New Roman" w:hint="eastAsia"/>
          <w:b/>
          <w:szCs w:val="21"/>
        </w:rPr>
        <w:t>年美国零售销售与核心零售销售同欧元区零售销售同比变化</w:t>
      </w:r>
    </w:p>
    <w:p w:rsidR="001C64BB" w:rsidRDefault="001C64BB" w:rsidP="001C64BB">
      <w:pPr>
        <w:jc w:val="cente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w:t>
      </w:r>
    </w:p>
    <w:p w:rsidR="00083087" w:rsidRDefault="00083087" w:rsidP="001C64BB">
      <w:pPr>
        <w:jc w:val="center"/>
      </w:pPr>
      <w:r w:rsidRPr="00083087">
        <w:rPr>
          <w:noProof/>
        </w:rPr>
        <w:drawing>
          <wp:inline distT="0" distB="0" distL="0" distR="0">
            <wp:extent cx="5486400" cy="3451860"/>
            <wp:effectExtent l="19050" t="0" r="0" b="0"/>
            <wp:docPr id="47" name="图片 5"/>
            <wp:cNvGraphicFramePr/>
            <a:graphic xmlns:a="http://schemas.openxmlformats.org/drawingml/2006/main">
              <a:graphicData uri="http://schemas.openxmlformats.org/drawingml/2006/picture">
                <pic:pic xmlns:pic="http://schemas.openxmlformats.org/drawingml/2006/picture">
                  <pic:nvPicPr>
                    <pic:cNvPr id="302" name="图片 301"/>
                    <pic:cNvPicPr>
                      <a:picLocks noChangeAspect="1"/>
                    </pic:cNvPicPr>
                  </pic:nvPicPr>
                  <pic:blipFill>
                    <a:blip r:embed="rId41" cstate="print"/>
                    <a:stretch>
                      <a:fillRect/>
                    </a:stretch>
                  </pic:blipFill>
                  <pic:spPr>
                    <a:xfrm>
                      <a:off x="0" y="0"/>
                      <a:ext cx="5486400" cy="3451860"/>
                    </a:xfrm>
                    <a:prstGeom prst="rect">
                      <a:avLst/>
                    </a:prstGeom>
                  </pic:spPr>
                </pic:pic>
              </a:graphicData>
            </a:graphic>
          </wp:inline>
        </w:drawing>
      </w:r>
    </w:p>
    <w:p w:rsidR="001C64BB" w:rsidRDefault="001C64BB" w:rsidP="001C64BB">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2-17</w:t>
      </w:r>
      <w:r w:rsidRPr="00400A2B">
        <w:rPr>
          <w:rFonts w:ascii="Times New Roman" w:hAnsi="Times New Roman" w:hint="eastAsia"/>
          <w:b/>
          <w:szCs w:val="21"/>
        </w:rPr>
        <w:t>：</w:t>
      </w:r>
      <w:r>
        <w:rPr>
          <w:rFonts w:ascii="Times New Roman" w:hAnsi="Times New Roman" w:hint="eastAsia"/>
          <w:b/>
          <w:szCs w:val="21"/>
        </w:rPr>
        <w:t>2003- 2014</w:t>
      </w:r>
      <w:r>
        <w:rPr>
          <w:rFonts w:ascii="Times New Roman" w:hAnsi="Times New Roman" w:hint="eastAsia"/>
          <w:b/>
          <w:szCs w:val="21"/>
        </w:rPr>
        <w:t>年美国</w:t>
      </w:r>
      <w:r w:rsidR="00042159">
        <w:rPr>
          <w:rFonts w:ascii="Times New Roman" w:hAnsi="Times New Roman" w:hint="eastAsia"/>
          <w:b/>
          <w:szCs w:val="21"/>
        </w:rPr>
        <w:t>消费信贷总额与消费信贷同比</w:t>
      </w:r>
      <w:r>
        <w:rPr>
          <w:rFonts w:ascii="Times New Roman" w:hAnsi="Times New Roman" w:hint="eastAsia"/>
          <w:b/>
          <w:szCs w:val="21"/>
        </w:rPr>
        <w:t>变化</w:t>
      </w:r>
    </w:p>
    <w:p w:rsidR="00083087" w:rsidRDefault="001C64BB" w:rsidP="001C64BB">
      <w:pPr>
        <w:jc w:val="center"/>
      </w:pPr>
      <w:r w:rsidRPr="00477DD1">
        <w:rPr>
          <w:rFonts w:ascii="Times New Roman" w:hAnsi="Times New Roman"/>
          <w:b/>
          <w:szCs w:val="21"/>
        </w:rPr>
        <w:lastRenderedPageBreak/>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w:t>
      </w:r>
    </w:p>
    <w:p w:rsidR="00083087" w:rsidRDefault="00083087" w:rsidP="001C64BB">
      <w:pPr>
        <w:jc w:val="center"/>
      </w:pPr>
      <w:r w:rsidRPr="00083087">
        <w:rPr>
          <w:noProof/>
        </w:rPr>
        <w:drawing>
          <wp:inline distT="0" distB="0" distL="0" distR="0">
            <wp:extent cx="5486400" cy="3580130"/>
            <wp:effectExtent l="19050" t="0" r="0" b="0"/>
            <wp:docPr id="48" name="图片 6"/>
            <wp:cNvGraphicFramePr/>
            <a:graphic xmlns:a="http://schemas.openxmlformats.org/drawingml/2006/main">
              <a:graphicData uri="http://schemas.openxmlformats.org/drawingml/2006/picture">
                <pic:pic xmlns:pic="http://schemas.openxmlformats.org/drawingml/2006/picture">
                  <pic:nvPicPr>
                    <pic:cNvPr id="303" name="图片 302"/>
                    <pic:cNvPicPr>
                      <a:picLocks noChangeAspect="1"/>
                    </pic:cNvPicPr>
                  </pic:nvPicPr>
                  <pic:blipFill>
                    <a:blip r:embed="rId42" cstate="print"/>
                    <a:stretch>
                      <a:fillRect/>
                    </a:stretch>
                  </pic:blipFill>
                  <pic:spPr>
                    <a:xfrm>
                      <a:off x="0" y="0"/>
                      <a:ext cx="5486400" cy="3580130"/>
                    </a:xfrm>
                    <a:prstGeom prst="rect">
                      <a:avLst/>
                    </a:prstGeom>
                  </pic:spPr>
                </pic:pic>
              </a:graphicData>
            </a:graphic>
          </wp:inline>
        </w:drawing>
      </w:r>
    </w:p>
    <w:p w:rsidR="001C64BB" w:rsidRDefault="001C64BB" w:rsidP="001C64BB">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2-1</w:t>
      </w:r>
      <w:r w:rsidR="00042159">
        <w:rPr>
          <w:rFonts w:ascii="Times New Roman" w:hAnsi="Times New Roman" w:hint="eastAsia"/>
          <w:b/>
          <w:szCs w:val="21"/>
        </w:rPr>
        <w:t>8</w:t>
      </w:r>
      <w:r w:rsidRPr="00400A2B">
        <w:rPr>
          <w:rFonts w:ascii="Times New Roman" w:hAnsi="Times New Roman" w:hint="eastAsia"/>
          <w:b/>
          <w:szCs w:val="21"/>
        </w:rPr>
        <w:t>：</w:t>
      </w:r>
      <w:r>
        <w:rPr>
          <w:rFonts w:ascii="Times New Roman" w:hAnsi="Times New Roman" w:hint="eastAsia"/>
          <w:b/>
          <w:szCs w:val="21"/>
        </w:rPr>
        <w:t>2003- 2014</w:t>
      </w:r>
      <w:r>
        <w:rPr>
          <w:rFonts w:ascii="Times New Roman" w:hAnsi="Times New Roman" w:hint="eastAsia"/>
          <w:b/>
          <w:szCs w:val="21"/>
        </w:rPr>
        <w:t>年美国</w:t>
      </w:r>
      <w:r w:rsidR="00042159">
        <w:rPr>
          <w:rFonts w:ascii="Times New Roman" w:hAnsi="Times New Roman" w:hint="eastAsia"/>
          <w:b/>
          <w:szCs w:val="21"/>
        </w:rPr>
        <w:t>个人收支同比变化与个人储蓄率</w:t>
      </w:r>
      <w:r>
        <w:rPr>
          <w:rFonts w:ascii="Times New Roman" w:hAnsi="Times New Roman" w:hint="eastAsia"/>
          <w:b/>
          <w:szCs w:val="21"/>
        </w:rPr>
        <w:t>变化对比</w:t>
      </w:r>
    </w:p>
    <w:p w:rsidR="001C64BB" w:rsidRDefault="001C64BB" w:rsidP="001C64BB">
      <w:pPr>
        <w:jc w:val="center"/>
        <w:rPr>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w:t>
      </w:r>
    </w:p>
    <w:p w:rsidR="001C64BB" w:rsidRDefault="001C64BB" w:rsidP="001C64BB">
      <w:pPr>
        <w:jc w:val="center"/>
      </w:pPr>
    </w:p>
    <w:p w:rsidR="00083087" w:rsidRDefault="00083087" w:rsidP="001C64BB">
      <w:pPr>
        <w:jc w:val="center"/>
      </w:pPr>
      <w:r w:rsidRPr="00083087">
        <w:rPr>
          <w:noProof/>
        </w:rPr>
        <w:lastRenderedPageBreak/>
        <w:drawing>
          <wp:inline distT="0" distB="0" distL="0" distR="0">
            <wp:extent cx="5486400" cy="3811905"/>
            <wp:effectExtent l="19050" t="0" r="0" b="0"/>
            <wp:docPr id="49" name="图片 7"/>
            <wp:cNvGraphicFramePr/>
            <a:graphic xmlns:a="http://schemas.openxmlformats.org/drawingml/2006/main">
              <a:graphicData uri="http://schemas.openxmlformats.org/drawingml/2006/picture">
                <pic:pic xmlns:pic="http://schemas.openxmlformats.org/drawingml/2006/picture">
                  <pic:nvPicPr>
                    <pic:cNvPr id="276" name="图片 275"/>
                    <pic:cNvPicPr>
                      <a:picLocks noChangeAspect="1"/>
                    </pic:cNvPicPr>
                  </pic:nvPicPr>
                  <pic:blipFill>
                    <a:blip r:embed="rId43" cstate="print"/>
                    <a:stretch>
                      <a:fillRect/>
                    </a:stretch>
                  </pic:blipFill>
                  <pic:spPr>
                    <a:xfrm>
                      <a:off x="0" y="0"/>
                      <a:ext cx="5486400" cy="3811905"/>
                    </a:xfrm>
                    <a:prstGeom prst="rect">
                      <a:avLst/>
                    </a:prstGeom>
                  </pic:spPr>
                </pic:pic>
              </a:graphicData>
            </a:graphic>
          </wp:inline>
        </w:drawing>
      </w:r>
    </w:p>
    <w:p w:rsidR="001C64BB" w:rsidRDefault="001C64BB" w:rsidP="001C64BB">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2-1</w:t>
      </w:r>
      <w:r w:rsidR="00042159">
        <w:rPr>
          <w:rFonts w:ascii="Times New Roman" w:hAnsi="Times New Roman" w:hint="eastAsia"/>
          <w:b/>
          <w:szCs w:val="21"/>
        </w:rPr>
        <w:t>9</w:t>
      </w:r>
      <w:r w:rsidRPr="00400A2B">
        <w:rPr>
          <w:rFonts w:ascii="Times New Roman" w:hAnsi="Times New Roman" w:hint="eastAsia"/>
          <w:b/>
          <w:szCs w:val="21"/>
        </w:rPr>
        <w:t>：</w:t>
      </w:r>
      <w:r>
        <w:rPr>
          <w:rFonts w:ascii="Times New Roman" w:hAnsi="Times New Roman" w:hint="eastAsia"/>
          <w:b/>
          <w:szCs w:val="21"/>
        </w:rPr>
        <w:t>200</w:t>
      </w:r>
      <w:r w:rsidR="00821365">
        <w:rPr>
          <w:rFonts w:ascii="Times New Roman" w:hAnsi="Times New Roman" w:hint="eastAsia"/>
          <w:b/>
          <w:szCs w:val="21"/>
        </w:rPr>
        <w:t>2</w:t>
      </w:r>
      <w:r>
        <w:rPr>
          <w:rFonts w:ascii="Times New Roman" w:hAnsi="Times New Roman" w:hint="eastAsia"/>
          <w:b/>
          <w:szCs w:val="21"/>
        </w:rPr>
        <w:t>- 2014</w:t>
      </w:r>
      <w:r>
        <w:rPr>
          <w:rFonts w:ascii="Times New Roman" w:hAnsi="Times New Roman" w:hint="eastAsia"/>
          <w:b/>
          <w:szCs w:val="21"/>
        </w:rPr>
        <w:t>年美国</w:t>
      </w:r>
      <w:r w:rsidR="00821365">
        <w:rPr>
          <w:rFonts w:ascii="Times New Roman" w:hAnsi="Times New Roman" w:hint="eastAsia"/>
          <w:b/>
          <w:szCs w:val="21"/>
        </w:rPr>
        <w:t>核心</w:t>
      </w:r>
      <w:r w:rsidR="00821365">
        <w:rPr>
          <w:rFonts w:ascii="Times New Roman" w:hAnsi="Times New Roman" w:hint="eastAsia"/>
          <w:b/>
          <w:szCs w:val="21"/>
        </w:rPr>
        <w:t>PPI</w:t>
      </w:r>
      <w:r w:rsidR="00821365">
        <w:rPr>
          <w:rFonts w:ascii="Times New Roman" w:hAnsi="Times New Roman" w:hint="eastAsia"/>
          <w:b/>
          <w:szCs w:val="21"/>
        </w:rPr>
        <w:t>与</w:t>
      </w:r>
      <w:r w:rsidR="00821365">
        <w:rPr>
          <w:rFonts w:ascii="Times New Roman" w:hAnsi="Times New Roman" w:hint="eastAsia"/>
          <w:b/>
          <w:szCs w:val="21"/>
        </w:rPr>
        <w:t>CPI</w:t>
      </w:r>
      <w:r w:rsidR="00821365">
        <w:rPr>
          <w:rFonts w:ascii="Times New Roman" w:hAnsi="Times New Roman" w:hint="eastAsia"/>
          <w:b/>
          <w:szCs w:val="21"/>
        </w:rPr>
        <w:t>同比</w:t>
      </w:r>
      <w:r>
        <w:rPr>
          <w:rFonts w:ascii="Times New Roman" w:hAnsi="Times New Roman" w:hint="eastAsia"/>
          <w:b/>
          <w:szCs w:val="21"/>
        </w:rPr>
        <w:t>变化对比</w:t>
      </w:r>
    </w:p>
    <w:p w:rsidR="001C64BB" w:rsidRDefault="001C64BB" w:rsidP="001C64BB">
      <w:pPr>
        <w:jc w:val="center"/>
        <w:rPr>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w:t>
      </w:r>
    </w:p>
    <w:p w:rsidR="001C64BB" w:rsidRDefault="001C64BB" w:rsidP="001C64BB">
      <w:pPr>
        <w:jc w:val="center"/>
      </w:pPr>
    </w:p>
    <w:p w:rsidR="00083087" w:rsidRDefault="00083087" w:rsidP="001C64BB">
      <w:pPr>
        <w:jc w:val="center"/>
      </w:pPr>
      <w:r w:rsidRPr="00083087">
        <w:rPr>
          <w:noProof/>
        </w:rPr>
        <w:lastRenderedPageBreak/>
        <w:drawing>
          <wp:inline distT="0" distB="0" distL="0" distR="0">
            <wp:extent cx="5486400" cy="3732530"/>
            <wp:effectExtent l="19050" t="0" r="0" b="0"/>
            <wp:docPr id="50" name="图片 8"/>
            <wp:cNvGraphicFramePr/>
            <a:graphic xmlns:a="http://schemas.openxmlformats.org/drawingml/2006/main">
              <a:graphicData uri="http://schemas.openxmlformats.org/drawingml/2006/picture">
                <pic:pic xmlns:pic="http://schemas.openxmlformats.org/drawingml/2006/picture">
                  <pic:nvPicPr>
                    <pic:cNvPr id="296" name="图片 295"/>
                    <pic:cNvPicPr>
                      <a:picLocks noChangeAspect="1"/>
                    </pic:cNvPicPr>
                  </pic:nvPicPr>
                  <pic:blipFill>
                    <a:blip r:embed="rId44" cstate="print"/>
                    <a:stretch>
                      <a:fillRect/>
                    </a:stretch>
                  </pic:blipFill>
                  <pic:spPr>
                    <a:xfrm>
                      <a:off x="0" y="0"/>
                      <a:ext cx="5486400" cy="3732530"/>
                    </a:xfrm>
                    <a:prstGeom prst="rect">
                      <a:avLst/>
                    </a:prstGeom>
                  </pic:spPr>
                </pic:pic>
              </a:graphicData>
            </a:graphic>
          </wp:inline>
        </w:drawing>
      </w:r>
    </w:p>
    <w:p w:rsidR="00821365" w:rsidRDefault="001C64BB" w:rsidP="00821365">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w:t>
      </w:r>
      <w:r w:rsidR="00042159">
        <w:rPr>
          <w:rFonts w:ascii="Times New Roman" w:hAnsi="Times New Roman" w:hint="eastAsia"/>
          <w:b/>
          <w:szCs w:val="21"/>
        </w:rPr>
        <w:t>20</w:t>
      </w:r>
      <w:r w:rsidRPr="00400A2B">
        <w:rPr>
          <w:rFonts w:ascii="Times New Roman" w:hAnsi="Times New Roman" w:hint="eastAsia"/>
          <w:b/>
          <w:szCs w:val="21"/>
        </w:rPr>
        <w:t>：</w:t>
      </w:r>
      <w:r w:rsidR="00821365">
        <w:rPr>
          <w:rFonts w:ascii="Times New Roman" w:hAnsi="Times New Roman" w:hint="eastAsia"/>
          <w:b/>
          <w:szCs w:val="21"/>
        </w:rPr>
        <w:t>2002- 2014</w:t>
      </w:r>
      <w:r w:rsidR="00821365">
        <w:rPr>
          <w:rFonts w:ascii="Times New Roman" w:hAnsi="Times New Roman" w:hint="eastAsia"/>
          <w:b/>
          <w:szCs w:val="21"/>
        </w:rPr>
        <w:t>年美国</w:t>
      </w:r>
      <w:r w:rsidR="00821365">
        <w:rPr>
          <w:rFonts w:ascii="Times New Roman" w:hAnsi="Times New Roman" w:hint="eastAsia"/>
          <w:b/>
          <w:szCs w:val="21"/>
        </w:rPr>
        <w:t>PCE</w:t>
      </w:r>
      <w:r w:rsidR="00821365">
        <w:rPr>
          <w:rFonts w:ascii="Times New Roman" w:hAnsi="Times New Roman" w:hint="eastAsia"/>
          <w:b/>
          <w:szCs w:val="21"/>
        </w:rPr>
        <w:t>与核心</w:t>
      </w:r>
      <w:r w:rsidR="00821365">
        <w:rPr>
          <w:rFonts w:ascii="Times New Roman" w:hAnsi="Times New Roman" w:hint="eastAsia"/>
          <w:b/>
          <w:szCs w:val="21"/>
        </w:rPr>
        <w:t>PCE</w:t>
      </w:r>
      <w:r w:rsidR="00821365">
        <w:rPr>
          <w:rFonts w:ascii="Times New Roman" w:hAnsi="Times New Roman" w:hint="eastAsia"/>
          <w:b/>
          <w:szCs w:val="21"/>
        </w:rPr>
        <w:t>同比变化对比</w:t>
      </w:r>
    </w:p>
    <w:p w:rsidR="001C64BB" w:rsidRDefault="001C64BB" w:rsidP="001C64BB">
      <w:pPr>
        <w:jc w:val="center"/>
        <w:rPr>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w:t>
      </w:r>
    </w:p>
    <w:p w:rsidR="00042159" w:rsidRDefault="00042159" w:rsidP="00042159">
      <w:pPr>
        <w:ind w:firstLineChars="200" w:firstLine="440"/>
      </w:pPr>
    </w:p>
    <w:p w:rsidR="001C64BB" w:rsidRPr="00536EAD" w:rsidRDefault="00042159"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9月份美国个人收入继续增长，但个人消费</w:t>
      </w:r>
      <w:proofErr w:type="gramStart"/>
      <w:r w:rsidRPr="00536EAD">
        <w:rPr>
          <w:rFonts w:ascii="新宋体" w:eastAsia="新宋体" w:hAnsi="新宋体" w:cs="Arial" w:hint="eastAsia"/>
          <w:color w:val="796A4F"/>
          <w:sz w:val="21"/>
          <w:szCs w:val="21"/>
        </w:rPr>
        <w:t>开支环</w:t>
      </w:r>
      <w:proofErr w:type="gramEnd"/>
      <w:r w:rsidRPr="00536EAD">
        <w:rPr>
          <w:rFonts w:ascii="新宋体" w:eastAsia="新宋体" w:hAnsi="新宋体" w:cs="Arial" w:hint="eastAsia"/>
          <w:color w:val="796A4F"/>
          <w:sz w:val="21"/>
          <w:szCs w:val="21"/>
        </w:rPr>
        <w:t>比下降。9月份美国个人收入环比增长0.2%，低于8月份0.3%的增幅。受收入增长放缓影响，个人消费</w:t>
      </w:r>
      <w:proofErr w:type="gramStart"/>
      <w:r w:rsidRPr="00536EAD">
        <w:rPr>
          <w:rFonts w:ascii="新宋体" w:eastAsia="新宋体" w:hAnsi="新宋体" w:cs="Arial" w:hint="eastAsia"/>
          <w:color w:val="796A4F"/>
          <w:sz w:val="21"/>
          <w:szCs w:val="21"/>
        </w:rPr>
        <w:t>开支环</w:t>
      </w:r>
      <w:proofErr w:type="gramEnd"/>
      <w:r w:rsidRPr="00536EAD">
        <w:rPr>
          <w:rFonts w:ascii="新宋体" w:eastAsia="新宋体" w:hAnsi="新宋体" w:cs="Arial" w:hint="eastAsia"/>
          <w:color w:val="796A4F"/>
          <w:sz w:val="21"/>
          <w:szCs w:val="21"/>
        </w:rPr>
        <w:t>比下降0.2%，为今年以来首次下降，而8月份个人消费</w:t>
      </w:r>
      <w:proofErr w:type="gramStart"/>
      <w:r w:rsidRPr="00536EAD">
        <w:rPr>
          <w:rFonts w:ascii="新宋体" w:eastAsia="新宋体" w:hAnsi="新宋体" w:cs="Arial" w:hint="eastAsia"/>
          <w:color w:val="796A4F"/>
          <w:sz w:val="21"/>
          <w:szCs w:val="21"/>
        </w:rPr>
        <w:t>开支环</w:t>
      </w:r>
      <w:proofErr w:type="gramEnd"/>
      <w:r w:rsidRPr="00536EAD">
        <w:rPr>
          <w:rFonts w:ascii="新宋体" w:eastAsia="新宋体" w:hAnsi="新宋体" w:cs="Arial" w:hint="eastAsia"/>
          <w:color w:val="796A4F"/>
          <w:sz w:val="21"/>
          <w:szCs w:val="21"/>
        </w:rPr>
        <w:t>比增长0.5%。当月美国民众储蓄率为5.6%，高于前月的5.4%。9月份剔除食品和能源价格的核心个人消费开支价格指数同比上升1.5%，低于美国联邦储备委员会设定的2%通胀目标。</w:t>
      </w:r>
    </w:p>
    <w:p w:rsidR="00083087" w:rsidRDefault="00083087" w:rsidP="001C64BB">
      <w:pPr>
        <w:jc w:val="center"/>
      </w:pPr>
      <w:r w:rsidRPr="00083087">
        <w:rPr>
          <w:noProof/>
        </w:rPr>
        <w:lastRenderedPageBreak/>
        <w:drawing>
          <wp:inline distT="0" distB="0" distL="0" distR="0">
            <wp:extent cx="5486400" cy="3753485"/>
            <wp:effectExtent l="19050" t="0" r="0" b="0"/>
            <wp:docPr id="51" name="图片 9"/>
            <wp:cNvGraphicFramePr/>
            <a:graphic xmlns:a="http://schemas.openxmlformats.org/drawingml/2006/main">
              <a:graphicData uri="http://schemas.openxmlformats.org/drawingml/2006/picture">
                <pic:pic xmlns:pic="http://schemas.openxmlformats.org/drawingml/2006/picture">
                  <pic:nvPicPr>
                    <pic:cNvPr id="298" name="图片 297"/>
                    <pic:cNvPicPr>
                      <a:picLocks noChangeAspect="1"/>
                    </pic:cNvPicPr>
                  </pic:nvPicPr>
                  <pic:blipFill>
                    <a:blip r:embed="rId45" cstate="print"/>
                    <a:stretch>
                      <a:fillRect/>
                    </a:stretch>
                  </pic:blipFill>
                  <pic:spPr>
                    <a:xfrm>
                      <a:off x="0" y="0"/>
                      <a:ext cx="5486400" cy="3753485"/>
                    </a:xfrm>
                    <a:prstGeom prst="rect">
                      <a:avLst/>
                    </a:prstGeom>
                  </pic:spPr>
                </pic:pic>
              </a:graphicData>
            </a:graphic>
          </wp:inline>
        </w:drawing>
      </w:r>
    </w:p>
    <w:p w:rsidR="00821365" w:rsidRDefault="001C64BB" w:rsidP="00821365">
      <w:pPr>
        <w:spacing w:line="36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2-2</w:t>
      </w:r>
      <w:r w:rsidR="00042159">
        <w:rPr>
          <w:rFonts w:ascii="Times New Roman" w:hAnsi="Times New Roman" w:hint="eastAsia"/>
          <w:b/>
          <w:szCs w:val="21"/>
        </w:rPr>
        <w:t>1</w:t>
      </w:r>
      <w:r w:rsidRPr="00400A2B">
        <w:rPr>
          <w:rFonts w:ascii="Times New Roman" w:hAnsi="Times New Roman" w:hint="eastAsia"/>
          <w:b/>
          <w:szCs w:val="21"/>
        </w:rPr>
        <w:t>：</w:t>
      </w:r>
      <w:r>
        <w:rPr>
          <w:rFonts w:ascii="Times New Roman" w:hAnsi="Times New Roman" w:hint="eastAsia"/>
          <w:b/>
          <w:szCs w:val="21"/>
        </w:rPr>
        <w:t>2003- 2014</w:t>
      </w:r>
      <w:r>
        <w:rPr>
          <w:rFonts w:ascii="Times New Roman" w:hAnsi="Times New Roman" w:hint="eastAsia"/>
          <w:b/>
          <w:szCs w:val="21"/>
        </w:rPr>
        <w:t>年</w:t>
      </w:r>
      <w:r w:rsidR="00821365">
        <w:rPr>
          <w:rFonts w:ascii="Times New Roman" w:hAnsi="Times New Roman" w:hint="eastAsia"/>
          <w:b/>
          <w:szCs w:val="21"/>
        </w:rPr>
        <w:t>美国核心</w:t>
      </w:r>
      <w:r w:rsidR="00821365">
        <w:rPr>
          <w:rFonts w:ascii="Times New Roman" w:hAnsi="Times New Roman" w:hint="eastAsia"/>
          <w:b/>
          <w:szCs w:val="21"/>
        </w:rPr>
        <w:t>CPI</w:t>
      </w:r>
      <w:r w:rsidR="00821365">
        <w:rPr>
          <w:rFonts w:ascii="Times New Roman" w:hAnsi="Times New Roman" w:hint="eastAsia"/>
          <w:b/>
          <w:szCs w:val="21"/>
        </w:rPr>
        <w:t>与</w:t>
      </w:r>
      <w:r w:rsidR="00821365">
        <w:rPr>
          <w:rFonts w:ascii="Times New Roman" w:hAnsi="Times New Roman" w:hint="eastAsia"/>
          <w:b/>
          <w:szCs w:val="21"/>
        </w:rPr>
        <w:t>PCE</w:t>
      </w:r>
      <w:r w:rsidR="00821365">
        <w:rPr>
          <w:rFonts w:ascii="Times New Roman" w:hAnsi="Times New Roman" w:hint="eastAsia"/>
          <w:b/>
          <w:szCs w:val="21"/>
        </w:rPr>
        <w:t>同比变化对比</w:t>
      </w:r>
    </w:p>
    <w:p w:rsidR="001C64BB" w:rsidRDefault="001C64BB" w:rsidP="001C64BB">
      <w:pPr>
        <w:jc w:val="center"/>
        <w:rPr>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w:t>
      </w:r>
    </w:p>
    <w:p w:rsidR="00083087" w:rsidRDefault="00083087" w:rsidP="00083087"/>
    <w:p w:rsidR="00083087" w:rsidRPr="00536EAD" w:rsidRDefault="001C64BB"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美</w:t>
      </w:r>
      <w:r w:rsidR="00083087" w:rsidRPr="00536EAD">
        <w:rPr>
          <w:rFonts w:ascii="新宋体" w:eastAsia="新宋体" w:hAnsi="新宋体" w:cs="Arial" w:hint="eastAsia"/>
          <w:color w:val="796A4F"/>
          <w:sz w:val="21"/>
          <w:szCs w:val="21"/>
        </w:rPr>
        <w:t>联储的数据显示，经季节调整，美国8月份消费信贷总额约为3.2470</w:t>
      </w:r>
      <w:proofErr w:type="gramStart"/>
      <w:r w:rsidR="00083087" w:rsidRPr="00536EAD">
        <w:rPr>
          <w:rFonts w:ascii="新宋体" w:eastAsia="新宋体" w:hAnsi="新宋体" w:cs="Arial" w:hint="eastAsia"/>
          <w:color w:val="796A4F"/>
          <w:sz w:val="21"/>
          <w:szCs w:val="21"/>
        </w:rPr>
        <w:t>万亿</w:t>
      </w:r>
      <w:proofErr w:type="gramEnd"/>
      <w:r w:rsidR="00083087" w:rsidRPr="00536EAD">
        <w:rPr>
          <w:rFonts w:ascii="新宋体" w:eastAsia="新宋体" w:hAnsi="新宋体" w:cs="Arial" w:hint="eastAsia"/>
          <w:color w:val="796A4F"/>
          <w:sz w:val="21"/>
          <w:szCs w:val="21"/>
        </w:rPr>
        <w:t>美元，按年率计算增长5.0%。数据显示，美国8月份消费信贷共增加135.2亿美元，低于市场预期的增加200亿美元，为2013年11月以来最小增幅。当月用于信用卡消费方面的周转性信贷总额为8803亿美元，按年率计算下降0.3%，周转信贷总额为6个月来首次下降；用于教育、休假等方面的非周转性信贷总额为2.3667</w:t>
      </w:r>
      <w:proofErr w:type="gramStart"/>
      <w:r w:rsidR="00083087" w:rsidRPr="00536EAD">
        <w:rPr>
          <w:rFonts w:ascii="新宋体" w:eastAsia="新宋体" w:hAnsi="新宋体" w:cs="Arial" w:hint="eastAsia"/>
          <w:color w:val="796A4F"/>
          <w:sz w:val="21"/>
          <w:szCs w:val="21"/>
        </w:rPr>
        <w:t>万亿</w:t>
      </w:r>
      <w:proofErr w:type="gramEnd"/>
      <w:r w:rsidR="00083087" w:rsidRPr="00536EAD">
        <w:rPr>
          <w:rFonts w:ascii="新宋体" w:eastAsia="新宋体" w:hAnsi="新宋体" w:cs="Arial" w:hint="eastAsia"/>
          <w:color w:val="796A4F"/>
          <w:sz w:val="21"/>
          <w:szCs w:val="21"/>
        </w:rPr>
        <w:t>美元，按年率计算增长7.0%。</w:t>
      </w:r>
    </w:p>
    <w:p w:rsidR="00042159" w:rsidRPr="00536EAD" w:rsidRDefault="00042159"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美国方面公布的数据显示，美国9月PCE物价指数年率增长1.4%，预期增长1.5%；月率增长0.1%，预期增长0.1%。另外，美国9月个人收入月率增长0.2%，预期增长0.3%。美国9月个人支出月率降低0.2%，预期增长0.1%。美国9月个人支出八个月来首次出现下滑，暗示经济在进入四季度前失去一些动能；实际耐用品支出下降，暗示许多消费者仅采购必需品，反映出疲软的薪资增长。</w:t>
      </w:r>
    </w:p>
    <w:p w:rsidR="001C64BB" w:rsidRPr="00536EAD" w:rsidRDefault="00042159"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还有美国方面还有影响力较弱的数据显示，美国三季度劳工成本指数</w:t>
      </w:r>
      <w:proofErr w:type="gramStart"/>
      <w:r w:rsidRPr="00536EAD">
        <w:rPr>
          <w:rFonts w:ascii="新宋体" w:eastAsia="新宋体" w:hAnsi="新宋体" w:cs="Arial" w:hint="eastAsia"/>
          <w:color w:val="796A4F"/>
          <w:sz w:val="21"/>
          <w:szCs w:val="21"/>
        </w:rPr>
        <w:t>季率增长</w:t>
      </w:r>
      <w:proofErr w:type="gramEnd"/>
      <w:r w:rsidRPr="00536EAD">
        <w:rPr>
          <w:rFonts w:ascii="新宋体" w:eastAsia="新宋体" w:hAnsi="新宋体" w:cs="Arial" w:hint="eastAsia"/>
          <w:color w:val="796A4F"/>
          <w:sz w:val="21"/>
          <w:szCs w:val="21"/>
        </w:rPr>
        <w:t>0.7%，预期增长0.5%。虽然美国经济数据疲软，但美元指数仍然维持上涨势头。市场多数分析纷纷看好美元后市。花旗银行撰文指出，对美元的观点依旧维持看涨，2014年底可能</w:t>
      </w:r>
      <w:proofErr w:type="gramStart"/>
      <w:r w:rsidRPr="00536EAD">
        <w:rPr>
          <w:rFonts w:ascii="新宋体" w:eastAsia="新宋体" w:hAnsi="新宋体" w:cs="Arial" w:hint="eastAsia"/>
          <w:color w:val="796A4F"/>
          <w:sz w:val="21"/>
          <w:szCs w:val="21"/>
        </w:rPr>
        <w:t>进一步涨向</w:t>
      </w:r>
      <w:proofErr w:type="gramEnd"/>
      <w:r w:rsidRPr="00536EAD">
        <w:rPr>
          <w:rFonts w:ascii="新宋体" w:eastAsia="新宋体" w:hAnsi="新宋体" w:cs="Arial" w:hint="eastAsia"/>
          <w:color w:val="796A4F"/>
          <w:sz w:val="21"/>
          <w:szCs w:val="21"/>
        </w:rPr>
        <w:t>88降低89区域。因美元进入2016年将进一步走强的动能维持完好，近期美元涨势可能仅仅是下一轮涨势的开端。</w:t>
      </w:r>
    </w:p>
    <w:p w:rsidR="004A20F8" w:rsidRDefault="00BB3781" w:rsidP="004A20F8">
      <w:pPr>
        <w:pStyle w:val="3"/>
        <w:rPr>
          <w:rFonts w:hint="eastAsia"/>
          <w:color w:val="000000" w:themeColor="text1"/>
          <w:sz w:val="21"/>
          <w:szCs w:val="21"/>
        </w:rPr>
      </w:pPr>
      <w:bookmarkStart w:id="14" w:name="_Toc397077881"/>
      <w:bookmarkEnd w:id="13"/>
      <w:r>
        <w:rPr>
          <w:rFonts w:hint="eastAsia"/>
          <w:color w:val="000000" w:themeColor="text1"/>
          <w:sz w:val="21"/>
          <w:szCs w:val="21"/>
        </w:rPr>
        <w:lastRenderedPageBreak/>
        <w:t>五</w:t>
      </w:r>
      <w:r w:rsidR="004A20F8" w:rsidRPr="0031240F">
        <w:rPr>
          <w:rFonts w:hint="eastAsia"/>
          <w:color w:val="000000" w:themeColor="text1"/>
          <w:sz w:val="21"/>
          <w:szCs w:val="21"/>
        </w:rPr>
        <w:t>、</w:t>
      </w:r>
      <w:bookmarkEnd w:id="14"/>
      <w:r>
        <w:rPr>
          <w:rFonts w:hint="eastAsia"/>
          <w:color w:val="000000" w:themeColor="text1"/>
          <w:sz w:val="21"/>
          <w:szCs w:val="21"/>
        </w:rPr>
        <w:t>欧元区经济下行</w:t>
      </w:r>
      <w:r w:rsidR="004A20F8" w:rsidRPr="0031240F">
        <w:rPr>
          <w:rFonts w:hint="eastAsia"/>
          <w:color w:val="000000" w:themeColor="text1"/>
          <w:sz w:val="21"/>
          <w:szCs w:val="21"/>
        </w:rPr>
        <w:t>德国</w:t>
      </w:r>
      <w:r>
        <w:rPr>
          <w:rFonts w:hint="eastAsia"/>
          <w:color w:val="000000" w:themeColor="text1"/>
          <w:sz w:val="21"/>
          <w:szCs w:val="21"/>
        </w:rPr>
        <w:t>火车头失速</w:t>
      </w:r>
    </w:p>
    <w:p w:rsidR="00BB3781" w:rsidRDefault="00520D6E" w:rsidP="001C28C0">
      <w:pPr>
        <w:spacing w:line="240" w:lineRule="auto"/>
        <w:jc w:val="center"/>
        <w:rPr>
          <w:rFonts w:hint="eastAsia"/>
        </w:rPr>
      </w:pPr>
      <w:r w:rsidRPr="00520D6E">
        <w:drawing>
          <wp:inline distT="0" distB="0" distL="0" distR="0">
            <wp:extent cx="5486400" cy="3620135"/>
            <wp:effectExtent l="19050" t="0" r="0" b="0"/>
            <wp:docPr id="248" name="图片 4"/>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46" cstate="print"/>
                    <a:stretch>
                      <a:fillRect/>
                    </a:stretch>
                  </pic:blipFill>
                  <pic:spPr>
                    <a:xfrm>
                      <a:off x="0" y="0"/>
                      <a:ext cx="5486400" cy="3620135"/>
                    </a:xfrm>
                    <a:prstGeom prst="rect">
                      <a:avLst/>
                    </a:prstGeom>
                  </pic:spPr>
                </pic:pic>
              </a:graphicData>
            </a:graphic>
          </wp:inline>
        </w:drawing>
      </w:r>
    </w:p>
    <w:p w:rsidR="00EE7522" w:rsidRDefault="00EE7522" w:rsidP="001C28C0">
      <w:pPr>
        <w:spacing w:line="24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2-22</w:t>
      </w:r>
      <w:r w:rsidRPr="00400A2B">
        <w:rPr>
          <w:rFonts w:ascii="Times New Roman" w:hAnsi="Times New Roman" w:hint="eastAsia"/>
          <w:b/>
          <w:szCs w:val="21"/>
        </w:rPr>
        <w:t>：</w:t>
      </w:r>
      <w:r>
        <w:rPr>
          <w:rFonts w:ascii="Times New Roman" w:hAnsi="Times New Roman" w:hint="eastAsia"/>
          <w:b/>
          <w:szCs w:val="21"/>
        </w:rPr>
        <w:t>2004-2014</w:t>
      </w:r>
      <w:r>
        <w:rPr>
          <w:rFonts w:ascii="Times New Roman" w:hAnsi="Times New Roman" w:hint="eastAsia"/>
          <w:b/>
          <w:szCs w:val="21"/>
        </w:rPr>
        <w:t>年欧元区</w:t>
      </w:r>
      <w:r>
        <w:rPr>
          <w:rFonts w:ascii="Times New Roman" w:hAnsi="Times New Roman" w:hint="eastAsia"/>
          <w:b/>
          <w:szCs w:val="21"/>
        </w:rPr>
        <w:t>GDP</w:t>
      </w:r>
      <w:r>
        <w:rPr>
          <w:rFonts w:ascii="Times New Roman" w:hAnsi="Times New Roman" w:hint="eastAsia"/>
          <w:b/>
          <w:szCs w:val="21"/>
        </w:rPr>
        <w:t>环比增长及构成变化</w:t>
      </w:r>
    </w:p>
    <w:p w:rsidR="00EE7522" w:rsidRDefault="00EE7522" w:rsidP="001C28C0">
      <w:pPr>
        <w:spacing w:line="240" w:lineRule="auto"/>
        <w:ind w:firstLineChars="200" w:firstLine="442"/>
        <w:jc w:val="center"/>
        <w:rPr>
          <w:rFonts w:ascii="Times New Roman" w:hAnsi="Times New Roman" w:hint="eastAsia"/>
          <w:b/>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1C28C0" w:rsidRDefault="001C28C0" w:rsidP="001C28C0">
      <w:pPr>
        <w:spacing w:line="240" w:lineRule="auto"/>
        <w:ind w:firstLineChars="200" w:firstLine="442"/>
        <w:jc w:val="center"/>
        <w:rPr>
          <w:rFonts w:ascii="Times New Roman" w:hAnsi="Times New Roman" w:hint="eastAsia"/>
          <w:b/>
          <w:szCs w:val="21"/>
        </w:rPr>
      </w:pPr>
    </w:p>
    <w:p w:rsidR="001C28C0" w:rsidRPr="00536EAD" w:rsidRDefault="001C28C0" w:rsidP="00536EAD">
      <w:pPr>
        <w:pStyle w:val="ad"/>
        <w:spacing w:beforeLines="50" w:after="50"/>
        <w:ind w:firstLineChars="200" w:firstLine="420"/>
        <w:rPr>
          <w:rFonts w:ascii="新宋体" w:eastAsia="新宋体" w:hAnsi="新宋体" w:cs="Arial" w:hint="eastAsia"/>
          <w:color w:val="796A4F"/>
          <w:sz w:val="21"/>
          <w:szCs w:val="21"/>
        </w:rPr>
      </w:pPr>
      <w:r w:rsidRPr="00536EAD">
        <w:rPr>
          <w:rFonts w:ascii="新宋体" w:eastAsia="新宋体" w:hAnsi="新宋体" w:cs="Arial" w:hint="eastAsia"/>
          <w:color w:val="796A4F"/>
          <w:sz w:val="21"/>
          <w:szCs w:val="21"/>
        </w:rPr>
        <w:t>欧元区第三季度GDP数据公布之前，今年上半年欧洲经济与火车头德国经济增长进一步放缓，并出现一定程度的萎缩。在欧盟11月4日对欧元区经济增长预期做出了进一步下修之际，高盛就撰文指出，欧元区正进入三重衰退之中。自2013年11月以来，欧盟委员会就一直在下调经济预期。不过即便如此，2014年0.8%和2015年1.1%的增长预期还是明显好于衰退水平。而高盛指出相关模型暗示欧元区第三季度经济衰退正在加剧，第三季度GDP环比将萎缩0.3%。受到欧元区国家8月整体工业产出疲软所致，从9月中旬至今，高盛对于欧元区第三季度GDP增长中值的预期从+0.3%下降到了-0.3%。</w:t>
      </w:r>
    </w:p>
    <w:p w:rsidR="001C28C0" w:rsidRPr="00536EAD" w:rsidRDefault="001C28C0"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欧盟统计局发布数据显示，欧元区9 月社会零售额环比下降1.3%。同时，最新公布的</w:t>
      </w:r>
      <w:proofErr w:type="spellStart"/>
      <w:r w:rsidRPr="00536EAD">
        <w:rPr>
          <w:rFonts w:ascii="新宋体" w:eastAsia="新宋体" w:hAnsi="新宋体" w:cs="Arial" w:hint="eastAsia"/>
          <w:color w:val="796A4F"/>
          <w:sz w:val="21"/>
          <w:szCs w:val="21"/>
        </w:rPr>
        <w:t>Markit</w:t>
      </w:r>
      <w:proofErr w:type="spellEnd"/>
      <w:r w:rsidRPr="00536EAD">
        <w:rPr>
          <w:rFonts w:ascii="新宋体" w:eastAsia="新宋体" w:hAnsi="新宋体" w:cs="Arial" w:hint="eastAsia"/>
          <w:color w:val="796A4F"/>
          <w:sz w:val="21"/>
          <w:szCs w:val="21"/>
        </w:rPr>
        <w:t>综合采购经理人指数为52.1，仅比上月微升0.1%。欧元区PMI指数徘徊不前，可能预示着欧元区经济掉头往下，而不是重生活力。新数据显示欧元区第三季度经济状况脆弱，因而也增加了欧央行采取进一步刺激措施的压力。</w:t>
      </w:r>
    </w:p>
    <w:p w:rsidR="001C28C0" w:rsidRPr="001C28C0" w:rsidRDefault="001C28C0" w:rsidP="001C28C0">
      <w:pPr>
        <w:spacing w:line="240" w:lineRule="auto"/>
        <w:ind w:firstLineChars="200" w:firstLine="442"/>
        <w:jc w:val="center"/>
        <w:rPr>
          <w:rFonts w:ascii="Times New Roman" w:hAnsi="Times New Roman"/>
          <w:b/>
          <w:szCs w:val="21"/>
        </w:rPr>
      </w:pPr>
    </w:p>
    <w:p w:rsidR="00520D6E" w:rsidRPr="001C28C0" w:rsidRDefault="00520D6E" w:rsidP="001C28C0">
      <w:pPr>
        <w:spacing w:line="240" w:lineRule="auto"/>
        <w:ind w:firstLineChars="200" w:firstLine="442"/>
        <w:jc w:val="center"/>
        <w:rPr>
          <w:rFonts w:ascii="Times New Roman" w:hAnsi="Times New Roman" w:hint="eastAsia"/>
          <w:b/>
          <w:szCs w:val="21"/>
        </w:rPr>
      </w:pPr>
      <w:r w:rsidRPr="001C28C0">
        <w:rPr>
          <w:rFonts w:ascii="Times New Roman" w:hAnsi="Times New Roman"/>
          <w:b/>
          <w:szCs w:val="21"/>
        </w:rPr>
        <w:lastRenderedPageBreak/>
        <w:drawing>
          <wp:inline distT="0" distB="0" distL="0" distR="0">
            <wp:extent cx="5486400" cy="3728720"/>
            <wp:effectExtent l="19050" t="0" r="0" b="0"/>
            <wp:docPr id="249" name="图片 5"/>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47" cstate="print"/>
                    <a:stretch>
                      <a:fillRect/>
                    </a:stretch>
                  </pic:blipFill>
                  <pic:spPr>
                    <a:xfrm>
                      <a:off x="0" y="0"/>
                      <a:ext cx="5486400" cy="3728720"/>
                    </a:xfrm>
                    <a:prstGeom prst="rect">
                      <a:avLst/>
                    </a:prstGeom>
                  </pic:spPr>
                </pic:pic>
              </a:graphicData>
            </a:graphic>
          </wp:inline>
        </w:drawing>
      </w:r>
    </w:p>
    <w:p w:rsidR="00EE7522" w:rsidRDefault="00EE7522" w:rsidP="001C28C0">
      <w:pPr>
        <w:spacing w:line="240" w:lineRule="auto"/>
        <w:ind w:firstLineChars="200" w:firstLine="442"/>
        <w:jc w:val="center"/>
        <w:rPr>
          <w:rFonts w:ascii="Times New Roman" w:hAnsi="Times New Roman"/>
          <w:b/>
          <w:szCs w:val="21"/>
        </w:rPr>
      </w:pPr>
      <w:r w:rsidRPr="00400A2B">
        <w:rPr>
          <w:rFonts w:ascii="Times New Roman" w:hAnsi="Times New Roman" w:hint="eastAsia"/>
          <w:b/>
          <w:szCs w:val="21"/>
        </w:rPr>
        <w:t>图</w:t>
      </w:r>
      <w:r>
        <w:rPr>
          <w:rFonts w:ascii="Times New Roman" w:hAnsi="Times New Roman" w:hint="eastAsia"/>
          <w:b/>
          <w:szCs w:val="21"/>
        </w:rPr>
        <w:t>2-23</w:t>
      </w:r>
      <w:r w:rsidRPr="00400A2B">
        <w:rPr>
          <w:rFonts w:ascii="Times New Roman" w:hAnsi="Times New Roman" w:hint="eastAsia"/>
          <w:b/>
          <w:szCs w:val="21"/>
        </w:rPr>
        <w:t>：</w:t>
      </w:r>
      <w:r>
        <w:rPr>
          <w:rFonts w:ascii="Times New Roman" w:hAnsi="Times New Roman" w:hint="eastAsia"/>
          <w:b/>
          <w:szCs w:val="21"/>
        </w:rPr>
        <w:t>2004-2014</w:t>
      </w:r>
      <w:r>
        <w:rPr>
          <w:rFonts w:ascii="Times New Roman" w:hAnsi="Times New Roman" w:hint="eastAsia"/>
          <w:b/>
          <w:szCs w:val="21"/>
        </w:rPr>
        <w:t>年德国</w:t>
      </w:r>
      <w:r>
        <w:rPr>
          <w:rFonts w:ascii="Times New Roman" w:hAnsi="Times New Roman" w:hint="eastAsia"/>
          <w:b/>
          <w:szCs w:val="21"/>
        </w:rPr>
        <w:t>GDP</w:t>
      </w:r>
      <w:r>
        <w:rPr>
          <w:rFonts w:ascii="Times New Roman" w:hAnsi="Times New Roman" w:hint="eastAsia"/>
          <w:b/>
          <w:szCs w:val="21"/>
        </w:rPr>
        <w:t>环比增长及构成变化</w:t>
      </w:r>
    </w:p>
    <w:p w:rsidR="00EE7522" w:rsidRDefault="00EE7522" w:rsidP="001C28C0">
      <w:pPr>
        <w:spacing w:line="240" w:lineRule="auto"/>
        <w:ind w:firstLineChars="200" w:firstLine="442"/>
        <w:jc w:val="center"/>
        <w:rPr>
          <w:rFonts w:ascii="Times New Roman" w:hAnsi="Times New Roman"/>
          <w:b/>
          <w:szCs w:val="21"/>
        </w:rPr>
      </w:pPr>
      <w:r w:rsidRPr="00477DD1">
        <w:rPr>
          <w:rFonts w:ascii="Times New Roman" w:hAnsi="Times New Roman"/>
          <w:b/>
          <w:szCs w:val="21"/>
        </w:rPr>
        <w:t>资料来源：</w:t>
      </w:r>
      <w:r>
        <w:rPr>
          <w:rFonts w:ascii="Times New Roman" w:hAnsi="Times New Roman" w:hint="eastAsia"/>
          <w:b/>
          <w:szCs w:val="21"/>
        </w:rPr>
        <w:t>Bloomberg</w:t>
      </w:r>
      <w:r w:rsidRPr="00477DD1">
        <w:rPr>
          <w:rFonts w:ascii="Times New Roman" w:hAnsi="Times New Roman"/>
          <w:b/>
          <w:szCs w:val="21"/>
        </w:rPr>
        <w:t>、</w:t>
      </w:r>
      <w:r>
        <w:rPr>
          <w:rFonts w:ascii="Times New Roman" w:hAnsi="Times New Roman" w:hint="eastAsia"/>
          <w:b/>
          <w:szCs w:val="21"/>
        </w:rPr>
        <w:t>方正</w:t>
      </w:r>
      <w:r>
        <w:rPr>
          <w:rFonts w:ascii="Times New Roman" w:hAnsi="Times New Roman"/>
          <w:b/>
          <w:szCs w:val="21"/>
        </w:rPr>
        <w:t>中期期货研究院</w:t>
      </w:r>
      <w:r w:rsidRPr="00477DD1">
        <w:rPr>
          <w:rFonts w:ascii="Times New Roman" w:hAnsi="Times New Roman" w:hint="eastAsia"/>
          <w:b/>
          <w:szCs w:val="21"/>
        </w:rPr>
        <w:t>整理</w:t>
      </w:r>
    </w:p>
    <w:p w:rsidR="00EE7522" w:rsidRDefault="00EE7522" w:rsidP="00520D6E">
      <w:pPr>
        <w:jc w:val="center"/>
      </w:pPr>
    </w:p>
    <w:p w:rsidR="00BB3781" w:rsidRPr="00536EAD" w:rsidRDefault="00BB3781"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德国总理默克尔表示，虽然</w:t>
      </w:r>
      <w:proofErr w:type="gramStart"/>
      <w:r w:rsidRPr="00536EAD">
        <w:rPr>
          <w:rFonts w:ascii="新宋体" w:eastAsia="新宋体" w:hAnsi="新宋体" w:cs="Arial" w:hint="eastAsia"/>
          <w:color w:val="796A4F"/>
          <w:sz w:val="21"/>
          <w:szCs w:val="21"/>
        </w:rPr>
        <w:t>欧债危机</w:t>
      </w:r>
      <w:proofErr w:type="gramEnd"/>
      <w:r w:rsidRPr="00536EAD">
        <w:rPr>
          <w:rFonts w:ascii="新宋体" w:eastAsia="新宋体" w:hAnsi="新宋体" w:cs="Arial" w:hint="eastAsia"/>
          <w:color w:val="796A4F"/>
          <w:sz w:val="21"/>
          <w:szCs w:val="21"/>
        </w:rPr>
        <w:t>的顶峰早已经过去，包括爱尔兰、葡萄牙、西班牙和希腊在内的国家已经或即将结束援助计划，但是欧元</w:t>
      </w:r>
      <w:proofErr w:type="gramStart"/>
      <w:r w:rsidRPr="00536EAD">
        <w:rPr>
          <w:rFonts w:ascii="新宋体" w:eastAsia="新宋体" w:hAnsi="新宋体" w:cs="Arial" w:hint="eastAsia"/>
          <w:color w:val="796A4F"/>
          <w:sz w:val="21"/>
          <w:szCs w:val="21"/>
        </w:rPr>
        <w:t>区整体</w:t>
      </w:r>
      <w:proofErr w:type="gramEnd"/>
      <w:r w:rsidRPr="00536EAD">
        <w:rPr>
          <w:rFonts w:ascii="新宋体" w:eastAsia="新宋体" w:hAnsi="新宋体" w:cs="Arial" w:hint="eastAsia"/>
          <w:color w:val="796A4F"/>
          <w:sz w:val="21"/>
          <w:szCs w:val="21"/>
        </w:rPr>
        <w:t>经济依然十分脆弱。作为欧元区经济龙头，德国不会采取任何刺激措施来促进经济增长。</w:t>
      </w:r>
    </w:p>
    <w:p w:rsidR="00BB3781" w:rsidRPr="00536EAD" w:rsidRDefault="00BB3781"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欧盟委员会稍</w:t>
      </w:r>
      <w:proofErr w:type="gramStart"/>
      <w:r w:rsidRPr="00536EAD">
        <w:rPr>
          <w:rFonts w:ascii="新宋体" w:eastAsia="新宋体" w:hAnsi="新宋体" w:cs="Arial" w:hint="eastAsia"/>
          <w:color w:val="796A4F"/>
          <w:sz w:val="21"/>
          <w:szCs w:val="21"/>
        </w:rPr>
        <w:t>早之前</w:t>
      </w:r>
      <w:proofErr w:type="gramEnd"/>
      <w:r w:rsidR="009615DA" w:rsidRPr="00536EAD">
        <w:rPr>
          <w:rFonts w:ascii="新宋体" w:eastAsia="新宋体" w:hAnsi="新宋体" w:cs="Arial" w:hint="eastAsia"/>
          <w:color w:val="796A4F"/>
          <w:sz w:val="21"/>
          <w:szCs w:val="21"/>
        </w:rPr>
        <w:t>发</w:t>
      </w:r>
      <w:r w:rsidRPr="00536EAD">
        <w:rPr>
          <w:rFonts w:ascii="新宋体" w:eastAsia="新宋体" w:hAnsi="新宋体" w:cs="Arial" w:hint="eastAsia"/>
          <w:color w:val="796A4F"/>
          <w:sz w:val="21"/>
          <w:szCs w:val="21"/>
        </w:rPr>
        <w:t>布</w:t>
      </w:r>
      <w:r w:rsidR="009615DA" w:rsidRPr="00536EAD">
        <w:rPr>
          <w:rFonts w:ascii="新宋体" w:eastAsia="新宋体" w:hAnsi="新宋体" w:cs="Arial" w:hint="eastAsia"/>
          <w:color w:val="796A4F"/>
          <w:sz w:val="21"/>
          <w:szCs w:val="21"/>
        </w:rPr>
        <w:t>《</w:t>
      </w:r>
      <w:r w:rsidRPr="00536EAD">
        <w:rPr>
          <w:rFonts w:ascii="新宋体" w:eastAsia="新宋体" w:hAnsi="新宋体" w:cs="Arial" w:hint="eastAsia"/>
          <w:color w:val="796A4F"/>
          <w:sz w:val="21"/>
          <w:szCs w:val="21"/>
        </w:rPr>
        <w:t>秋季经济展望报告</w:t>
      </w:r>
      <w:r w:rsidR="009615DA" w:rsidRPr="00536EAD">
        <w:rPr>
          <w:rFonts w:ascii="新宋体" w:eastAsia="新宋体" w:hAnsi="新宋体" w:cs="Arial" w:hint="eastAsia"/>
          <w:color w:val="796A4F"/>
          <w:sz w:val="21"/>
          <w:szCs w:val="21"/>
        </w:rPr>
        <w:t>》</w:t>
      </w:r>
      <w:r w:rsidRPr="00536EAD">
        <w:rPr>
          <w:rFonts w:ascii="新宋体" w:eastAsia="新宋体" w:hAnsi="新宋体" w:cs="Arial" w:hint="eastAsia"/>
          <w:color w:val="796A4F"/>
          <w:sz w:val="21"/>
          <w:szCs w:val="21"/>
        </w:rPr>
        <w:t>，下调今明两年欧元区经济增长和通胀率预期，显示低通胀痼疾难改善，欧元区经济复苏步伐缓慢。报告显示，与春季展望报告相比，2014年欧元区经济增长预期从1.2%调降至0.8%，2015年经济增长预期从1.7%调降至1.1%。其中欧元区三大经济体德国、法国、意大利经济增幅预期均被下调。2015年，德国经济增幅从2%下调至1.1%，法国经济增幅从1.5%降至0.7%，意大利经济增幅从1.2%下调至0.6%。报告还下调了通胀预期，2014年的通胀率从春季预测的0.8%降至0.5%，2015年的通胀率也从1.2%下调至0.8%。</w:t>
      </w:r>
    </w:p>
    <w:p w:rsidR="00BB3781" w:rsidRPr="00536EAD" w:rsidRDefault="00BB3781"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欧盟委员会表示，随着欧洲央行推出更“大胆”的刺激政策，需求会有所回升，但政府缩减开支和全球经济放缓成为阻碍因素。与其他发达经济体和历史上</w:t>
      </w:r>
      <w:proofErr w:type="gramStart"/>
      <w:r w:rsidRPr="00536EAD">
        <w:rPr>
          <w:rFonts w:ascii="新宋体" w:eastAsia="新宋体" w:hAnsi="新宋体" w:cs="Arial" w:hint="eastAsia"/>
          <w:color w:val="796A4F"/>
          <w:sz w:val="21"/>
          <w:szCs w:val="21"/>
        </w:rPr>
        <w:t>后危机</w:t>
      </w:r>
      <w:proofErr w:type="gramEnd"/>
      <w:r w:rsidRPr="00536EAD">
        <w:rPr>
          <w:rFonts w:ascii="新宋体" w:eastAsia="新宋体" w:hAnsi="新宋体" w:cs="Arial" w:hint="eastAsia"/>
          <w:color w:val="796A4F"/>
          <w:sz w:val="21"/>
          <w:szCs w:val="21"/>
        </w:rPr>
        <w:t>时代的经济复苏案例相比，欧元区目前经济复苏步伐更显缓慢。自2013年11月以来，欧盟委员会就一直在下调经济预期。不过即便如此，2014年0.8%和2015年1.1%的增长预期还是明显好于衰退水平。</w:t>
      </w:r>
    </w:p>
    <w:p w:rsidR="00BB3781" w:rsidRPr="00536EAD" w:rsidRDefault="00BB3781"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lastRenderedPageBreak/>
        <w:t>目前，欧元区确实需要采取一些应对之策了。该地区失业率仍旧位于11.5%的高位，而且通胀只有0.4%，距离通缩貌似已经不远了。两大经济体法国和意大利需要额外的空间来满足预算目标，即便是德国的经济似乎也有点力不从心。</w:t>
      </w:r>
    </w:p>
    <w:p w:rsidR="00BB3781" w:rsidRPr="00536EAD" w:rsidRDefault="00BB3781"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但是QE会成为救世主吗？该资产购买方案面临的最明显的问题是有可能随之带来的政治灾难，尤其是当涉及购买主权债时。尤其是如果这些国家在金融危机期间接受了数百亿欧元的外部救助。</w:t>
      </w:r>
    </w:p>
    <w:p w:rsidR="00BB3781" w:rsidRPr="00536EAD" w:rsidRDefault="00BB3781"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德国反欧联盟党——德国新</w:t>
      </w:r>
      <w:proofErr w:type="gramStart"/>
      <w:r w:rsidRPr="00536EAD">
        <w:rPr>
          <w:rFonts w:ascii="新宋体" w:eastAsia="新宋体" w:hAnsi="新宋体" w:cs="Arial" w:hint="eastAsia"/>
          <w:color w:val="796A4F"/>
          <w:sz w:val="21"/>
          <w:szCs w:val="21"/>
        </w:rPr>
        <w:t>选项党</w:t>
      </w:r>
      <w:proofErr w:type="gramEnd"/>
      <w:r w:rsidRPr="00536EAD">
        <w:rPr>
          <w:rFonts w:ascii="新宋体" w:eastAsia="新宋体" w:hAnsi="新宋体" w:cs="Arial" w:hint="eastAsia"/>
          <w:color w:val="796A4F"/>
          <w:sz w:val="21"/>
          <w:szCs w:val="21"/>
        </w:rPr>
        <w:t>给默克尔带来了这么多的麻烦，正如英国独立党给卡梅伦带来的麻烦一样。QE确实那么有效吗？英国和美国的印钞已经帮助降低了信用利差和借贷成本。但是欧元区在欧洲央行采取一系列的行动以后，信用利差和借贷成本已经很低了。例如，德国短期债券和长期债券的利率</w:t>
      </w:r>
      <w:proofErr w:type="gramStart"/>
      <w:r w:rsidRPr="00536EAD">
        <w:rPr>
          <w:rFonts w:ascii="新宋体" w:eastAsia="新宋体" w:hAnsi="新宋体" w:cs="Arial" w:hint="eastAsia"/>
          <w:color w:val="796A4F"/>
          <w:sz w:val="21"/>
          <w:szCs w:val="21"/>
        </w:rPr>
        <w:t>差已经</w:t>
      </w:r>
      <w:proofErr w:type="gramEnd"/>
      <w:r w:rsidRPr="00536EAD">
        <w:rPr>
          <w:rFonts w:ascii="新宋体" w:eastAsia="新宋体" w:hAnsi="新宋体" w:cs="Arial" w:hint="eastAsia"/>
          <w:color w:val="796A4F"/>
          <w:sz w:val="21"/>
          <w:szCs w:val="21"/>
        </w:rPr>
        <w:t>远低于美国了。如果注资并不意味着资金渗透到实体经济，欧洲央行又如何保证，向市场注入的大量资金会流到正确的地方？那些支持欧洲央行采取QE的人称，通过将风险分散开来，欧元区作为整体将表现的更好，不管一些德国人可能会怎么想。而且似乎已经没有许多其他工具来刺激经济复苏了。无论德拉</w:t>
      </w:r>
      <w:proofErr w:type="gramStart"/>
      <w:r w:rsidRPr="00536EAD">
        <w:rPr>
          <w:rFonts w:ascii="新宋体" w:eastAsia="新宋体" w:hAnsi="新宋体" w:cs="Arial" w:hint="eastAsia"/>
          <w:color w:val="796A4F"/>
          <w:sz w:val="21"/>
          <w:szCs w:val="21"/>
        </w:rPr>
        <w:t>吉是否</w:t>
      </w:r>
      <w:proofErr w:type="gramEnd"/>
      <w:r w:rsidRPr="00536EAD">
        <w:rPr>
          <w:rFonts w:ascii="新宋体" w:eastAsia="新宋体" w:hAnsi="新宋体" w:cs="Arial" w:hint="eastAsia"/>
          <w:color w:val="796A4F"/>
          <w:sz w:val="21"/>
          <w:szCs w:val="21"/>
        </w:rPr>
        <w:t>选择打开QE之门，他背负的摆脱经济低迷的任务似乎愈加艰难了。</w:t>
      </w:r>
    </w:p>
    <w:p w:rsidR="004A20F8" w:rsidRDefault="004A20F8" w:rsidP="004A20F8">
      <w:pPr>
        <w:spacing w:line="360" w:lineRule="auto"/>
        <w:rPr>
          <w:rFonts w:ascii="新宋体" w:eastAsia="新宋体" w:hAnsi="新宋体"/>
          <w:szCs w:val="21"/>
        </w:rPr>
      </w:pPr>
    </w:p>
    <w:p w:rsidR="00EE7522" w:rsidRDefault="00EE7522" w:rsidP="00EE7522">
      <w:pPr>
        <w:pStyle w:val="3"/>
        <w:rPr>
          <w:color w:val="000000" w:themeColor="text1"/>
          <w:sz w:val="21"/>
          <w:szCs w:val="21"/>
        </w:rPr>
      </w:pPr>
      <w:bookmarkStart w:id="15" w:name="_Toc397077886"/>
      <w:r>
        <w:rPr>
          <w:rFonts w:hint="eastAsia"/>
          <w:color w:val="000000" w:themeColor="text1"/>
          <w:sz w:val="21"/>
          <w:szCs w:val="21"/>
        </w:rPr>
        <w:t>六</w:t>
      </w:r>
      <w:r w:rsidRPr="0031240F">
        <w:rPr>
          <w:rFonts w:hint="eastAsia"/>
          <w:color w:val="000000" w:themeColor="text1"/>
          <w:sz w:val="21"/>
          <w:szCs w:val="21"/>
        </w:rPr>
        <w:t>、</w:t>
      </w:r>
      <w:bookmarkEnd w:id="15"/>
      <w:r>
        <w:rPr>
          <w:rFonts w:hint="eastAsia"/>
          <w:color w:val="000000" w:themeColor="text1"/>
          <w:sz w:val="21"/>
          <w:szCs w:val="21"/>
        </w:rPr>
        <w:t>欧元区</w:t>
      </w:r>
      <w:r w:rsidRPr="0031240F">
        <w:rPr>
          <w:rFonts w:hint="eastAsia"/>
          <w:color w:val="000000" w:themeColor="text1"/>
          <w:sz w:val="21"/>
          <w:szCs w:val="21"/>
        </w:rPr>
        <w:t>9</w:t>
      </w:r>
      <w:r w:rsidRPr="0031240F">
        <w:rPr>
          <w:rFonts w:hint="eastAsia"/>
          <w:color w:val="000000" w:themeColor="text1"/>
          <w:sz w:val="21"/>
          <w:szCs w:val="21"/>
        </w:rPr>
        <w:t>月</w:t>
      </w:r>
      <w:r>
        <w:rPr>
          <w:rFonts w:hint="eastAsia"/>
          <w:color w:val="000000" w:themeColor="text1"/>
          <w:sz w:val="21"/>
          <w:szCs w:val="21"/>
        </w:rPr>
        <w:t>失业率居高</w:t>
      </w:r>
      <w:r w:rsidRPr="0031240F">
        <w:rPr>
          <w:rFonts w:hint="eastAsia"/>
          <w:color w:val="000000" w:themeColor="text1"/>
          <w:sz w:val="21"/>
          <w:szCs w:val="21"/>
        </w:rPr>
        <w:t>CPI</w:t>
      </w:r>
      <w:r>
        <w:rPr>
          <w:rFonts w:hint="eastAsia"/>
          <w:color w:val="000000" w:themeColor="text1"/>
          <w:sz w:val="21"/>
          <w:szCs w:val="21"/>
        </w:rPr>
        <w:t>维持稳定</w:t>
      </w:r>
    </w:p>
    <w:p w:rsidR="00EE7522" w:rsidRDefault="00EE7522" w:rsidP="00EE7522"/>
    <w:p w:rsidR="00EE7522" w:rsidRPr="00536EAD" w:rsidRDefault="00EE7522"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欧盟统计局最新公布的统计数据显示，今年9月份欧元区和欧盟的失业率分别为11.5%和10.1%，与上个月相比基本未变。数据显示，欧盟经济持续低迷是导致欧盟失业率长期居高不下的主因。</w:t>
      </w:r>
    </w:p>
    <w:p w:rsidR="00EE7522" w:rsidRPr="00536EAD" w:rsidRDefault="00EE7522"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欧盟今年9月份的失业人数与去年同期相比虽在减少，但希腊、西班牙等国的失业率仍处于高位。统计数字显示，欧盟和欧元区今年9月份的失业总人数分别为2451.2万人和1834.7万人，同比分别减少181.8万人和82.6万人。在欧盟成员国中，今年9月份希腊的失业率最高，为26.4%；德国的失业率最低，为5%。同一年前相比，欧盟今年9月份有21个成员国的失业率下降，6个成员国的失业率上升，其余成员国的失业率维持不变。</w:t>
      </w:r>
    </w:p>
    <w:p w:rsidR="00EE7522" w:rsidRPr="00536EAD" w:rsidRDefault="00EE7522"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欧盟青年（25岁以下）失业率远高于平均水平。统计数字显示，今年9月份，欧盟和欧元区的青年失业人数分别为498.8万人和334万人，同比分别减少了59.5人和21.3万人，分别由去年同期的23.5%和24%下降到21.6%和23.3%。</w:t>
      </w:r>
    </w:p>
    <w:p w:rsidR="00EE7522" w:rsidRDefault="00EE7522" w:rsidP="001C28C0">
      <w:pPr>
        <w:ind w:firstLineChars="200" w:firstLine="420"/>
        <w:jc w:val="center"/>
        <w:rPr>
          <w:sz w:val="21"/>
          <w:szCs w:val="21"/>
        </w:rPr>
      </w:pPr>
      <w:r w:rsidRPr="009615DA">
        <w:rPr>
          <w:noProof/>
          <w:sz w:val="21"/>
          <w:szCs w:val="21"/>
        </w:rPr>
        <w:lastRenderedPageBreak/>
        <w:drawing>
          <wp:inline distT="0" distB="0" distL="0" distR="0">
            <wp:extent cx="5486400" cy="3668395"/>
            <wp:effectExtent l="19050" t="0" r="0" b="0"/>
            <wp:docPr id="252" name="图片 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8" cstate="print"/>
                    <a:stretch>
                      <a:fillRect/>
                    </a:stretch>
                  </pic:blipFill>
                  <pic:spPr>
                    <a:xfrm>
                      <a:off x="0" y="0"/>
                      <a:ext cx="5486400" cy="3668395"/>
                    </a:xfrm>
                    <a:prstGeom prst="rect">
                      <a:avLst/>
                    </a:prstGeom>
                  </pic:spPr>
                </pic:pic>
              </a:graphicData>
            </a:graphic>
          </wp:inline>
        </w:drawing>
      </w:r>
    </w:p>
    <w:p w:rsidR="00EE7522" w:rsidRDefault="00EE7522" w:rsidP="00EE7522">
      <w:pPr>
        <w:ind w:firstLineChars="200" w:firstLine="420"/>
        <w:jc w:val="center"/>
        <w:rPr>
          <w:sz w:val="21"/>
          <w:szCs w:val="21"/>
        </w:rPr>
      </w:pPr>
      <w:r>
        <w:rPr>
          <w:rFonts w:hint="eastAsia"/>
          <w:sz w:val="21"/>
          <w:szCs w:val="21"/>
        </w:rPr>
        <w:t>图</w:t>
      </w:r>
      <w:r>
        <w:rPr>
          <w:rFonts w:hint="eastAsia"/>
          <w:sz w:val="21"/>
          <w:szCs w:val="21"/>
        </w:rPr>
        <w:t>2-</w:t>
      </w:r>
      <w:r w:rsidR="001C28C0">
        <w:rPr>
          <w:rFonts w:hint="eastAsia"/>
          <w:sz w:val="21"/>
          <w:szCs w:val="21"/>
        </w:rPr>
        <w:t>24</w:t>
      </w:r>
      <w:r>
        <w:rPr>
          <w:rFonts w:hint="eastAsia"/>
          <w:sz w:val="21"/>
          <w:szCs w:val="21"/>
        </w:rPr>
        <w:t>：欧元区</w:t>
      </w:r>
      <w:r w:rsidR="001C28C0">
        <w:rPr>
          <w:rFonts w:hint="eastAsia"/>
          <w:sz w:val="21"/>
          <w:szCs w:val="21"/>
        </w:rPr>
        <w:t>失业率与欧盟失业率</w:t>
      </w:r>
      <w:r>
        <w:rPr>
          <w:rFonts w:hint="eastAsia"/>
          <w:sz w:val="21"/>
          <w:szCs w:val="21"/>
        </w:rPr>
        <w:t>变化对比</w:t>
      </w:r>
    </w:p>
    <w:p w:rsidR="00EE7522" w:rsidRDefault="00EE7522" w:rsidP="00EE7522">
      <w:pPr>
        <w:ind w:firstLineChars="200" w:firstLine="440"/>
        <w:jc w:val="center"/>
        <w:rPr>
          <w:szCs w:val="21"/>
        </w:rPr>
      </w:pPr>
      <w:r w:rsidRPr="00097749">
        <w:rPr>
          <w:rFonts w:hint="eastAsia"/>
          <w:szCs w:val="21"/>
        </w:rPr>
        <w:t>资料来源：</w:t>
      </w:r>
      <w:r>
        <w:rPr>
          <w:rFonts w:hint="eastAsia"/>
          <w:szCs w:val="21"/>
        </w:rPr>
        <w:t>Bloomberg</w:t>
      </w:r>
      <w:r w:rsidRPr="00097749">
        <w:rPr>
          <w:rFonts w:hint="eastAsia"/>
          <w:szCs w:val="21"/>
        </w:rPr>
        <w:t>、方正中期研究院整理</w:t>
      </w:r>
    </w:p>
    <w:p w:rsidR="00EE7522" w:rsidRDefault="00EE7522" w:rsidP="00EE7522">
      <w:pPr>
        <w:ind w:firstLineChars="200" w:firstLine="420"/>
        <w:rPr>
          <w:sz w:val="21"/>
          <w:szCs w:val="21"/>
        </w:rPr>
      </w:pPr>
    </w:p>
    <w:p w:rsidR="00EE7522" w:rsidRPr="00536EAD" w:rsidRDefault="00EE7522"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欧元区由于第二季度经济停滞，欧元区消费者信心一度受到抑制，持续下滑。随着近期油价的下滑，欧元区10月消费者信心指数则有所回升。欧盟委员会公布的数据显示，10月份欧元区消费者信心指数升至-11.1，预期和初值-11.1，9月终值-11.4。尽管有所回升，但是10月的数据仍然远远低于今年5月所触及的峰值-7.1。欧盟委员会在今天的报告中指出，欧元区消费者信心指数为今年5月以来首都出现改善。</w:t>
      </w:r>
    </w:p>
    <w:p w:rsidR="00EE7522" w:rsidRPr="00536EAD" w:rsidRDefault="00EE7522"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尽管月度的消费者信心指标，对于判断整体经济形势几乎起不到作用。该指数的季度数据与国内生产总值(GDP)高度相关。欧盟委员会还在今天的报告中指出，欧元区10月经济景气指数升至100.7，预期99.7，前值99.9。分项指标，欧元区10月企业景气指数升至0.07，预期0.05，前值0.02；10月工业景气指数升至-5.1，预期和前值均为-5.5；同时10月服务业景气指数升至4.4，预期3.1，前值3.2。欧元区消费者未来12个月通胀预期升至5.3，前值4，仍然远不及2011年3月的30.5。</w:t>
      </w:r>
    </w:p>
    <w:p w:rsidR="00EE7522" w:rsidRDefault="00EE7522" w:rsidP="001C28C0">
      <w:pPr>
        <w:ind w:firstLineChars="200" w:firstLine="420"/>
        <w:jc w:val="center"/>
        <w:rPr>
          <w:sz w:val="21"/>
          <w:szCs w:val="21"/>
        </w:rPr>
      </w:pPr>
      <w:r w:rsidRPr="009615DA">
        <w:rPr>
          <w:noProof/>
          <w:sz w:val="21"/>
          <w:szCs w:val="21"/>
        </w:rPr>
        <w:lastRenderedPageBreak/>
        <w:drawing>
          <wp:inline distT="0" distB="0" distL="0" distR="0">
            <wp:extent cx="5486400" cy="3462655"/>
            <wp:effectExtent l="19050" t="0" r="0" b="0"/>
            <wp:docPr id="253" name="图片 2"/>
            <wp:cNvGraphicFramePr/>
            <a:graphic xmlns:a="http://schemas.openxmlformats.org/drawingml/2006/main">
              <a:graphicData uri="http://schemas.openxmlformats.org/drawingml/2006/picture">
                <pic:pic xmlns:pic="http://schemas.openxmlformats.org/drawingml/2006/picture">
                  <pic:nvPicPr>
                    <pic:cNvPr id="287" name="图片 286"/>
                    <pic:cNvPicPr>
                      <a:picLocks noChangeAspect="1"/>
                    </pic:cNvPicPr>
                  </pic:nvPicPr>
                  <pic:blipFill>
                    <a:blip r:embed="rId49" cstate="print"/>
                    <a:stretch>
                      <a:fillRect/>
                    </a:stretch>
                  </pic:blipFill>
                  <pic:spPr>
                    <a:xfrm>
                      <a:off x="0" y="0"/>
                      <a:ext cx="5486400" cy="3462655"/>
                    </a:xfrm>
                    <a:prstGeom prst="rect">
                      <a:avLst/>
                    </a:prstGeom>
                  </pic:spPr>
                </pic:pic>
              </a:graphicData>
            </a:graphic>
          </wp:inline>
        </w:drawing>
      </w:r>
    </w:p>
    <w:p w:rsidR="00EE7522" w:rsidRDefault="00EE7522" w:rsidP="00EE7522">
      <w:pPr>
        <w:ind w:firstLineChars="200" w:firstLine="420"/>
        <w:jc w:val="center"/>
        <w:rPr>
          <w:sz w:val="21"/>
          <w:szCs w:val="21"/>
        </w:rPr>
      </w:pPr>
      <w:r>
        <w:rPr>
          <w:rFonts w:hint="eastAsia"/>
          <w:sz w:val="21"/>
          <w:szCs w:val="21"/>
        </w:rPr>
        <w:t>图</w:t>
      </w:r>
      <w:r>
        <w:rPr>
          <w:rFonts w:hint="eastAsia"/>
          <w:sz w:val="21"/>
          <w:szCs w:val="21"/>
        </w:rPr>
        <w:t>2-</w:t>
      </w:r>
      <w:r w:rsidR="001C28C0">
        <w:rPr>
          <w:rFonts w:hint="eastAsia"/>
          <w:sz w:val="21"/>
          <w:szCs w:val="21"/>
        </w:rPr>
        <w:t>25</w:t>
      </w:r>
      <w:r>
        <w:rPr>
          <w:rFonts w:hint="eastAsia"/>
          <w:sz w:val="21"/>
          <w:szCs w:val="21"/>
        </w:rPr>
        <w:t>：欧元区</w:t>
      </w:r>
      <w:r w:rsidR="001C28C0">
        <w:rPr>
          <w:rFonts w:hint="eastAsia"/>
          <w:sz w:val="21"/>
          <w:szCs w:val="21"/>
        </w:rPr>
        <w:t>消费者信心指数变化</w:t>
      </w:r>
    </w:p>
    <w:p w:rsidR="00EE7522" w:rsidRDefault="00EE7522" w:rsidP="00EE7522">
      <w:pPr>
        <w:ind w:firstLineChars="200" w:firstLine="440"/>
        <w:jc w:val="center"/>
        <w:rPr>
          <w:szCs w:val="21"/>
        </w:rPr>
      </w:pPr>
      <w:r w:rsidRPr="00097749">
        <w:rPr>
          <w:rFonts w:hint="eastAsia"/>
          <w:szCs w:val="21"/>
        </w:rPr>
        <w:t>资料来源：</w:t>
      </w:r>
      <w:r>
        <w:rPr>
          <w:rFonts w:hint="eastAsia"/>
          <w:szCs w:val="21"/>
        </w:rPr>
        <w:t>Bloomberg</w:t>
      </w:r>
      <w:r w:rsidRPr="00097749">
        <w:rPr>
          <w:rFonts w:hint="eastAsia"/>
          <w:szCs w:val="21"/>
        </w:rPr>
        <w:t>、方正中期研究院整理</w:t>
      </w:r>
    </w:p>
    <w:p w:rsidR="00EE7522" w:rsidRDefault="00EE7522" w:rsidP="001C28C0">
      <w:pPr>
        <w:ind w:firstLineChars="200" w:firstLine="420"/>
        <w:jc w:val="center"/>
        <w:rPr>
          <w:sz w:val="21"/>
          <w:szCs w:val="21"/>
        </w:rPr>
      </w:pPr>
      <w:r w:rsidRPr="00742866">
        <w:rPr>
          <w:noProof/>
          <w:sz w:val="21"/>
          <w:szCs w:val="21"/>
        </w:rPr>
        <w:drawing>
          <wp:inline distT="0" distB="0" distL="0" distR="0">
            <wp:extent cx="5486400" cy="3579495"/>
            <wp:effectExtent l="19050" t="0" r="0" b="0"/>
            <wp:docPr id="254" name="图片 3"/>
            <wp:cNvGraphicFramePr/>
            <a:graphic xmlns:a="http://schemas.openxmlformats.org/drawingml/2006/main">
              <a:graphicData uri="http://schemas.openxmlformats.org/drawingml/2006/picture">
                <pic:pic xmlns:pic="http://schemas.openxmlformats.org/drawingml/2006/picture">
                  <pic:nvPicPr>
                    <pic:cNvPr id="288" name="图片 287"/>
                    <pic:cNvPicPr>
                      <a:picLocks noChangeAspect="1"/>
                    </pic:cNvPicPr>
                  </pic:nvPicPr>
                  <pic:blipFill>
                    <a:blip r:embed="rId50" cstate="print"/>
                    <a:stretch>
                      <a:fillRect/>
                    </a:stretch>
                  </pic:blipFill>
                  <pic:spPr>
                    <a:xfrm>
                      <a:off x="0" y="0"/>
                      <a:ext cx="5486400" cy="3579495"/>
                    </a:xfrm>
                    <a:prstGeom prst="rect">
                      <a:avLst/>
                    </a:prstGeom>
                  </pic:spPr>
                </pic:pic>
              </a:graphicData>
            </a:graphic>
          </wp:inline>
        </w:drawing>
      </w:r>
    </w:p>
    <w:p w:rsidR="00EE7522" w:rsidRDefault="00EE7522" w:rsidP="00EE7522">
      <w:pPr>
        <w:ind w:firstLineChars="200" w:firstLine="420"/>
        <w:jc w:val="center"/>
        <w:rPr>
          <w:sz w:val="21"/>
          <w:szCs w:val="21"/>
        </w:rPr>
      </w:pPr>
      <w:r>
        <w:rPr>
          <w:rFonts w:hint="eastAsia"/>
          <w:sz w:val="21"/>
          <w:szCs w:val="21"/>
        </w:rPr>
        <w:lastRenderedPageBreak/>
        <w:t>图</w:t>
      </w:r>
      <w:r>
        <w:rPr>
          <w:rFonts w:hint="eastAsia"/>
          <w:sz w:val="21"/>
          <w:szCs w:val="21"/>
        </w:rPr>
        <w:t>2-</w:t>
      </w:r>
      <w:r w:rsidR="001C28C0">
        <w:rPr>
          <w:rFonts w:hint="eastAsia"/>
          <w:sz w:val="21"/>
          <w:szCs w:val="21"/>
        </w:rPr>
        <w:t>26</w:t>
      </w:r>
      <w:r>
        <w:rPr>
          <w:rFonts w:hint="eastAsia"/>
          <w:sz w:val="21"/>
          <w:szCs w:val="21"/>
        </w:rPr>
        <w:t>：欧元区</w:t>
      </w:r>
      <w:r>
        <w:rPr>
          <w:rFonts w:hint="eastAsia"/>
          <w:sz w:val="21"/>
          <w:szCs w:val="21"/>
        </w:rPr>
        <w:t>CPI</w:t>
      </w:r>
      <w:r>
        <w:rPr>
          <w:rFonts w:hint="eastAsia"/>
          <w:sz w:val="21"/>
          <w:szCs w:val="21"/>
        </w:rPr>
        <w:t>与核心</w:t>
      </w:r>
      <w:r>
        <w:rPr>
          <w:rFonts w:hint="eastAsia"/>
          <w:sz w:val="21"/>
          <w:szCs w:val="21"/>
        </w:rPr>
        <w:t>CPI</w:t>
      </w:r>
      <w:r>
        <w:rPr>
          <w:rFonts w:hint="eastAsia"/>
          <w:sz w:val="21"/>
          <w:szCs w:val="21"/>
        </w:rPr>
        <w:t>同比变化对比</w:t>
      </w:r>
    </w:p>
    <w:p w:rsidR="00EE7522" w:rsidRDefault="00EE7522" w:rsidP="00EE7522">
      <w:pPr>
        <w:ind w:firstLineChars="200" w:firstLine="440"/>
        <w:jc w:val="center"/>
        <w:rPr>
          <w:szCs w:val="21"/>
        </w:rPr>
      </w:pPr>
      <w:r w:rsidRPr="00097749">
        <w:rPr>
          <w:rFonts w:hint="eastAsia"/>
          <w:szCs w:val="21"/>
        </w:rPr>
        <w:t>资料来源：</w:t>
      </w:r>
      <w:r>
        <w:rPr>
          <w:rFonts w:hint="eastAsia"/>
          <w:szCs w:val="21"/>
        </w:rPr>
        <w:t>Bloomberg</w:t>
      </w:r>
      <w:r w:rsidRPr="00097749">
        <w:rPr>
          <w:rFonts w:hint="eastAsia"/>
          <w:szCs w:val="21"/>
        </w:rPr>
        <w:t>、方正中期研究院整理</w:t>
      </w:r>
    </w:p>
    <w:p w:rsidR="00EE7522" w:rsidRDefault="00EE7522" w:rsidP="00EE7522">
      <w:pPr>
        <w:ind w:firstLineChars="200" w:firstLine="420"/>
        <w:jc w:val="center"/>
        <w:rPr>
          <w:sz w:val="21"/>
          <w:szCs w:val="21"/>
        </w:rPr>
      </w:pPr>
      <w:r w:rsidRPr="00EB4657">
        <w:rPr>
          <w:noProof/>
          <w:sz w:val="21"/>
          <w:szCs w:val="21"/>
        </w:rPr>
        <w:drawing>
          <wp:inline distT="0" distB="0" distL="0" distR="0">
            <wp:extent cx="5486400" cy="3784600"/>
            <wp:effectExtent l="19050" t="0" r="0" b="0"/>
            <wp:docPr id="255" name="图片 1"/>
            <wp:cNvGraphicFramePr/>
            <a:graphic xmlns:a="http://schemas.openxmlformats.org/drawingml/2006/main">
              <a:graphicData uri="http://schemas.openxmlformats.org/drawingml/2006/picture">
                <pic:pic xmlns:pic="http://schemas.openxmlformats.org/drawingml/2006/picture">
                  <pic:nvPicPr>
                    <pic:cNvPr id="292" name="图片 291"/>
                    <pic:cNvPicPr>
                      <a:picLocks noChangeAspect="1"/>
                    </pic:cNvPicPr>
                  </pic:nvPicPr>
                  <pic:blipFill>
                    <a:blip r:embed="rId51" cstate="print"/>
                    <a:stretch>
                      <a:fillRect/>
                    </a:stretch>
                  </pic:blipFill>
                  <pic:spPr>
                    <a:xfrm>
                      <a:off x="0" y="0"/>
                      <a:ext cx="5486400" cy="3784600"/>
                    </a:xfrm>
                    <a:prstGeom prst="rect">
                      <a:avLst/>
                    </a:prstGeom>
                  </pic:spPr>
                </pic:pic>
              </a:graphicData>
            </a:graphic>
          </wp:inline>
        </w:drawing>
      </w:r>
    </w:p>
    <w:p w:rsidR="00EE7522" w:rsidRDefault="00EE7522" w:rsidP="00EE7522">
      <w:pPr>
        <w:ind w:firstLineChars="200" w:firstLine="420"/>
        <w:jc w:val="center"/>
        <w:rPr>
          <w:sz w:val="21"/>
          <w:szCs w:val="21"/>
        </w:rPr>
      </w:pPr>
      <w:r>
        <w:rPr>
          <w:rFonts w:hint="eastAsia"/>
          <w:sz w:val="21"/>
          <w:szCs w:val="21"/>
        </w:rPr>
        <w:t>图</w:t>
      </w:r>
      <w:r>
        <w:rPr>
          <w:rFonts w:hint="eastAsia"/>
          <w:sz w:val="21"/>
          <w:szCs w:val="21"/>
        </w:rPr>
        <w:t>2-2</w:t>
      </w:r>
      <w:r w:rsidR="001C28C0">
        <w:rPr>
          <w:rFonts w:hint="eastAsia"/>
          <w:sz w:val="21"/>
          <w:szCs w:val="21"/>
        </w:rPr>
        <w:t>7</w:t>
      </w:r>
      <w:r>
        <w:rPr>
          <w:rFonts w:hint="eastAsia"/>
          <w:sz w:val="21"/>
          <w:szCs w:val="21"/>
        </w:rPr>
        <w:t>：欧元区消费者信贷变化与信贷总额环比（</w:t>
      </w:r>
      <w:r>
        <w:rPr>
          <w:rFonts w:hint="eastAsia"/>
          <w:sz w:val="21"/>
          <w:szCs w:val="21"/>
        </w:rPr>
        <w:t>%</w:t>
      </w:r>
      <w:r>
        <w:rPr>
          <w:rFonts w:hint="eastAsia"/>
          <w:sz w:val="21"/>
          <w:szCs w:val="21"/>
        </w:rPr>
        <w:t>）</w:t>
      </w:r>
    </w:p>
    <w:p w:rsidR="00EE7522" w:rsidRDefault="00EE7522" w:rsidP="00EE7522">
      <w:pPr>
        <w:ind w:firstLineChars="200" w:firstLine="440"/>
        <w:jc w:val="center"/>
        <w:rPr>
          <w:szCs w:val="21"/>
        </w:rPr>
      </w:pPr>
      <w:r w:rsidRPr="00097749">
        <w:rPr>
          <w:rFonts w:hint="eastAsia"/>
          <w:szCs w:val="21"/>
        </w:rPr>
        <w:t>资料来源：</w:t>
      </w:r>
      <w:r>
        <w:rPr>
          <w:rFonts w:hint="eastAsia"/>
          <w:szCs w:val="21"/>
        </w:rPr>
        <w:t>Bloomberg</w:t>
      </w:r>
      <w:r w:rsidRPr="00097749">
        <w:rPr>
          <w:rFonts w:hint="eastAsia"/>
          <w:szCs w:val="21"/>
        </w:rPr>
        <w:t>、方正中期研究院整理</w:t>
      </w:r>
    </w:p>
    <w:p w:rsidR="00EE7522" w:rsidRPr="00536EAD" w:rsidRDefault="00EE7522"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欧元区10月CPI初值年率增长0.4%，预期增长0.4%，前值增长0.3%。欧元区10月核心CPI初值年率增长0.7%，预期增长0.8%，前值增长0.8%。欧元区10月通胀率略微回升至0.4%，但仍连续第13个月未达到ECB通胀目标的一半；不过该数据不太可能会促使ECB在下周采取新措施，ECB正在评估近期措施的效果。具体数据显示，德国9月实际零售销售月率降低3.2%，预期降低1.0%；年率增长2.3%，预期增长0.8%，前值增长0.1%。另外，欧元区公布的其他数据显示：意大利10月CPI初值年率0.1%，预期降低0.1%；月率0.1%，预期降低0.1%。</w:t>
      </w:r>
      <w:r w:rsidR="001C28C0" w:rsidRPr="00536EAD">
        <w:rPr>
          <w:rFonts w:ascii="新宋体" w:eastAsia="新宋体" w:hAnsi="新宋体" w:cs="Arial" w:hint="eastAsia"/>
          <w:color w:val="796A4F"/>
          <w:sz w:val="21"/>
          <w:szCs w:val="21"/>
        </w:rPr>
        <w:t>德国9月整体CPI及调和CPI终值数据均与初值一致，两者年率均</w:t>
      </w:r>
      <w:proofErr w:type="gramStart"/>
      <w:r w:rsidR="001C28C0" w:rsidRPr="00536EAD">
        <w:rPr>
          <w:rFonts w:ascii="新宋体" w:eastAsia="新宋体" w:hAnsi="新宋体" w:cs="Arial" w:hint="eastAsia"/>
          <w:color w:val="796A4F"/>
          <w:sz w:val="21"/>
          <w:szCs w:val="21"/>
        </w:rPr>
        <w:t>确认仅</w:t>
      </w:r>
      <w:proofErr w:type="gramEnd"/>
      <w:r w:rsidR="001C28C0" w:rsidRPr="00536EAD">
        <w:rPr>
          <w:rFonts w:ascii="新宋体" w:eastAsia="新宋体" w:hAnsi="新宋体" w:cs="Arial" w:hint="eastAsia"/>
          <w:color w:val="796A4F"/>
          <w:sz w:val="21"/>
          <w:szCs w:val="21"/>
        </w:rPr>
        <w:t>增0.8%，环比终值均确认持平。近来欧元区面临经济增速放缓及通缩双重威胁；德国作为欧元区最大的经济体，其通胀形势并不乐观，目前仍未得到有效提振，欧元区通</w:t>
      </w:r>
      <w:proofErr w:type="gramStart"/>
      <w:r w:rsidR="001C28C0" w:rsidRPr="00536EAD">
        <w:rPr>
          <w:rFonts w:ascii="新宋体" w:eastAsia="新宋体" w:hAnsi="新宋体" w:cs="Arial" w:hint="eastAsia"/>
          <w:color w:val="796A4F"/>
          <w:sz w:val="21"/>
          <w:szCs w:val="21"/>
        </w:rPr>
        <w:t>缩压力然</w:t>
      </w:r>
      <w:proofErr w:type="gramEnd"/>
      <w:r w:rsidR="001C28C0" w:rsidRPr="00536EAD">
        <w:rPr>
          <w:rFonts w:ascii="新宋体" w:eastAsia="新宋体" w:hAnsi="新宋体" w:cs="Arial" w:hint="eastAsia"/>
          <w:color w:val="796A4F"/>
          <w:sz w:val="21"/>
          <w:szCs w:val="21"/>
        </w:rPr>
        <w:t>存。</w:t>
      </w:r>
      <w:r w:rsidRPr="00536EAD">
        <w:rPr>
          <w:rFonts w:ascii="新宋体" w:eastAsia="新宋体" w:hAnsi="新宋体" w:cs="Arial" w:hint="eastAsia"/>
          <w:color w:val="796A4F"/>
          <w:sz w:val="21"/>
          <w:szCs w:val="21"/>
        </w:rPr>
        <w:t>法国9月家庭消费支出月率降低0.8%，预期降低0.3%；年率增长0.2%，预期增长0.9%。法国9月PPI月率实际0.5%，预期降低0.3%。</w:t>
      </w:r>
      <w:r w:rsidR="00DC5F43" w:rsidRPr="00536EAD">
        <w:rPr>
          <w:rFonts w:ascii="新宋体" w:eastAsia="新宋体" w:hAnsi="新宋体" w:cs="Arial" w:hint="eastAsia"/>
          <w:color w:val="796A4F"/>
          <w:sz w:val="21"/>
          <w:szCs w:val="21"/>
        </w:rPr>
        <w:t>欧元区消费者信贷变化不大，主要也是受失业率居高，尤其是年青人高达两位数的失业率影响，年青人是消费信贷的主力军，对于就业前景的悲观及不愿意参与劳动等均加剧了失业现象，消费信贷市场的转好还需要欧元</w:t>
      </w:r>
      <w:proofErr w:type="gramStart"/>
      <w:r w:rsidR="00DC5F43" w:rsidRPr="00536EAD">
        <w:rPr>
          <w:rFonts w:ascii="新宋体" w:eastAsia="新宋体" w:hAnsi="新宋体" w:cs="Arial" w:hint="eastAsia"/>
          <w:color w:val="796A4F"/>
          <w:sz w:val="21"/>
          <w:szCs w:val="21"/>
        </w:rPr>
        <w:t>区整体</w:t>
      </w:r>
      <w:proofErr w:type="gramEnd"/>
      <w:r w:rsidR="00DC5F43" w:rsidRPr="00536EAD">
        <w:rPr>
          <w:rFonts w:ascii="新宋体" w:eastAsia="新宋体" w:hAnsi="新宋体" w:cs="Arial" w:hint="eastAsia"/>
          <w:color w:val="796A4F"/>
          <w:sz w:val="21"/>
          <w:szCs w:val="21"/>
        </w:rPr>
        <w:t>经济环境的改善和各成员国经济的逐步企稳。</w:t>
      </w:r>
    </w:p>
    <w:p w:rsidR="004A20F8" w:rsidRPr="00AD5CB1" w:rsidRDefault="004A20F8" w:rsidP="004A20F8"/>
    <w:p w:rsidR="004A20F8" w:rsidRDefault="00EE7522" w:rsidP="004A20F8">
      <w:pPr>
        <w:pStyle w:val="3"/>
        <w:rPr>
          <w:rFonts w:hint="eastAsia"/>
          <w:color w:val="000000" w:themeColor="text1"/>
          <w:sz w:val="21"/>
          <w:szCs w:val="21"/>
        </w:rPr>
      </w:pPr>
      <w:bookmarkStart w:id="16" w:name="_Toc316120873"/>
      <w:bookmarkStart w:id="17" w:name="_Toc318182418"/>
      <w:bookmarkStart w:id="18" w:name="_Toc320518412"/>
      <w:bookmarkStart w:id="19" w:name="_Toc320602095"/>
      <w:bookmarkStart w:id="20" w:name="_Toc320606441"/>
      <w:bookmarkStart w:id="21" w:name="_Toc322521950"/>
      <w:bookmarkStart w:id="22" w:name="_Toc322676545"/>
      <w:bookmarkStart w:id="23" w:name="_Toc322676626"/>
      <w:bookmarkStart w:id="24" w:name="_Toc322956319"/>
      <w:bookmarkStart w:id="25" w:name="_Toc323021775"/>
      <w:bookmarkStart w:id="26" w:name="_Toc323029872"/>
      <w:bookmarkStart w:id="27" w:name="_Toc324837598"/>
      <w:bookmarkStart w:id="28" w:name="_Toc325017587"/>
      <w:bookmarkStart w:id="29" w:name="_Toc397077882"/>
      <w:r>
        <w:rPr>
          <w:rFonts w:hint="eastAsia"/>
          <w:color w:val="000000" w:themeColor="text1"/>
          <w:sz w:val="21"/>
          <w:szCs w:val="21"/>
        </w:rPr>
        <w:lastRenderedPageBreak/>
        <w:t>七</w:t>
      </w:r>
      <w:r w:rsidR="004A20F8" w:rsidRPr="0031240F">
        <w:rPr>
          <w:rFonts w:hint="eastAsia"/>
          <w:color w:val="000000" w:themeColor="text1"/>
          <w:sz w:val="21"/>
          <w:szCs w:val="21"/>
        </w:rPr>
        <w:t>、</w:t>
      </w:r>
      <w:bookmarkEnd w:id="16"/>
      <w:bookmarkEnd w:id="17"/>
      <w:bookmarkEnd w:id="18"/>
      <w:bookmarkEnd w:id="19"/>
      <w:bookmarkEnd w:id="20"/>
      <w:bookmarkEnd w:id="21"/>
      <w:bookmarkEnd w:id="22"/>
      <w:bookmarkEnd w:id="23"/>
      <w:bookmarkEnd w:id="24"/>
      <w:bookmarkEnd w:id="25"/>
      <w:bookmarkEnd w:id="26"/>
      <w:bookmarkEnd w:id="27"/>
      <w:bookmarkEnd w:id="28"/>
      <w:bookmarkEnd w:id="29"/>
      <w:r w:rsidR="004A20F8" w:rsidRPr="0031240F">
        <w:rPr>
          <w:rFonts w:hint="eastAsia"/>
          <w:color w:val="000000" w:themeColor="text1"/>
          <w:sz w:val="21"/>
          <w:szCs w:val="21"/>
        </w:rPr>
        <w:t>德国</w:t>
      </w:r>
      <w:r w:rsidR="004A20F8" w:rsidRPr="0031240F">
        <w:rPr>
          <w:rFonts w:hint="eastAsia"/>
          <w:color w:val="000000" w:themeColor="text1"/>
          <w:sz w:val="21"/>
          <w:szCs w:val="21"/>
        </w:rPr>
        <w:t>10</w:t>
      </w:r>
      <w:r w:rsidR="004A20F8" w:rsidRPr="0031240F">
        <w:rPr>
          <w:rFonts w:hint="eastAsia"/>
          <w:color w:val="000000" w:themeColor="text1"/>
          <w:sz w:val="21"/>
          <w:szCs w:val="21"/>
        </w:rPr>
        <w:t>月</w:t>
      </w:r>
      <w:r w:rsidR="0083387A">
        <w:rPr>
          <w:rFonts w:hint="eastAsia"/>
          <w:color w:val="000000" w:themeColor="text1"/>
          <w:sz w:val="21"/>
          <w:szCs w:val="21"/>
        </w:rPr>
        <w:t>企业与经济景气状况不佳</w:t>
      </w:r>
    </w:p>
    <w:p w:rsidR="0083387A" w:rsidRPr="0083387A" w:rsidRDefault="0083387A" w:rsidP="0083387A"/>
    <w:p w:rsidR="004A20F8" w:rsidRDefault="005B0335" w:rsidP="0083387A">
      <w:pPr>
        <w:spacing w:line="360" w:lineRule="auto"/>
        <w:jc w:val="center"/>
        <w:rPr>
          <w:rFonts w:ascii="新宋体" w:eastAsia="新宋体" w:hAnsi="新宋体" w:hint="eastAsia"/>
          <w:szCs w:val="21"/>
        </w:rPr>
      </w:pPr>
      <w:r w:rsidRPr="005B0335">
        <w:rPr>
          <w:rFonts w:ascii="新宋体" w:eastAsia="新宋体" w:hAnsi="新宋体"/>
          <w:szCs w:val="21"/>
        </w:rPr>
        <w:drawing>
          <wp:inline distT="0" distB="0" distL="0" distR="0">
            <wp:extent cx="5364480" cy="3489960"/>
            <wp:effectExtent l="19050" t="0" r="7620" b="0"/>
            <wp:docPr id="246" name="图片 2"/>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52" cstate="print"/>
                    <a:stretch>
                      <a:fillRect/>
                    </a:stretch>
                  </pic:blipFill>
                  <pic:spPr>
                    <a:xfrm>
                      <a:off x="0" y="0"/>
                      <a:ext cx="5364480" cy="3489960"/>
                    </a:xfrm>
                    <a:prstGeom prst="rect">
                      <a:avLst/>
                    </a:prstGeom>
                  </pic:spPr>
                </pic:pic>
              </a:graphicData>
            </a:graphic>
          </wp:inline>
        </w:drawing>
      </w:r>
    </w:p>
    <w:p w:rsidR="0083387A" w:rsidRDefault="0083387A" w:rsidP="0083387A">
      <w:pPr>
        <w:spacing w:line="360" w:lineRule="auto"/>
        <w:jc w:val="center"/>
        <w:rPr>
          <w:rFonts w:hint="eastAsia"/>
          <w:szCs w:val="21"/>
        </w:rPr>
      </w:pPr>
      <w:r w:rsidRPr="00097749">
        <w:rPr>
          <w:rFonts w:hint="eastAsia"/>
          <w:szCs w:val="21"/>
        </w:rPr>
        <w:t>图</w:t>
      </w:r>
      <w:r>
        <w:rPr>
          <w:rFonts w:hint="eastAsia"/>
          <w:szCs w:val="21"/>
        </w:rPr>
        <w:t>2-28</w:t>
      </w:r>
      <w:r w:rsidRPr="00097749">
        <w:rPr>
          <w:rFonts w:hint="eastAsia"/>
          <w:szCs w:val="21"/>
        </w:rPr>
        <w:t>：</w:t>
      </w:r>
      <w:r>
        <w:rPr>
          <w:rFonts w:hint="eastAsia"/>
          <w:szCs w:val="21"/>
        </w:rPr>
        <w:t>德国</w:t>
      </w:r>
      <w:r>
        <w:rPr>
          <w:rFonts w:hint="eastAsia"/>
          <w:szCs w:val="21"/>
        </w:rPr>
        <w:t>IFO</w:t>
      </w:r>
      <w:r>
        <w:rPr>
          <w:rFonts w:hint="eastAsia"/>
          <w:szCs w:val="21"/>
        </w:rPr>
        <w:t>企业景气指数走势</w:t>
      </w:r>
    </w:p>
    <w:p w:rsidR="0083387A" w:rsidRPr="00347F03" w:rsidRDefault="0083387A" w:rsidP="0083387A">
      <w:pPr>
        <w:spacing w:line="360" w:lineRule="auto"/>
        <w:jc w:val="center"/>
        <w:rPr>
          <w:rFonts w:ascii="新宋体" w:eastAsia="新宋体" w:hAnsi="新宋体"/>
          <w:szCs w:val="21"/>
        </w:rPr>
      </w:pPr>
      <w:r w:rsidRPr="00097749">
        <w:rPr>
          <w:rFonts w:hint="eastAsia"/>
          <w:szCs w:val="21"/>
        </w:rPr>
        <w:t>资料来源：</w:t>
      </w:r>
      <w:r>
        <w:rPr>
          <w:rFonts w:hint="eastAsia"/>
          <w:szCs w:val="21"/>
        </w:rPr>
        <w:t>Bloomberg</w:t>
      </w:r>
      <w:r w:rsidRPr="00097749">
        <w:rPr>
          <w:rFonts w:hint="eastAsia"/>
          <w:szCs w:val="21"/>
        </w:rPr>
        <w:t>、方正中期研究院整理</w:t>
      </w:r>
    </w:p>
    <w:p w:rsidR="0083387A" w:rsidRPr="00536EAD" w:rsidRDefault="0083387A" w:rsidP="00536EAD">
      <w:pPr>
        <w:pStyle w:val="ad"/>
        <w:spacing w:beforeLines="50" w:after="50"/>
        <w:ind w:firstLineChars="200" w:firstLine="420"/>
        <w:rPr>
          <w:rFonts w:ascii="新宋体" w:eastAsia="新宋体" w:hAnsi="新宋体" w:cs="Arial" w:hint="eastAsia"/>
          <w:color w:val="796A4F"/>
          <w:sz w:val="21"/>
          <w:szCs w:val="21"/>
        </w:rPr>
      </w:pPr>
      <w:r w:rsidRPr="00536EAD">
        <w:rPr>
          <w:rFonts w:ascii="新宋体" w:eastAsia="新宋体" w:hAnsi="新宋体" w:cs="Arial" w:hint="eastAsia"/>
          <w:color w:val="796A4F"/>
          <w:sz w:val="21"/>
          <w:szCs w:val="21"/>
        </w:rPr>
        <w:t>德国</w:t>
      </w:r>
      <w:proofErr w:type="spellStart"/>
      <w:r w:rsidRPr="00536EAD">
        <w:rPr>
          <w:rFonts w:ascii="新宋体" w:eastAsia="新宋体" w:hAnsi="新宋体" w:cs="Arial" w:hint="eastAsia"/>
          <w:color w:val="796A4F"/>
          <w:sz w:val="21"/>
          <w:szCs w:val="21"/>
        </w:rPr>
        <w:t>Ifo</w:t>
      </w:r>
      <w:proofErr w:type="spellEnd"/>
      <w:r w:rsidR="004F1B05" w:rsidRPr="00536EAD">
        <w:rPr>
          <w:rFonts w:ascii="新宋体" w:eastAsia="新宋体" w:hAnsi="新宋体" w:cs="Arial" w:hint="eastAsia"/>
          <w:color w:val="796A4F"/>
          <w:sz w:val="21"/>
          <w:szCs w:val="21"/>
        </w:rPr>
        <w:t>全国企业</w:t>
      </w:r>
      <w:r w:rsidRPr="00536EAD">
        <w:rPr>
          <w:rFonts w:ascii="新宋体" w:eastAsia="新宋体" w:hAnsi="新宋体" w:cs="Arial" w:hint="eastAsia"/>
          <w:color w:val="796A4F"/>
          <w:sz w:val="21"/>
          <w:szCs w:val="21"/>
        </w:rPr>
        <w:t>景气指数跌至近两年来最低。据德国《明镜》周刊报道，如今，德国的经济陷入困境，前景也不容乐观。这导致德国</w:t>
      </w:r>
      <w:proofErr w:type="spellStart"/>
      <w:r w:rsidRPr="00536EAD">
        <w:rPr>
          <w:rFonts w:ascii="新宋体" w:eastAsia="新宋体" w:hAnsi="新宋体" w:cs="Arial" w:hint="eastAsia"/>
          <w:color w:val="796A4F"/>
          <w:sz w:val="21"/>
          <w:szCs w:val="21"/>
        </w:rPr>
        <w:t>Ifo</w:t>
      </w:r>
      <w:proofErr w:type="spellEnd"/>
      <w:r w:rsidR="004F1B05" w:rsidRPr="00536EAD">
        <w:rPr>
          <w:rFonts w:ascii="新宋体" w:eastAsia="新宋体" w:hAnsi="新宋体" w:cs="Arial" w:hint="eastAsia"/>
          <w:color w:val="796A4F"/>
          <w:sz w:val="21"/>
          <w:szCs w:val="21"/>
        </w:rPr>
        <w:t>全国企业</w:t>
      </w:r>
      <w:r w:rsidRPr="00536EAD">
        <w:rPr>
          <w:rFonts w:ascii="新宋体" w:eastAsia="新宋体" w:hAnsi="新宋体" w:cs="Arial" w:hint="eastAsia"/>
          <w:color w:val="796A4F"/>
          <w:sz w:val="21"/>
          <w:szCs w:val="21"/>
        </w:rPr>
        <w:t>景气指数连续下滑，目前已跌至自2012年12月以来的最低点。至今年10月，德国</w:t>
      </w:r>
      <w:proofErr w:type="spellStart"/>
      <w:r w:rsidRPr="00536EAD">
        <w:rPr>
          <w:rFonts w:ascii="新宋体" w:eastAsia="新宋体" w:hAnsi="新宋体" w:cs="Arial" w:hint="eastAsia"/>
          <w:color w:val="796A4F"/>
          <w:sz w:val="21"/>
          <w:szCs w:val="21"/>
        </w:rPr>
        <w:t>Ifo</w:t>
      </w:r>
      <w:proofErr w:type="spellEnd"/>
      <w:r w:rsidR="004F1B05" w:rsidRPr="00536EAD">
        <w:rPr>
          <w:rFonts w:ascii="新宋体" w:eastAsia="新宋体" w:hAnsi="新宋体" w:cs="Arial" w:hint="eastAsia"/>
          <w:color w:val="796A4F"/>
          <w:sz w:val="21"/>
          <w:szCs w:val="21"/>
        </w:rPr>
        <w:t>全国企业</w:t>
      </w:r>
      <w:r w:rsidRPr="00536EAD">
        <w:rPr>
          <w:rFonts w:ascii="新宋体" w:eastAsia="新宋体" w:hAnsi="新宋体" w:cs="Arial" w:hint="eastAsia"/>
          <w:color w:val="796A4F"/>
          <w:sz w:val="21"/>
          <w:szCs w:val="21"/>
        </w:rPr>
        <w:t>景气指数已经连续6个月出现下跌，最近的一次则由104.7点跌至103.2点，跌幅大大超出经济学家的预期，同时也成为了自2012年12月以来的最低点。德国经济研究所所长辛恩（Hans-Werner Sinn）表示：“德国的经济形势一再恶化，对工业领域的影响首当其冲。此外，大多数企业的领导层都认为，未来半年的情况要比过去还要糟糕。</w:t>
      </w:r>
      <w:r w:rsidR="004F1B05" w:rsidRPr="00536EAD">
        <w:rPr>
          <w:rFonts w:ascii="新宋体" w:eastAsia="新宋体" w:hAnsi="新宋体" w:cs="Arial" w:hint="eastAsia"/>
          <w:color w:val="796A4F"/>
          <w:sz w:val="21"/>
          <w:szCs w:val="21"/>
        </w:rPr>
        <w:t>不同行业对其前景的预期不尽相同：</w:t>
      </w:r>
      <w:r w:rsidRPr="00536EAD">
        <w:rPr>
          <w:rFonts w:ascii="新宋体" w:eastAsia="新宋体" w:hAnsi="新宋体" w:cs="Arial" w:hint="eastAsia"/>
          <w:color w:val="796A4F"/>
          <w:sz w:val="21"/>
          <w:szCs w:val="21"/>
        </w:rPr>
        <w:t>批发行业和服务业的整体情况非常乐观，与其相反的是零售行业和建筑业的不景气。此外，整个工业行业都看不到任何好转的希望。”</w:t>
      </w:r>
    </w:p>
    <w:p w:rsidR="0083387A" w:rsidRPr="00536EAD" w:rsidRDefault="0083387A" w:rsidP="00536EAD">
      <w:pPr>
        <w:pStyle w:val="ad"/>
        <w:spacing w:beforeLines="50" w:after="50"/>
        <w:ind w:firstLineChars="200" w:firstLine="420"/>
        <w:rPr>
          <w:rFonts w:ascii="新宋体" w:eastAsia="新宋体" w:hAnsi="新宋体" w:cs="Arial" w:hint="eastAsia"/>
          <w:color w:val="796A4F"/>
          <w:sz w:val="21"/>
          <w:szCs w:val="21"/>
        </w:rPr>
      </w:pPr>
      <w:proofErr w:type="spellStart"/>
      <w:r w:rsidRPr="00536EAD">
        <w:rPr>
          <w:rFonts w:ascii="新宋体" w:eastAsia="新宋体" w:hAnsi="新宋体" w:cs="Arial" w:hint="eastAsia"/>
          <w:color w:val="796A4F"/>
          <w:sz w:val="21"/>
          <w:szCs w:val="21"/>
        </w:rPr>
        <w:t>Ifo</w:t>
      </w:r>
      <w:proofErr w:type="spellEnd"/>
      <w:r w:rsidR="004F1B05" w:rsidRPr="00536EAD">
        <w:rPr>
          <w:rFonts w:ascii="新宋体" w:eastAsia="新宋体" w:hAnsi="新宋体" w:cs="Arial" w:hint="eastAsia"/>
          <w:color w:val="796A4F"/>
          <w:sz w:val="21"/>
          <w:szCs w:val="21"/>
        </w:rPr>
        <w:t>全国企业</w:t>
      </w:r>
      <w:r w:rsidRPr="00536EAD">
        <w:rPr>
          <w:rFonts w:ascii="新宋体" w:eastAsia="新宋体" w:hAnsi="新宋体" w:cs="Arial" w:hint="eastAsia"/>
          <w:color w:val="796A4F"/>
          <w:sz w:val="21"/>
          <w:szCs w:val="21"/>
        </w:rPr>
        <w:t>景气指数是德国经济形势的风向标，由德国经济研究所每月对包括制造业、建筑业及零售业等各产业部门进行调查后得出，其中还涵盖了超过7000名企业家对未来半年经济发展走向的看法。</w:t>
      </w:r>
    </w:p>
    <w:p w:rsidR="004A20F8" w:rsidRDefault="004A20F8" w:rsidP="00536EAD">
      <w:pPr>
        <w:pStyle w:val="ad"/>
        <w:spacing w:beforeLines="50" w:after="50"/>
        <w:ind w:firstLineChars="200" w:firstLine="420"/>
        <w:rPr>
          <w:rFonts w:ascii="新宋体" w:eastAsia="新宋体" w:hAnsi="新宋体"/>
          <w:szCs w:val="21"/>
        </w:rPr>
      </w:pPr>
      <w:r w:rsidRPr="00536EAD">
        <w:rPr>
          <w:rFonts w:ascii="新宋体" w:eastAsia="新宋体" w:hAnsi="新宋体" w:cs="Arial" w:hint="eastAsia"/>
          <w:color w:val="796A4F"/>
          <w:sz w:val="21"/>
          <w:szCs w:val="21"/>
        </w:rPr>
        <w:t xml:space="preserve">德国10月ZEW经济景气指数下滑至负3.6，为连续第10个月下滑，且为自2012年11月以来首次录得负值，表明经济正在挣扎着寻找立足点，尽管欧洲央行对欧元区实施了刺激措施。ZEW主席Clemens </w:t>
      </w:r>
      <w:proofErr w:type="spellStart"/>
      <w:r w:rsidRPr="00536EAD">
        <w:rPr>
          <w:rFonts w:ascii="新宋体" w:eastAsia="新宋体" w:hAnsi="新宋体" w:cs="Arial" w:hint="eastAsia"/>
          <w:color w:val="796A4F"/>
          <w:sz w:val="21"/>
          <w:szCs w:val="21"/>
        </w:rPr>
        <w:t>Fuest</w:t>
      </w:r>
      <w:proofErr w:type="spellEnd"/>
      <w:r w:rsidRPr="00536EAD">
        <w:rPr>
          <w:rFonts w:ascii="新宋体" w:eastAsia="新宋体" w:hAnsi="新宋体" w:cs="Arial" w:hint="eastAsia"/>
          <w:color w:val="796A4F"/>
          <w:sz w:val="21"/>
          <w:szCs w:val="21"/>
        </w:rPr>
        <w:t>表示，欧洲最大经济体有陷入技术性衰退的可能。</w:t>
      </w:r>
      <w:r w:rsidRPr="003E6928">
        <w:rPr>
          <w:rFonts w:ascii="新宋体" w:eastAsia="新宋体" w:hAnsi="新宋体" w:hint="eastAsia"/>
          <w:szCs w:val="21"/>
        </w:rPr>
        <w:t>。</w:t>
      </w:r>
    </w:p>
    <w:p w:rsidR="004A20F8" w:rsidRDefault="00520D6E" w:rsidP="004F1B05">
      <w:pPr>
        <w:spacing w:line="360" w:lineRule="auto"/>
        <w:jc w:val="center"/>
        <w:rPr>
          <w:rFonts w:ascii="新宋体" w:eastAsia="新宋体" w:hAnsi="新宋体" w:hint="eastAsia"/>
          <w:szCs w:val="21"/>
        </w:rPr>
      </w:pPr>
      <w:r w:rsidRPr="00520D6E">
        <w:rPr>
          <w:rFonts w:ascii="新宋体" w:eastAsia="新宋体" w:hAnsi="新宋体"/>
          <w:szCs w:val="21"/>
        </w:rPr>
        <w:lastRenderedPageBreak/>
        <w:drawing>
          <wp:inline distT="0" distB="0" distL="0" distR="0">
            <wp:extent cx="5486400" cy="3611880"/>
            <wp:effectExtent l="19050" t="0" r="0" b="0"/>
            <wp:docPr id="247" name="图片 3"/>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53" cstate="print"/>
                    <a:stretch>
                      <a:fillRect/>
                    </a:stretch>
                  </pic:blipFill>
                  <pic:spPr>
                    <a:xfrm>
                      <a:off x="0" y="0"/>
                      <a:ext cx="5486400" cy="3611880"/>
                    </a:xfrm>
                    <a:prstGeom prst="rect">
                      <a:avLst/>
                    </a:prstGeom>
                  </pic:spPr>
                </pic:pic>
              </a:graphicData>
            </a:graphic>
          </wp:inline>
        </w:drawing>
      </w:r>
    </w:p>
    <w:p w:rsidR="004F1B05" w:rsidRDefault="004F1B05" w:rsidP="004F1B05">
      <w:pPr>
        <w:spacing w:line="360" w:lineRule="auto"/>
        <w:jc w:val="center"/>
        <w:rPr>
          <w:rFonts w:hint="eastAsia"/>
          <w:szCs w:val="21"/>
        </w:rPr>
      </w:pPr>
      <w:r w:rsidRPr="00097749">
        <w:rPr>
          <w:rFonts w:hint="eastAsia"/>
          <w:szCs w:val="21"/>
        </w:rPr>
        <w:t>图</w:t>
      </w:r>
      <w:r>
        <w:rPr>
          <w:rFonts w:hint="eastAsia"/>
          <w:szCs w:val="21"/>
        </w:rPr>
        <w:t>2-29</w:t>
      </w:r>
      <w:r w:rsidRPr="00097749">
        <w:rPr>
          <w:rFonts w:hint="eastAsia"/>
          <w:szCs w:val="21"/>
        </w:rPr>
        <w:t>：</w:t>
      </w:r>
      <w:r>
        <w:rPr>
          <w:rFonts w:hint="eastAsia"/>
          <w:szCs w:val="21"/>
        </w:rPr>
        <w:t>德国</w:t>
      </w:r>
      <w:r>
        <w:rPr>
          <w:rFonts w:hint="eastAsia"/>
          <w:szCs w:val="21"/>
        </w:rPr>
        <w:t>ZEW</w:t>
      </w:r>
      <w:r>
        <w:rPr>
          <w:rFonts w:hint="eastAsia"/>
          <w:szCs w:val="21"/>
        </w:rPr>
        <w:t>经济景气指数走势</w:t>
      </w:r>
    </w:p>
    <w:p w:rsidR="004F1B05" w:rsidRDefault="004F1B05" w:rsidP="004F1B05">
      <w:pPr>
        <w:spacing w:line="360" w:lineRule="auto"/>
        <w:jc w:val="center"/>
        <w:rPr>
          <w:rFonts w:hint="eastAsia"/>
          <w:szCs w:val="21"/>
        </w:rPr>
      </w:pPr>
      <w:r w:rsidRPr="00097749">
        <w:rPr>
          <w:rFonts w:hint="eastAsia"/>
          <w:szCs w:val="21"/>
        </w:rPr>
        <w:t>资料来源：</w:t>
      </w:r>
      <w:r>
        <w:rPr>
          <w:rFonts w:hint="eastAsia"/>
          <w:szCs w:val="21"/>
        </w:rPr>
        <w:t>Bloomberg</w:t>
      </w:r>
      <w:r w:rsidRPr="00097749">
        <w:rPr>
          <w:rFonts w:hint="eastAsia"/>
          <w:szCs w:val="21"/>
        </w:rPr>
        <w:t>、方正中期研究院整理</w:t>
      </w:r>
    </w:p>
    <w:p w:rsidR="00561CD6" w:rsidRPr="00536EAD" w:rsidRDefault="00561CD6"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11月4日欧盟委员会公布了新一季的欧元区经济预期，欧元区共有18个国家，经济比重占全世界的20%，目前欧元区的疲软势头也在拖累全球经济复苏的脚步。德国的经济发展也比预期的要慢。2015年德国经济增速只能达到1.1%，远低于今年春季</w:t>
      </w:r>
      <w:proofErr w:type="gramStart"/>
      <w:r w:rsidRPr="00536EAD">
        <w:rPr>
          <w:rFonts w:ascii="新宋体" w:eastAsia="新宋体" w:hAnsi="新宋体" w:cs="Arial" w:hint="eastAsia"/>
          <w:color w:val="796A4F"/>
          <w:sz w:val="21"/>
          <w:szCs w:val="21"/>
        </w:rPr>
        <w:t>作出</w:t>
      </w:r>
      <w:proofErr w:type="gramEnd"/>
      <w:r w:rsidRPr="00536EAD">
        <w:rPr>
          <w:rFonts w:ascii="新宋体" w:eastAsia="新宋体" w:hAnsi="新宋体" w:cs="Arial" w:hint="eastAsia"/>
          <w:color w:val="796A4F"/>
          <w:sz w:val="21"/>
          <w:szCs w:val="21"/>
        </w:rPr>
        <w:t>的2%的预测。欧元区各国希望德国能进行更大规模投资以提振欧洲经济。德国能为刺激欧元区经济扮演重要角色，但由于德国一直对通过举债进行投资持保留态度，坚持在明年实现国内财政平衡，能在多大程度上为欧洲经济增长</w:t>
      </w:r>
      <w:proofErr w:type="gramStart"/>
      <w:r w:rsidRPr="00536EAD">
        <w:rPr>
          <w:rFonts w:ascii="新宋体" w:eastAsia="新宋体" w:hAnsi="新宋体" w:cs="Arial" w:hint="eastAsia"/>
          <w:color w:val="796A4F"/>
          <w:sz w:val="21"/>
          <w:szCs w:val="21"/>
        </w:rPr>
        <w:t>作出</w:t>
      </w:r>
      <w:proofErr w:type="gramEnd"/>
      <w:r w:rsidRPr="00536EAD">
        <w:rPr>
          <w:rFonts w:ascii="新宋体" w:eastAsia="新宋体" w:hAnsi="新宋体" w:cs="Arial" w:hint="eastAsia"/>
          <w:color w:val="796A4F"/>
          <w:sz w:val="21"/>
          <w:szCs w:val="21"/>
        </w:rPr>
        <w:t>贡献目前还不好说。目前的局面没有单一的、简单的答案，经济振兴需要大家的共同努力。</w:t>
      </w:r>
    </w:p>
    <w:p w:rsidR="004A20F8" w:rsidRDefault="00EE7522" w:rsidP="004A20F8">
      <w:pPr>
        <w:pStyle w:val="3"/>
        <w:rPr>
          <w:rFonts w:hint="eastAsia"/>
          <w:color w:val="000000" w:themeColor="text1"/>
          <w:sz w:val="21"/>
          <w:szCs w:val="21"/>
        </w:rPr>
      </w:pPr>
      <w:r>
        <w:rPr>
          <w:rFonts w:hint="eastAsia"/>
          <w:color w:val="000000" w:themeColor="text1"/>
          <w:sz w:val="21"/>
          <w:szCs w:val="21"/>
        </w:rPr>
        <w:t>八</w:t>
      </w:r>
      <w:r w:rsidR="004A20F8" w:rsidRPr="0031240F">
        <w:rPr>
          <w:rFonts w:hint="eastAsia"/>
          <w:color w:val="000000" w:themeColor="text1"/>
          <w:sz w:val="21"/>
          <w:szCs w:val="21"/>
        </w:rPr>
        <w:t>、法国</w:t>
      </w:r>
      <w:r w:rsidR="00C519AF">
        <w:rPr>
          <w:rFonts w:hint="eastAsia"/>
          <w:color w:val="000000" w:themeColor="text1"/>
          <w:sz w:val="21"/>
          <w:szCs w:val="21"/>
        </w:rPr>
        <w:t>经济多领域令市场担忧</w:t>
      </w:r>
    </w:p>
    <w:p w:rsidR="00594052" w:rsidRPr="00594052" w:rsidRDefault="00594052" w:rsidP="00594052">
      <w:pPr>
        <w:rPr>
          <w:rFonts w:hint="eastAsia"/>
        </w:rPr>
      </w:pPr>
    </w:p>
    <w:p w:rsidR="00EE7522" w:rsidRDefault="00EE7522" w:rsidP="00EE7522">
      <w:pPr>
        <w:jc w:val="center"/>
        <w:rPr>
          <w:rFonts w:hint="eastAsia"/>
        </w:rPr>
      </w:pPr>
      <w:r w:rsidRPr="00EE7522">
        <w:lastRenderedPageBreak/>
        <w:drawing>
          <wp:inline distT="0" distB="0" distL="0" distR="0">
            <wp:extent cx="5076958" cy="3423684"/>
            <wp:effectExtent l="19050" t="0" r="9392" b="0"/>
            <wp:docPr id="250" name="图片 6"/>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54" cstate="print"/>
                    <a:stretch>
                      <a:fillRect/>
                    </a:stretch>
                  </pic:blipFill>
                  <pic:spPr>
                    <a:xfrm>
                      <a:off x="0" y="0"/>
                      <a:ext cx="5084975" cy="3429090"/>
                    </a:xfrm>
                    <a:prstGeom prst="rect">
                      <a:avLst/>
                    </a:prstGeom>
                  </pic:spPr>
                </pic:pic>
              </a:graphicData>
            </a:graphic>
          </wp:inline>
        </w:drawing>
      </w:r>
    </w:p>
    <w:p w:rsidR="00795911" w:rsidRDefault="00D12B01" w:rsidP="00795911">
      <w:pPr>
        <w:spacing w:line="360" w:lineRule="auto"/>
        <w:jc w:val="center"/>
        <w:rPr>
          <w:rFonts w:hint="eastAsia"/>
          <w:szCs w:val="21"/>
        </w:rPr>
      </w:pPr>
      <w:r w:rsidRPr="00097749">
        <w:rPr>
          <w:rFonts w:hint="eastAsia"/>
          <w:szCs w:val="21"/>
        </w:rPr>
        <w:t>图</w:t>
      </w:r>
      <w:r>
        <w:rPr>
          <w:rFonts w:hint="eastAsia"/>
          <w:szCs w:val="21"/>
        </w:rPr>
        <w:t>2-</w:t>
      </w:r>
      <w:r w:rsidR="00795911">
        <w:rPr>
          <w:rFonts w:hint="eastAsia"/>
          <w:szCs w:val="21"/>
        </w:rPr>
        <w:t>30</w:t>
      </w:r>
      <w:r w:rsidRPr="00097749">
        <w:rPr>
          <w:rFonts w:hint="eastAsia"/>
          <w:szCs w:val="21"/>
        </w:rPr>
        <w:t>：</w:t>
      </w:r>
      <w:r w:rsidR="00795911">
        <w:rPr>
          <w:rFonts w:hint="eastAsia"/>
          <w:szCs w:val="21"/>
        </w:rPr>
        <w:t>法国实际</w:t>
      </w:r>
      <w:r w:rsidR="00795911">
        <w:rPr>
          <w:rFonts w:hint="eastAsia"/>
          <w:szCs w:val="21"/>
        </w:rPr>
        <w:t>GDP</w:t>
      </w:r>
      <w:r w:rsidR="00795911">
        <w:rPr>
          <w:rFonts w:hint="eastAsia"/>
          <w:szCs w:val="21"/>
        </w:rPr>
        <w:t>环比走势</w:t>
      </w:r>
    </w:p>
    <w:p w:rsidR="00D12B01" w:rsidRPr="00347F03" w:rsidRDefault="00D12B01" w:rsidP="00D12B01">
      <w:pPr>
        <w:spacing w:line="360" w:lineRule="auto"/>
        <w:jc w:val="center"/>
        <w:rPr>
          <w:rFonts w:ascii="新宋体" w:eastAsia="新宋体" w:hAnsi="新宋体"/>
          <w:szCs w:val="21"/>
        </w:rPr>
      </w:pPr>
      <w:r w:rsidRPr="00097749">
        <w:rPr>
          <w:rFonts w:hint="eastAsia"/>
          <w:szCs w:val="21"/>
        </w:rPr>
        <w:t>资料来源：</w:t>
      </w:r>
      <w:r>
        <w:rPr>
          <w:rFonts w:hint="eastAsia"/>
          <w:szCs w:val="21"/>
        </w:rPr>
        <w:t>Bloomberg</w:t>
      </w:r>
      <w:r w:rsidRPr="00097749">
        <w:rPr>
          <w:rFonts w:hint="eastAsia"/>
          <w:szCs w:val="21"/>
        </w:rPr>
        <w:t>、方正中期研究院整理</w:t>
      </w:r>
    </w:p>
    <w:p w:rsidR="006F71AA" w:rsidRPr="00536EAD" w:rsidRDefault="006F71AA"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10月份国际货币基金组织(IMF)将法国2014、2015年经济增长预期分别调低至0.4%、1% 。欧元区第二大经济体的法国，曾是欧洲经济增长的重要动力源泉之一。但如今在经济增长疲弱、债务不断膨胀、失业群体扩增不断等的困扰下，这个国家的经济似乎正在沦陷。与其他主要经济体不同，法国成功地躲过了2008年金融危机，其经济增速并未大幅脱离常轨，最糟糕时也仅为2009年的负3.1%，明显好于欧元区其他成员国。此后两年，法国经济增速重返增长区间，经济产出甚至在2010年超过了金融危机前的高峰。但法国近几年的经济发展却越来越弱。</w:t>
      </w:r>
    </w:p>
    <w:p w:rsidR="006F71AA" w:rsidRPr="00536EAD" w:rsidRDefault="006F71AA"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目前，欧元</w:t>
      </w:r>
      <w:proofErr w:type="gramStart"/>
      <w:r w:rsidRPr="00536EAD">
        <w:rPr>
          <w:rFonts w:ascii="新宋体" w:eastAsia="新宋体" w:hAnsi="新宋体" w:cs="Arial" w:hint="eastAsia"/>
          <w:color w:val="796A4F"/>
          <w:sz w:val="21"/>
          <w:szCs w:val="21"/>
        </w:rPr>
        <w:t>区整体</w:t>
      </w:r>
      <w:proofErr w:type="gramEnd"/>
      <w:r w:rsidRPr="00536EAD">
        <w:rPr>
          <w:rFonts w:ascii="新宋体" w:eastAsia="新宋体" w:hAnsi="新宋体" w:cs="Arial" w:hint="eastAsia"/>
          <w:color w:val="796A4F"/>
          <w:sz w:val="21"/>
          <w:szCs w:val="21"/>
        </w:rPr>
        <w:t>面临通缩风险，法国也未能例外。这威胁着法国的经济前景。9月份法国CPI跌至创纪录的0.4%。欧元</w:t>
      </w:r>
      <w:proofErr w:type="gramStart"/>
      <w:r w:rsidRPr="00536EAD">
        <w:rPr>
          <w:rFonts w:ascii="新宋体" w:eastAsia="新宋体" w:hAnsi="新宋体" w:cs="Arial" w:hint="eastAsia"/>
          <w:color w:val="796A4F"/>
          <w:sz w:val="21"/>
          <w:szCs w:val="21"/>
        </w:rPr>
        <w:t>区整体</w:t>
      </w:r>
      <w:proofErr w:type="gramEnd"/>
      <w:r w:rsidRPr="00536EAD">
        <w:rPr>
          <w:rFonts w:ascii="新宋体" w:eastAsia="新宋体" w:hAnsi="新宋体" w:cs="Arial" w:hint="eastAsia"/>
          <w:color w:val="796A4F"/>
          <w:sz w:val="21"/>
          <w:szCs w:val="21"/>
        </w:rPr>
        <w:t>CPI当月涨幅为0.3%。同月，</w:t>
      </w:r>
      <w:proofErr w:type="gramStart"/>
      <w:r w:rsidRPr="00536EAD">
        <w:rPr>
          <w:rFonts w:ascii="新宋体" w:eastAsia="新宋体" w:hAnsi="新宋体" w:cs="Arial" w:hint="eastAsia"/>
          <w:color w:val="796A4F"/>
          <w:sz w:val="21"/>
          <w:szCs w:val="21"/>
        </w:rPr>
        <w:t>美国季调后</w:t>
      </w:r>
      <w:proofErr w:type="gramEnd"/>
      <w:r w:rsidRPr="00536EAD">
        <w:rPr>
          <w:rFonts w:ascii="新宋体" w:eastAsia="新宋体" w:hAnsi="新宋体" w:cs="Arial" w:hint="eastAsia"/>
          <w:color w:val="796A4F"/>
          <w:sz w:val="21"/>
          <w:szCs w:val="21"/>
        </w:rPr>
        <w:t>CPI同比增长1.7%。低通胀增加了法国的债务偿付负担，也导致实际利率攀升和该国消费状况仍低迷。低迷的经济增速对法国政府试图</w:t>
      </w:r>
      <w:proofErr w:type="gramStart"/>
      <w:r w:rsidRPr="00536EAD">
        <w:rPr>
          <w:rFonts w:ascii="新宋体" w:eastAsia="新宋体" w:hAnsi="新宋体" w:cs="Arial" w:hint="eastAsia"/>
          <w:color w:val="796A4F"/>
          <w:sz w:val="21"/>
          <w:szCs w:val="21"/>
        </w:rPr>
        <w:t>平衡国家</w:t>
      </w:r>
      <w:proofErr w:type="gramEnd"/>
      <w:r w:rsidRPr="00536EAD">
        <w:rPr>
          <w:rFonts w:ascii="新宋体" w:eastAsia="新宋体" w:hAnsi="新宋体" w:cs="Arial" w:hint="eastAsia"/>
          <w:color w:val="796A4F"/>
          <w:sz w:val="21"/>
          <w:szCs w:val="21"/>
        </w:rPr>
        <w:t>资产负债表构成束缚。自1975年以来的赤字积累减少了财政空间，限制了政府在2012年-2013年经济</w:t>
      </w:r>
      <w:proofErr w:type="gramStart"/>
      <w:r w:rsidRPr="00536EAD">
        <w:rPr>
          <w:rFonts w:ascii="新宋体" w:eastAsia="新宋体" w:hAnsi="新宋体" w:cs="Arial" w:hint="eastAsia"/>
          <w:color w:val="796A4F"/>
          <w:sz w:val="21"/>
          <w:szCs w:val="21"/>
        </w:rPr>
        <w:t>增速放缓期间</w:t>
      </w:r>
      <w:proofErr w:type="gramEnd"/>
      <w:r w:rsidRPr="00536EAD">
        <w:rPr>
          <w:rFonts w:ascii="新宋体" w:eastAsia="新宋体" w:hAnsi="新宋体" w:cs="Arial" w:hint="eastAsia"/>
          <w:color w:val="796A4F"/>
          <w:sz w:val="21"/>
          <w:szCs w:val="21"/>
        </w:rPr>
        <w:t>维持需求的能力，即使在经济发展较好的时期也是如此。目前法国预算赤字占GDP的比例持续在4.4%以上，而欧盟设定的预算赤字上限则为3%。政府支出占GDP的比例今年将超过55%，而经合组织成员国平均水平为40%。即便如此，法国没有选择削减支出，而是增加了税收，比如施行高额财产税。按照政府最新的开支计划，法国承诺在未来三年削减500亿欧元的支出。政府债务占GDP的比重也超过了欧盟规定的60%红线。自2008年以来，法国的债务比重就持续增长至如今的116%。超过10%的高失业率令法国经济增长、消费市场复苏困难重重。法国失业人口数量在今年1月达到了创纪录的330万人。</w:t>
      </w:r>
    </w:p>
    <w:p w:rsidR="00D12B01" w:rsidRPr="006F71AA" w:rsidRDefault="00D12B01" w:rsidP="00EE7522">
      <w:pPr>
        <w:jc w:val="center"/>
        <w:rPr>
          <w:rFonts w:hint="eastAsia"/>
        </w:rPr>
      </w:pPr>
    </w:p>
    <w:p w:rsidR="00EE7522" w:rsidRDefault="00EE7522" w:rsidP="00EE7522">
      <w:pPr>
        <w:jc w:val="center"/>
        <w:rPr>
          <w:rFonts w:hint="eastAsia"/>
        </w:rPr>
      </w:pPr>
      <w:r w:rsidRPr="00EE7522">
        <w:lastRenderedPageBreak/>
        <w:drawing>
          <wp:inline distT="0" distB="0" distL="0" distR="0">
            <wp:extent cx="5173980" cy="3505200"/>
            <wp:effectExtent l="19050" t="0" r="7620" b="0"/>
            <wp:docPr id="251" name="图片 7"/>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55" cstate="print"/>
                    <a:stretch>
                      <a:fillRect/>
                    </a:stretch>
                  </pic:blipFill>
                  <pic:spPr>
                    <a:xfrm>
                      <a:off x="0" y="0"/>
                      <a:ext cx="5173980" cy="3505200"/>
                    </a:xfrm>
                    <a:prstGeom prst="rect">
                      <a:avLst/>
                    </a:prstGeom>
                  </pic:spPr>
                </pic:pic>
              </a:graphicData>
            </a:graphic>
          </wp:inline>
        </w:drawing>
      </w:r>
    </w:p>
    <w:p w:rsidR="00650FF1" w:rsidRDefault="00650FF1" w:rsidP="00650FF1">
      <w:pPr>
        <w:spacing w:line="360" w:lineRule="auto"/>
        <w:jc w:val="center"/>
        <w:rPr>
          <w:rFonts w:hint="eastAsia"/>
          <w:szCs w:val="21"/>
        </w:rPr>
      </w:pPr>
      <w:r w:rsidRPr="00097749">
        <w:rPr>
          <w:rFonts w:hint="eastAsia"/>
          <w:szCs w:val="21"/>
        </w:rPr>
        <w:t>图</w:t>
      </w:r>
      <w:r>
        <w:rPr>
          <w:rFonts w:hint="eastAsia"/>
          <w:szCs w:val="21"/>
        </w:rPr>
        <w:t>2-</w:t>
      </w:r>
      <w:r w:rsidR="00795911">
        <w:rPr>
          <w:rFonts w:hint="eastAsia"/>
          <w:szCs w:val="21"/>
        </w:rPr>
        <w:t>31</w:t>
      </w:r>
      <w:r w:rsidRPr="00097749">
        <w:rPr>
          <w:rFonts w:hint="eastAsia"/>
          <w:szCs w:val="21"/>
        </w:rPr>
        <w:t>：</w:t>
      </w:r>
      <w:r w:rsidR="00795911">
        <w:rPr>
          <w:rFonts w:hint="eastAsia"/>
          <w:szCs w:val="21"/>
        </w:rPr>
        <w:t>法</w:t>
      </w:r>
      <w:r>
        <w:rPr>
          <w:rFonts w:hint="eastAsia"/>
          <w:szCs w:val="21"/>
        </w:rPr>
        <w:t>国</w:t>
      </w:r>
      <w:r w:rsidR="00795911">
        <w:rPr>
          <w:rFonts w:hint="eastAsia"/>
          <w:szCs w:val="21"/>
        </w:rPr>
        <w:t>制造业</w:t>
      </w:r>
      <w:r w:rsidR="00795911">
        <w:rPr>
          <w:rFonts w:hint="eastAsia"/>
          <w:szCs w:val="21"/>
        </w:rPr>
        <w:t>PMI</w:t>
      </w:r>
      <w:r w:rsidR="00795911">
        <w:rPr>
          <w:rFonts w:hint="eastAsia"/>
          <w:szCs w:val="21"/>
        </w:rPr>
        <w:t>指数</w:t>
      </w:r>
      <w:r>
        <w:rPr>
          <w:rFonts w:hint="eastAsia"/>
          <w:szCs w:val="21"/>
        </w:rPr>
        <w:t>走势</w:t>
      </w:r>
    </w:p>
    <w:p w:rsidR="00650FF1" w:rsidRPr="00347F03" w:rsidRDefault="00650FF1" w:rsidP="00650FF1">
      <w:pPr>
        <w:spacing w:line="360" w:lineRule="auto"/>
        <w:jc w:val="center"/>
        <w:rPr>
          <w:rFonts w:ascii="新宋体" w:eastAsia="新宋体" w:hAnsi="新宋体"/>
          <w:szCs w:val="21"/>
        </w:rPr>
      </w:pPr>
      <w:r w:rsidRPr="00097749">
        <w:rPr>
          <w:rFonts w:hint="eastAsia"/>
          <w:szCs w:val="21"/>
        </w:rPr>
        <w:t>资料来源：</w:t>
      </w:r>
      <w:r>
        <w:rPr>
          <w:rFonts w:hint="eastAsia"/>
          <w:szCs w:val="21"/>
        </w:rPr>
        <w:t>Bloomberg</w:t>
      </w:r>
      <w:r w:rsidRPr="00097749">
        <w:rPr>
          <w:rFonts w:hint="eastAsia"/>
          <w:szCs w:val="21"/>
        </w:rPr>
        <w:t>、方正中期研究院整理</w:t>
      </w:r>
    </w:p>
    <w:p w:rsidR="006F71AA" w:rsidRPr="00536EAD" w:rsidRDefault="006F71AA"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10月份国际货币基金组织(IMF)将法国2014、2015年经济增长预期分别调低至0.4%、1% 。欧元区第二大经济体的法国，曾是欧洲经济增长的重要动力源泉之一。但如今在经济增长疲弱、债务不断膨胀、失业群体扩增不断等的困扰下，这个国家的经济似乎正在沦陷。与其他主要经济体不同，法国成功地躲过了2008年金融危机，其经济增速并未大幅脱离常轨，最糟糕时也仅为2009年的负3.1%，明显好于欧元区其他成员国。此后两年，法国经济增速重返增长区间，经济产出甚至在2010年超过了金融危机前的高峰。但法国近几年的经济发展却越来越弱。</w:t>
      </w:r>
    </w:p>
    <w:p w:rsidR="004A20F8" w:rsidRPr="00536EAD" w:rsidRDefault="006F71AA"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11月4</w:t>
      </w:r>
      <w:r w:rsidR="00561CD6" w:rsidRPr="00536EAD">
        <w:rPr>
          <w:rFonts w:ascii="新宋体" w:eastAsia="新宋体" w:hAnsi="新宋体" w:cs="Arial" w:hint="eastAsia"/>
          <w:color w:val="796A4F"/>
          <w:sz w:val="21"/>
          <w:szCs w:val="21"/>
        </w:rPr>
        <w:t>日</w:t>
      </w:r>
      <w:r w:rsidRPr="00536EAD">
        <w:rPr>
          <w:rFonts w:ascii="新宋体" w:eastAsia="新宋体" w:hAnsi="新宋体" w:cs="Arial" w:hint="eastAsia"/>
          <w:color w:val="796A4F"/>
          <w:sz w:val="21"/>
          <w:szCs w:val="21"/>
        </w:rPr>
        <w:t>欧盟委员会公布了新一季的欧元区经济预期，法国未来几年的经济前景不被看好。法国可能无法兑现在削减公共财政赤字上的承诺。如果法国政府不采取任何应对措施，法国的财政赤字将在2015年达到GDP的4.5%，并将在2016年上升至4.7%，这项指标将成为整个欧元区的“倒数第一”。</w:t>
      </w:r>
    </w:p>
    <w:p w:rsidR="004A20F8" w:rsidRDefault="00EE7522" w:rsidP="004A20F8">
      <w:pPr>
        <w:pStyle w:val="3"/>
        <w:rPr>
          <w:rFonts w:hint="eastAsia"/>
          <w:color w:val="000000" w:themeColor="text1"/>
          <w:sz w:val="21"/>
          <w:szCs w:val="21"/>
        </w:rPr>
      </w:pPr>
      <w:r>
        <w:rPr>
          <w:rFonts w:hint="eastAsia"/>
          <w:color w:val="000000" w:themeColor="text1"/>
          <w:sz w:val="21"/>
          <w:szCs w:val="21"/>
        </w:rPr>
        <w:t>九</w:t>
      </w:r>
      <w:r w:rsidR="00C519AF">
        <w:rPr>
          <w:rFonts w:hint="eastAsia"/>
          <w:color w:val="000000" w:themeColor="text1"/>
          <w:sz w:val="21"/>
          <w:szCs w:val="21"/>
        </w:rPr>
        <w:t>、美元指数大幅飙升创五年新</w:t>
      </w:r>
      <w:r w:rsidR="004A20F8" w:rsidRPr="00CE3844">
        <w:rPr>
          <w:rFonts w:hint="eastAsia"/>
          <w:color w:val="000000" w:themeColor="text1"/>
          <w:sz w:val="21"/>
          <w:szCs w:val="21"/>
        </w:rPr>
        <w:t>高</w:t>
      </w:r>
    </w:p>
    <w:p w:rsidR="0083577D" w:rsidRDefault="0083577D" w:rsidP="0083577D">
      <w:pPr>
        <w:rPr>
          <w:rFonts w:hint="eastAsia"/>
        </w:rPr>
      </w:pPr>
    </w:p>
    <w:p w:rsidR="00DC4BEB" w:rsidRPr="00536EAD" w:rsidRDefault="00DC4BEB"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欧洲央行和英国央行公布利率决议，政策维持不变。然而，欧洲央行行长德拉吉随后透露未来或扩大宽松举措，引发欧元一波重挫行情。美元则在美国就业数据支撑下再创新高。最新一期的欧洲央行利率决议宣布维持当前政策不变，但欧洲央行行长德拉吉在随后的新闻发布会中强调，欧洲央行将致力于将资产负债表进一步扩大到3</w:t>
      </w:r>
      <w:proofErr w:type="gramStart"/>
      <w:r w:rsidRPr="00536EAD">
        <w:rPr>
          <w:rFonts w:ascii="新宋体" w:eastAsia="新宋体" w:hAnsi="新宋体" w:cs="Arial" w:hint="eastAsia"/>
          <w:color w:val="796A4F"/>
          <w:sz w:val="21"/>
          <w:szCs w:val="21"/>
        </w:rPr>
        <w:t>万亿</w:t>
      </w:r>
      <w:proofErr w:type="gramEnd"/>
      <w:r w:rsidRPr="00536EAD">
        <w:rPr>
          <w:rFonts w:ascii="新宋体" w:eastAsia="新宋体" w:hAnsi="新宋体" w:cs="Arial" w:hint="eastAsia"/>
          <w:color w:val="796A4F"/>
          <w:sz w:val="21"/>
          <w:szCs w:val="21"/>
        </w:rPr>
        <w:t>欧元的水平，暗示当前宽松规模还有待加大。上述表态导致市场重燃欧洲央行扩大宽松政策的预期，欧元兑美元失守1.24关口，刷新3年来低位。美元方面，最新数据显示，11月1</w:t>
      </w:r>
      <w:r w:rsidRPr="00536EAD">
        <w:rPr>
          <w:rFonts w:ascii="新宋体" w:eastAsia="新宋体" w:hAnsi="新宋体" w:cs="Arial" w:hint="eastAsia"/>
          <w:color w:val="796A4F"/>
          <w:sz w:val="21"/>
          <w:szCs w:val="21"/>
        </w:rPr>
        <w:lastRenderedPageBreak/>
        <w:t>日当</w:t>
      </w:r>
      <w:proofErr w:type="gramStart"/>
      <w:r w:rsidRPr="00536EAD">
        <w:rPr>
          <w:rFonts w:ascii="新宋体" w:eastAsia="新宋体" w:hAnsi="新宋体" w:cs="Arial" w:hint="eastAsia"/>
          <w:color w:val="796A4F"/>
          <w:sz w:val="21"/>
          <w:szCs w:val="21"/>
        </w:rPr>
        <w:t>周首申失业金人数</w:t>
      </w:r>
      <w:proofErr w:type="gramEnd"/>
      <w:r w:rsidRPr="00536EAD">
        <w:rPr>
          <w:rFonts w:ascii="新宋体" w:eastAsia="新宋体" w:hAnsi="新宋体" w:cs="Arial" w:hint="eastAsia"/>
          <w:color w:val="796A4F"/>
          <w:sz w:val="21"/>
          <w:szCs w:val="21"/>
        </w:rPr>
        <w:t>为27.8万人，较上月减少近1万人。数据继续回落，暗示美国劳动力市场继续好转，推动美元指数走强。另外，美国中期选举的形式也提振了美元走强。日前揭晓的美国中期选举结果，共和党获得大胜，不仅在众议院取得了该党逾60年来最大的多数优势，还重新掌控参议院。自2006年以来，共和党首次全面控制国会参众两院。因美国中期选举的结果为共和党控制参众两院，市场预期这可能会使美国未来出台更多有利企业的政策，将增强对全球游资的吸引力，美元由此受到提振。</w:t>
      </w:r>
    </w:p>
    <w:p w:rsidR="00DC4BEB" w:rsidRPr="00536EAD" w:rsidRDefault="00DC4BEB" w:rsidP="00536EAD">
      <w:pPr>
        <w:pStyle w:val="ad"/>
        <w:spacing w:beforeLines="50" w:after="50"/>
        <w:ind w:firstLineChars="200" w:firstLine="420"/>
        <w:rPr>
          <w:rFonts w:ascii="新宋体" w:eastAsia="新宋体" w:hAnsi="新宋体" w:cs="Arial"/>
          <w:color w:val="796A4F"/>
          <w:sz w:val="21"/>
          <w:szCs w:val="21"/>
        </w:rPr>
      </w:pPr>
      <w:r w:rsidRPr="00536EAD">
        <w:rPr>
          <w:rFonts w:ascii="新宋体" w:eastAsia="新宋体" w:hAnsi="新宋体" w:cs="Arial" w:hint="eastAsia"/>
          <w:color w:val="796A4F"/>
          <w:sz w:val="21"/>
          <w:szCs w:val="21"/>
        </w:rPr>
        <w:t>美元指数已刷新5年来高位至88整数关口上方，非美货币一致承压，尤其是日元对美元汇率均刷新年内低点。自上周日本央行宣布扩大资产购买规模之后，日元兑美元贬值幅度近5％，且市场人士依然倾向于日元贬值。在美元持续走强的作用下，人民币对美元中间价也相应下行。目前，人民币对美元汇率中间价已跌破6.16。</w:t>
      </w:r>
    </w:p>
    <w:tbl>
      <w:tblPr>
        <w:tblW w:w="0" w:type="auto"/>
        <w:jc w:val="center"/>
        <w:tblInd w:w="539" w:type="dxa"/>
        <w:tblBorders>
          <w:insideH w:val="single" w:sz="4" w:space="0" w:color="000000"/>
          <w:insideV w:val="single" w:sz="4" w:space="0" w:color="000000"/>
        </w:tblBorders>
        <w:tblLook w:val="04A0"/>
      </w:tblPr>
      <w:tblGrid>
        <w:gridCol w:w="9315"/>
      </w:tblGrid>
      <w:tr w:rsidR="004A20F8" w:rsidRPr="00853BD3" w:rsidTr="005B3E06">
        <w:trPr>
          <w:jc w:val="center"/>
        </w:trPr>
        <w:tc>
          <w:tcPr>
            <w:tcW w:w="9315" w:type="dxa"/>
          </w:tcPr>
          <w:p w:rsidR="004A20F8" w:rsidRPr="00853BD3" w:rsidRDefault="004A20F8" w:rsidP="005B0335">
            <w:pPr>
              <w:pStyle w:val="ad"/>
              <w:spacing w:beforeLines="50" w:after="50"/>
              <w:jc w:val="center"/>
              <w:rPr>
                <w:rFonts w:ascii="新宋体" w:eastAsia="新宋体" w:hAnsi="新宋体"/>
                <w:color w:val="796A4F"/>
                <w:sz w:val="21"/>
                <w:szCs w:val="21"/>
              </w:rPr>
            </w:pPr>
          </w:p>
        </w:tc>
      </w:tr>
      <w:tr w:rsidR="004A20F8" w:rsidRPr="00853BD3" w:rsidTr="005B3E06">
        <w:trPr>
          <w:trHeight w:val="3832"/>
          <w:jc w:val="center"/>
        </w:trPr>
        <w:tc>
          <w:tcPr>
            <w:tcW w:w="9315" w:type="dxa"/>
          </w:tcPr>
          <w:p w:rsidR="004A20F8" w:rsidRPr="00853BD3" w:rsidRDefault="00DC4BEB" w:rsidP="005B0335">
            <w:pPr>
              <w:pStyle w:val="ad"/>
              <w:spacing w:beforeLines="50" w:after="50" w:line="276" w:lineRule="auto"/>
              <w:rPr>
                <w:rFonts w:ascii="新宋体" w:eastAsia="新宋体" w:hAnsi="新宋体"/>
                <w:color w:val="796A4F"/>
                <w:sz w:val="21"/>
                <w:szCs w:val="21"/>
              </w:rPr>
            </w:pPr>
            <w:r>
              <w:rPr>
                <w:rFonts w:ascii="新宋体" w:eastAsia="新宋体" w:hAnsi="新宋体"/>
                <w:noProof/>
                <w:color w:val="796A4F"/>
                <w:sz w:val="21"/>
                <w:szCs w:val="21"/>
              </w:rPr>
              <w:drawing>
                <wp:inline distT="0" distB="0" distL="0" distR="0">
                  <wp:extent cx="5799972" cy="3519377"/>
                  <wp:effectExtent l="1905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802828" cy="3521110"/>
                          </a:xfrm>
                          <a:prstGeom prst="rect">
                            <a:avLst/>
                          </a:prstGeom>
                          <a:noFill/>
                          <a:ln w="9525">
                            <a:noFill/>
                            <a:miter lim="800000"/>
                            <a:headEnd/>
                            <a:tailEnd/>
                          </a:ln>
                        </pic:spPr>
                      </pic:pic>
                    </a:graphicData>
                  </a:graphic>
                </wp:inline>
              </w:drawing>
            </w:r>
          </w:p>
        </w:tc>
      </w:tr>
      <w:tr w:rsidR="004A20F8" w:rsidRPr="00853BD3" w:rsidTr="005B3E06">
        <w:trPr>
          <w:jc w:val="center"/>
        </w:trPr>
        <w:tc>
          <w:tcPr>
            <w:tcW w:w="9315" w:type="dxa"/>
          </w:tcPr>
          <w:tbl>
            <w:tblPr>
              <w:tblW w:w="0" w:type="auto"/>
              <w:jc w:val="center"/>
              <w:tblInd w:w="539" w:type="dxa"/>
              <w:tblBorders>
                <w:insideH w:val="single" w:sz="4" w:space="0" w:color="000000"/>
                <w:insideV w:val="single" w:sz="4" w:space="0" w:color="000000"/>
              </w:tblBorders>
              <w:tblLook w:val="04A0"/>
            </w:tblPr>
            <w:tblGrid>
              <w:gridCol w:w="8560"/>
            </w:tblGrid>
            <w:tr w:rsidR="00DC4BEB" w:rsidRPr="00853BD3" w:rsidTr="00DC4BEB">
              <w:trPr>
                <w:jc w:val="center"/>
              </w:trPr>
              <w:tc>
                <w:tcPr>
                  <w:tcW w:w="8560" w:type="dxa"/>
                </w:tcPr>
                <w:p w:rsidR="00DC4BEB" w:rsidRDefault="00DC4BEB" w:rsidP="00DC4BEB">
                  <w:pPr>
                    <w:pStyle w:val="ad"/>
                    <w:spacing w:beforeLines="50" w:after="50"/>
                    <w:jc w:val="center"/>
                    <w:rPr>
                      <w:rFonts w:ascii="新宋体" w:eastAsia="新宋体" w:hAnsi="新宋体" w:hint="eastAsia"/>
                      <w:color w:val="796A4F"/>
                      <w:sz w:val="21"/>
                      <w:szCs w:val="21"/>
                    </w:rPr>
                  </w:pPr>
                  <w:r w:rsidRPr="00853BD3">
                    <w:rPr>
                      <w:rFonts w:ascii="新宋体" w:eastAsia="新宋体" w:hAnsi="新宋体" w:hint="eastAsia"/>
                      <w:color w:val="796A4F"/>
                      <w:sz w:val="21"/>
                      <w:szCs w:val="21"/>
                    </w:rPr>
                    <w:t>图</w:t>
                  </w:r>
                  <w:r>
                    <w:rPr>
                      <w:rFonts w:ascii="新宋体" w:eastAsia="新宋体" w:hAnsi="新宋体" w:hint="eastAsia"/>
                      <w:color w:val="796A4F"/>
                      <w:sz w:val="21"/>
                      <w:szCs w:val="21"/>
                    </w:rPr>
                    <w:t>2-32</w:t>
                  </w:r>
                  <w:r w:rsidRPr="00853BD3">
                    <w:rPr>
                      <w:rFonts w:ascii="新宋体" w:eastAsia="新宋体" w:hAnsi="新宋体" w:hint="eastAsia"/>
                      <w:color w:val="796A4F"/>
                      <w:sz w:val="21"/>
                      <w:szCs w:val="21"/>
                    </w:rPr>
                    <w:t>：2014年美元指数日K线走势</w:t>
                  </w:r>
                </w:p>
                <w:p w:rsidR="00DC4BEB" w:rsidRPr="00853BD3" w:rsidRDefault="00DC4BEB" w:rsidP="00DC4BEB">
                  <w:pPr>
                    <w:pStyle w:val="ad"/>
                    <w:spacing w:beforeLines="50" w:after="50"/>
                    <w:jc w:val="center"/>
                    <w:rPr>
                      <w:rFonts w:ascii="新宋体" w:eastAsia="新宋体" w:hAnsi="新宋体"/>
                      <w:color w:val="796A4F"/>
                      <w:sz w:val="21"/>
                      <w:szCs w:val="21"/>
                    </w:rPr>
                  </w:pPr>
                  <w:r w:rsidRPr="00853BD3">
                    <w:rPr>
                      <w:rFonts w:ascii="新宋体" w:eastAsia="新宋体" w:hAnsi="新宋体" w:hint="eastAsia"/>
                      <w:color w:val="796A4F"/>
                      <w:sz w:val="21"/>
                      <w:szCs w:val="21"/>
                    </w:rPr>
                    <w:t>资料来源：文华财经、方正中期研究院整理</w:t>
                  </w:r>
                </w:p>
              </w:tc>
            </w:tr>
          </w:tbl>
          <w:p w:rsidR="004A20F8" w:rsidRPr="00DC4BEB" w:rsidRDefault="004A20F8" w:rsidP="005B0335">
            <w:pPr>
              <w:pStyle w:val="ad"/>
              <w:spacing w:beforeLines="50" w:after="50"/>
              <w:rPr>
                <w:rFonts w:ascii="新宋体" w:eastAsia="新宋体" w:hAnsi="新宋体"/>
                <w:color w:val="796A4F"/>
                <w:sz w:val="21"/>
                <w:szCs w:val="21"/>
              </w:rPr>
            </w:pPr>
          </w:p>
        </w:tc>
      </w:tr>
      <w:tr w:rsidR="004A20F8" w:rsidRPr="00853BD3" w:rsidTr="0083577D">
        <w:trPr>
          <w:trHeight w:val="3832"/>
          <w:jc w:val="center"/>
        </w:trPr>
        <w:tc>
          <w:tcPr>
            <w:tcW w:w="9315" w:type="dxa"/>
          </w:tcPr>
          <w:p w:rsidR="004A20F8" w:rsidRPr="00853BD3" w:rsidRDefault="00DC4BEB" w:rsidP="005B0335">
            <w:pPr>
              <w:pStyle w:val="ad"/>
              <w:spacing w:beforeLines="50" w:after="50" w:line="276" w:lineRule="auto"/>
              <w:rPr>
                <w:rFonts w:ascii="新宋体" w:eastAsia="新宋体" w:hAnsi="新宋体"/>
                <w:color w:val="796A4F"/>
                <w:sz w:val="21"/>
                <w:szCs w:val="21"/>
              </w:rPr>
            </w:pPr>
            <w:r>
              <w:rPr>
                <w:rFonts w:ascii="新宋体" w:eastAsia="新宋体" w:hAnsi="新宋体"/>
                <w:noProof/>
                <w:color w:val="796A4F"/>
                <w:sz w:val="21"/>
                <w:szCs w:val="21"/>
              </w:rPr>
              <w:lastRenderedPageBreak/>
              <w:drawing>
                <wp:inline distT="0" distB="0" distL="0" distR="0">
                  <wp:extent cx="5796958" cy="3487479"/>
                  <wp:effectExtent l="19050" t="0" r="0"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5797251" cy="3487655"/>
                          </a:xfrm>
                          <a:prstGeom prst="rect">
                            <a:avLst/>
                          </a:prstGeom>
                          <a:noFill/>
                          <a:ln w="9525">
                            <a:noFill/>
                            <a:miter lim="800000"/>
                            <a:headEnd/>
                            <a:tailEnd/>
                          </a:ln>
                        </pic:spPr>
                      </pic:pic>
                    </a:graphicData>
                  </a:graphic>
                </wp:inline>
              </w:drawing>
            </w:r>
          </w:p>
        </w:tc>
      </w:tr>
      <w:tr w:rsidR="004A20F8" w:rsidRPr="00853BD3" w:rsidTr="0083577D">
        <w:trPr>
          <w:jc w:val="center"/>
        </w:trPr>
        <w:tc>
          <w:tcPr>
            <w:tcW w:w="9315" w:type="dxa"/>
          </w:tcPr>
          <w:p w:rsidR="0083577D" w:rsidRDefault="0083577D" w:rsidP="0083577D">
            <w:pPr>
              <w:pStyle w:val="ad"/>
              <w:spacing w:beforeLines="50" w:after="50"/>
              <w:jc w:val="center"/>
              <w:rPr>
                <w:rFonts w:ascii="新宋体" w:eastAsia="新宋体" w:hAnsi="新宋体" w:hint="eastAsia"/>
                <w:color w:val="796A4F"/>
                <w:sz w:val="21"/>
                <w:szCs w:val="21"/>
              </w:rPr>
            </w:pPr>
            <w:r w:rsidRPr="00853BD3">
              <w:rPr>
                <w:rFonts w:ascii="新宋体" w:eastAsia="新宋体" w:hAnsi="新宋体" w:hint="eastAsia"/>
                <w:color w:val="796A4F"/>
                <w:sz w:val="21"/>
                <w:szCs w:val="21"/>
              </w:rPr>
              <w:t>图</w:t>
            </w:r>
            <w:r>
              <w:rPr>
                <w:rFonts w:ascii="新宋体" w:eastAsia="新宋体" w:hAnsi="新宋体" w:hint="eastAsia"/>
                <w:color w:val="796A4F"/>
                <w:sz w:val="21"/>
                <w:szCs w:val="21"/>
              </w:rPr>
              <w:t>2</w:t>
            </w:r>
            <w:r w:rsidRPr="00853BD3">
              <w:rPr>
                <w:rFonts w:ascii="新宋体" w:eastAsia="新宋体" w:hAnsi="新宋体" w:hint="eastAsia"/>
                <w:color w:val="796A4F"/>
                <w:sz w:val="21"/>
                <w:szCs w:val="21"/>
              </w:rPr>
              <w:t>-</w:t>
            </w:r>
            <w:r>
              <w:rPr>
                <w:rFonts w:ascii="新宋体" w:eastAsia="新宋体" w:hAnsi="新宋体" w:hint="eastAsia"/>
                <w:color w:val="796A4F"/>
                <w:sz w:val="21"/>
                <w:szCs w:val="21"/>
              </w:rPr>
              <w:t>33</w:t>
            </w:r>
            <w:r w:rsidRPr="00853BD3">
              <w:rPr>
                <w:rFonts w:ascii="新宋体" w:eastAsia="新宋体" w:hAnsi="新宋体" w:hint="eastAsia"/>
                <w:color w:val="796A4F"/>
                <w:sz w:val="21"/>
                <w:szCs w:val="21"/>
              </w:rPr>
              <w:t>：2014年美元指数</w:t>
            </w:r>
            <w:r>
              <w:rPr>
                <w:rFonts w:ascii="新宋体" w:eastAsia="新宋体" w:hAnsi="新宋体" w:hint="eastAsia"/>
                <w:color w:val="796A4F"/>
                <w:sz w:val="21"/>
                <w:szCs w:val="21"/>
              </w:rPr>
              <w:t>周</w:t>
            </w:r>
            <w:r w:rsidRPr="00853BD3">
              <w:rPr>
                <w:rFonts w:ascii="新宋体" w:eastAsia="新宋体" w:hAnsi="新宋体" w:hint="eastAsia"/>
                <w:color w:val="796A4F"/>
                <w:sz w:val="21"/>
                <w:szCs w:val="21"/>
              </w:rPr>
              <w:t>K线走势</w:t>
            </w:r>
          </w:p>
          <w:p w:rsidR="004A20F8" w:rsidRPr="00853BD3" w:rsidRDefault="004A20F8" w:rsidP="0083577D">
            <w:pPr>
              <w:pStyle w:val="ad"/>
              <w:spacing w:beforeLines="50" w:after="50"/>
              <w:jc w:val="center"/>
              <w:rPr>
                <w:rFonts w:ascii="新宋体" w:eastAsia="新宋体" w:hAnsi="新宋体"/>
                <w:color w:val="796A4F"/>
                <w:sz w:val="21"/>
                <w:szCs w:val="21"/>
              </w:rPr>
            </w:pPr>
            <w:r w:rsidRPr="00853BD3">
              <w:rPr>
                <w:rFonts w:ascii="新宋体" w:eastAsia="新宋体" w:hAnsi="新宋体" w:hint="eastAsia"/>
                <w:color w:val="796A4F"/>
                <w:sz w:val="21"/>
                <w:szCs w:val="21"/>
              </w:rPr>
              <w:t>资料来源：文华财经、方正中期研究院整理</w:t>
            </w:r>
          </w:p>
        </w:tc>
      </w:tr>
    </w:tbl>
    <w:p w:rsidR="001E2C87" w:rsidRDefault="001C4F94" w:rsidP="001C4F94">
      <w:pPr>
        <w:pStyle w:val="ad"/>
        <w:spacing w:beforeLines="50" w:after="50"/>
        <w:ind w:firstLineChars="200" w:firstLine="420"/>
        <w:rPr>
          <w:rFonts w:ascii="新宋体" w:eastAsia="新宋体" w:hAnsi="新宋体" w:cs="Arial" w:hint="eastAsia"/>
          <w:color w:val="796A4F"/>
          <w:sz w:val="21"/>
          <w:szCs w:val="21"/>
        </w:rPr>
      </w:pPr>
      <w:r w:rsidRPr="001C4F94">
        <w:rPr>
          <w:rFonts w:ascii="新宋体" w:eastAsia="新宋体" w:hAnsi="新宋体" w:cs="Arial" w:hint="eastAsia"/>
          <w:color w:val="796A4F"/>
          <w:sz w:val="21"/>
          <w:szCs w:val="21"/>
        </w:rPr>
        <w:t>10月28日至29日美联储会议维持基准利率0至0.25%不变，并宣布10月之后结束QE购买(届时美联储资产负债表规模达到约4.5</w:t>
      </w:r>
      <w:proofErr w:type="gramStart"/>
      <w:r w:rsidRPr="001C4F94">
        <w:rPr>
          <w:rFonts w:ascii="新宋体" w:eastAsia="新宋体" w:hAnsi="新宋体" w:cs="Arial" w:hint="eastAsia"/>
          <w:color w:val="796A4F"/>
          <w:sz w:val="21"/>
          <w:szCs w:val="21"/>
        </w:rPr>
        <w:t>万亿</w:t>
      </w:r>
      <w:proofErr w:type="gramEnd"/>
      <w:r w:rsidRPr="001C4F94">
        <w:rPr>
          <w:rFonts w:ascii="新宋体" w:eastAsia="新宋体" w:hAnsi="新宋体" w:cs="Arial" w:hint="eastAsia"/>
          <w:color w:val="796A4F"/>
          <w:sz w:val="21"/>
          <w:szCs w:val="21"/>
        </w:rPr>
        <w:t>美元)，符合市场预期。美联储重申维持低利率“相当长时间”的表述，缓解了市场近期对经济前景和流动性快速收紧的担忧。但同时，放弃了“劳动力资源利用率显著不足”的表述显示美联储略偏向鹰派。美联储认为，经济的改善动能足以支撑就业市场最大化的目标。具体不同点有：更新了对劳动力市场的表述：新增就业人数强劲、失业率继续降低、劳动力资源利用率不足的状况在好转；而前次为“劳动力资源的利用率仍显著不足”。删除了对财政政策的表述，前次为“财政政策对经济增长有限制作用，但这种作用在逐渐消退”。</w:t>
      </w:r>
    </w:p>
    <w:p w:rsidR="001C4F94" w:rsidRPr="001C4F94" w:rsidRDefault="001C4F94" w:rsidP="001C4F94">
      <w:pPr>
        <w:pStyle w:val="ad"/>
        <w:spacing w:beforeLines="50" w:after="50"/>
        <w:ind w:firstLineChars="200" w:firstLine="420"/>
        <w:rPr>
          <w:rFonts w:ascii="新宋体" w:eastAsia="新宋体" w:hAnsi="新宋体" w:cs="Arial" w:hint="eastAsia"/>
          <w:color w:val="796A4F"/>
          <w:sz w:val="21"/>
          <w:szCs w:val="21"/>
        </w:rPr>
      </w:pPr>
      <w:r w:rsidRPr="001C4F94">
        <w:rPr>
          <w:rFonts w:ascii="新宋体" w:eastAsia="新宋体" w:hAnsi="新宋体" w:cs="Arial" w:hint="eastAsia"/>
          <w:color w:val="796A4F"/>
          <w:sz w:val="21"/>
          <w:szCs w:val="21"/>
        </w:rPr>
        <w:t>美联储认为，自推出资产购买计划以来，美国劳动力市场前景有了显著改善。此外，经济大环境有足够的力量，在价格稳定背景下支撑劳动力市场</w:t>
      </w:r>
      <w:proofErr w:type="gramStart"/>
      <w:r w:rsidRPr="001C4F94">
        <w:rPr>
          <w:rFonts w:ascii="新宋体" w:eastAsia="新宋体" w:hAnsi="新宋体" w:cs="Arial" w:hint="eastAsia"/>
          <w:color w:val="796A4F"/>
          <w:sz w:val="21"/>
          <w:szCs w:val="21"/>
        </w:rPr>
        <w:t>朝就业</w:t>
      </w:r>
      <w:proofErr w:type="gramEnd"/>
      <w:r w:rsidRPr="001C4F94">
        <w:rPr>
          <w:rFonts w:ascii="新宋体" w:eastAsia="新宋体" w:hAnsi="新宋体" w:cs="Arial" w:hint="eastAsia"/>
          <w:color w:val="796A4F"/>
          <w:sz w:val="21"/>
          <w:szCs w:val="21"/>
        </w:rPr>
        <w:t>最大化发展。对通胀的表述与前月略有不同，指出短期内通胀有下行风险。美联储对近期通胀的下滑态度温和。尽管近期通胀会因能源价格下滑和其他因素受到拖累，但美联储认为通胀持续处于2%下方的可能性自今年初以来变小，通胀水平仍持续低于美联储长期目标。从以上三点来看，美联储对经济的看法比市场预期乐观，未来货币政策逐步趋紧的概率相对更高。当然，美联储仍维持“相当长时间”的表述，并且延续持有债券到期再投资的原则，缓解了市场近期对经济前景和流动性快速收紧的担忧。</w:t>
      </w:r>
    </w:p>
    <w:p w:rsidR="001C4F94" w:rsidRPr="001C4F94" w:rsidRDefault="001C4F94" w:rsidP="001C4F94">
      <w:pPr>
        <w:pStyle w:val="ad"/>
        <w:spacing w:beforeLines="50" w:after="50"/>
        <w:ind w:firstLineChars="200" w:firstLine="420"/>
        <w:rPr>
          <w:rFonts w:ascii="新宋体" w:eastAsia="新宋体" w:hAnsi="新宋体" w:cs="Arial" w:hint="eastAsia"/>
          <w:color w:val="796A4F"/>
          <w:sz w:val="21"/>
          <w:szCs w:val="21"/>
        </w:rPr>
      </w:pPr>
      <w:r w:rsidRPr="001C4F94">
        <w:rPr>
          <w:rFonts w:ascii="新宋体" w:eastAsia="新宋体" w:hAnsi="新宋体" w:cs="Arial" w:hint="eastAsia"/>
          <w:color w:val="796A4F"/>
          <w:sz w:val="21"/>
          <w:szCs w:val="21"/>
        </w:rPr>
        <w:t>美联储对货币政策的表述：本月结束QE，即10月购买最后一笔50亿美元MBS和100亿美元美国长期国债。美联储仍认为，在资产购买计划结束后，将联邦基准利率维持在当前目标范围内相当长时间是合适的，特别是若届时通胀预期持续低于2%。美联储表示，持有大量长期债券能使得整个金融市场获得宽松的货币条件。维持联邦基金利率目标0至0.25%。对于维持在0至0.25%多久，将评估实际与预期情况，看是否朝着美联储最大化就业和2%通胀目标前进。</w:t>
      </w:r>
    </w:p>
    <w:p w:rsidR="001C4F94" w:rsidRPr="001C4F94" w:rsidRDefault="001C4F94" w:rsidP="001C4F94">
      <w:pPr>
        <w:pStyle w:val="ad"/>
        <w:spacing w:beforeLines="50" w:after="50"/>
        <w:ind w:firstLineChars="200" w:firstLine="420"/>
        <w:rPr>
          <w:rFonts w:ascii="新宋体" w:eastAsia="新宋体" w:hAnsi="新宋体" w:cs="Arial" w:hint="eastAsia"/>
          <w:color w:val="796A4F"/>
          <w:sz w:val="21"/>
          <w:szCs w:val="21"/>
        </w:rPr>
      </w:pPr>
      <w:r w:rsidRPr="001C4F94">
        <w:rPr>
          <w:rFonts w:ascii="新宋体" w:eastAsia="新宋体" w:hAnsi="新宋体" w:cs="Arial" w:hint="eastAsia"/>
          <w:color w:val="796A4F"/>
          <w:sz w:val="21"/>
          <w:szCs w:val="21"/>
        </w:rPr>
        <w:lastRenderedPageBreak/>
        <w:t>在评估过程中，将考虑广泛的信息，包括劳动力市场情况、通胀压力指标、通胀预期和金融环境发展的相关信息。如果未来信息显示，劳动力市场和通胀的改善速度快于预期，则美联储可能早于预期提升联邦基金利率区间；反过来，若上述两个方面的改善速度慢于预期，则美联储可能晚于预期提升联邦基金利率区间。</w:t>
      </w:r>
    </w:p>
    <w:p w:rsidR="004A20F8" w:rsidRPr="00947172" w:rsidRDefault="004A20F8" w:rsidP="005B0335">
      <w:pPr>
        <w:pStyle w:val="ad"/>
        <w:spacing w:beforeLines="50" w:after="50"/>
        <w:ind w:firstLineChars="200" w:firstLine="420"/>
        <w:rPr>
          <w:rFonts w:ascii="新宋体" w:eastAsia="新宋体" w:hAnsi="新宋体" w:cs="Arial"/>
          <w:color w:val="796A4F"/>
          <w:sz w:val="21"/>
          <w:szCs w:val="21"/>
        </w:rPr>
      </w:pPr>
      <w:r w:rsidRPr="00947172">
        <w:rPr>
          <w:rFonts w:ascii="新宋体" w:eastAsia="新宋体" w:hAnsi="新宋体" w:cs="Arial" w:hint="eastAsia"/>
          <w:color w:val="796A4F"/>
          <w:sz w:val="21"/>
          <w:szCs w:val="21"/>
        </w:rPr>
        <w:t>美元对其他货币的汇率很少出现势不可挡的升势，这是强势美元的时代，美元这种霸气在近期一路长阳走势下看起来顺理成章。巧合的是，宏观利率环境、非美货币表现、机构预期都在朝着同一个方向演进，它们联手助推了这波可能创下数年内最长的上扬周期。</w:t>
      </w:r>
    </w:p>
    <w:p w:rsidR="004A20F8" w:rsidRPr="00947172" w:rsidRDefault="004A20F8" w:rsidP="005B0335">
      <w:pPr>
        <w:pStyle w:val="ad"/>
        <w:spacing w:beforeLines="50" w:after="50"/>
        <w:ind w:firstLineChars="200" w:firstLine="420"/>
        <w:rPr>
          <w:rFonts w:ascii="新宋体" w:eastAsia="新宋体" w:hAnsi="新宋体" w:cs="Arial"/>
          <w:color w:val="796A4F"/>
          <w:sz w:val="21"/>
          <w:szCs w:val="21"/>
        </w:rPr>
      </w:pPr>
      <w:r w:rsidRPr="00947172">
        <w:rPr>
          <w:rFonts w:ascii="新宋体" w:eastAsia="新宋体" w:hAnsi="新宋体" w:cs="Arial" w:hint="eastAsia"/>
          <w:color w:val="796A4F"/>
          <w:sz w:val="21"/>
          <w:szCs w:val="21"/>
        </w:rPr>
        <w:t>我们分析美元指数强劲涨势背后，市场对美联储的加息预期被认为是首要推手。此轮美元强势受到六个主要方面的驱动。</w:t>
      </w:r>
    </w:p>
    <w:p w:rsidR="004A20F8" w:rsidRPr="00947172" w:rsidRDefault="004A20F8" w:rsidP="005B0335">
      <w:pPr>
        <w:pStyle w:val="ad"/>
        <w:spacing w:beforeLines="50" w:after="50"/>
        <w:ind w:firstLineChars="200" w:firstLine="420"/>
        <w:rPr>
          <w:rFonts w:ascii="新宋体" w:eastAsia="新宋体" w:hAnsi="新宋体" w:cs="Arial"/>
          <w:color w:val="796A4F"/>
          <w:sz w:val="21"/>
          <w:szCs w:val="21"/>
        </w:rPr>
      </w:pPr>
      <w:r w:rsidRPr="00947172">
        <w:rPr>
          <w:rFonts w:ascii="新宋体" w:eastAsia="新宋体" w:hAnsi="新宋体" w:cs="Arial" w:hint="eastAsia"/>
          <w:color w:val="796A4F"/>
          <w:sz w:val="21"/>
          <w:szCs w:val="21"/>
        </w:rPr>
        <w:t>首先，美联储将在今年结束QE收缩其资产负债表，同时下一步将是加息预期逐步提升，这是美元指数新一轮反弹的根本原因。美联储在9月的政策会议上宣布将每月债券购买规模再削减100 亿美元，并继续承诺将在下月结束</w:t>
      </w:r>
      <w:proofErr w:type="gramStart"/>
      <w:r w:rsidRPr="00947172">
        <w:rPr>
          <w:rFonts w:ascii="新宋体" w:eastAsia="新宋体" w:hAnsi="新宋体" w:cs="Arial" w:hint="eastAsia"/>
          <w:color w:val="796A4F"/>
          <w:sz w:val="21"/>
          <w:szCs w:val="21"/>
        </w:rPr>
        <w:t>购债计划</w:t>
      </w:r>
      <w:proofErr w:type="gramEnd"/>
      <w:r w:rsidRPr="00947172">
        <w:rPr>
          <w:rFonts w:ascii="新宋体" w:eastAsia="新宋体" w:hAnsi="新宋体" w:cs="Arial" w:hint="eastAsia"/>
          <w:color w:val="796A4F"/>
          <w:sz w:val="21"/>
          <w:szCs w:val="21"/>
        </w:rPr>
        <w:t>后在“相当长时间”内把基准利率保持在近零水平。然而，不少机构都预计美国将在明年开始加息。</w:t>
      </w:r>
    </w:p>
    <w:p w:rsidR="004A20F8" w:rsidRPr="00947172" w:rsidRDefault="004A20F8" w:rsidP="005B0335">
      <w:pPr>
        <w:pStyle w:val="ad"/>
        <w:spacing w:beforeLines="50" w:after="50"/>
        <w:ind w:firstLineChars="200" w:firstLine="420"/>
        <w:rPr>
          <w:rFonts w:ascii="新宋体" w:eastAsia="新宋体" w:hAnsi="新宋体" w:cs="Arial"/>
          <w:color w:val="796A4F"/>
          <w:sz w:val="21"/>
          <w:szCs w:val="21"/>
        </w:rPr>
      </w:pPr>
      <w:r w:rsidRPr="00947172">
        <w:rPr>
          <w:rFonts w:ascii="新宋体" w:eastAsia="新宋体" w:hAnsi="新宋体" w:cs="Arial" w:hint="eastAsia"/>
          <w:color w:val="796A4F"/>
          <w:sz w:val="21"/>
          <w:szCs w:val="21"/>
        </w:rPr>
        <w:t>其次，欧洲央行将为推动欧元区经济复苏采用美国的做法，即推出欧洲版QE，欧洲央行将很快开始扩张其资产负债表。欧洲央行仍在为保经济而努力，并准备采取进一步政策行动。</w:t>
      </w:r>
    </w:p>
    <w:p w:rsidR="004A20F8" w:rsidRPr="00947172" w:rsidRDefault="004A20F8" w:rsidP="005B0335">
      <w:pPr>
        <w:pStyle w:val="ad"/>
        <w:spacing w:beforeLines="50" w:after="50"/>
        <w:ind w:firstLineChars="200" w:firstLine="420"/>
        <w:rPr>
          <w:rFonts w:ascii="新宋体" w:eastAsia="新宋体" w:hAnsi="新宋体" w:cs="Arial"/>
          <w:color w:val="796A4F"/>
          <w:sz w:val="21"/>
          <w:szCs w:val="21"/>
        </w:rPr>
      </w:pPr>
      <w:r w:rsidRPr="00947172">
        <w:rPr>
          <w:rFonts w:ascii="新宋体" w:eastAsia="新宋体" w:hAnsi="新宋体" w:cs="Arial" w:hint="eastAsia"/>
          <w:color w:val="796A4F"/>
          <w:sz w:val="21"/>
          <w:szCs w:val="21"/>
        </w:rPr>
        <w:t>第三，在安</w:t>
      </w:r>
      <w:proofErr w:type="gramStart"/>
      <w:r w:rsidRPr="00947172">
        <w:rPr>
          <w:rFonts w:ascii="新宋体" w:eastAsia="新宋体" w:hAnsi="新宋体" w:cs="Arial" w:hint="eastAsia"/>
          <w:color w:val="796A4F"/>
          <w:sz w:val="21"/>
          <w:szCs w:val="21"/>
        </w:rPr>
        <w:t>倍</w:t>
      </w:r>
      <w:proofErr w:type="gramEnd"/>
      <w:r w:rsidRPr="00947172">
        <w:rPr>
          <w:rFonts w:ascii="新宋体" w:eastAsia="新宋体" w:hAnsi="新宋体" w:cs="Arial" w:hint="eastAsia"/>
          <w:color w:val="796A4F"/>
          <w:sz w:val="21"/>
          <w:szCs w:val="21"/>
        </w:rPr>
        <w:t>经济学逐渐失去光芒，消费税提高严重影响日本经济复苏之时，日本央行不排除继续采取进一步扩张QE的措施。</w:t>
      </w:r>
    </w:p>
    <w:p w:rsidR="004A20F8" w:rsidRPr="00947172" w:rsidRDefault="004A20F8" w:rsidP="005B0335">
      <w:pPr>
        <w:pStyle w:val="ad"/>
        <w:spacing w:beforeLines="50" w:after="50"/>
        <w:ind w:firstLineChars="200" w:firstLine="420"/>
        <w:rPr>
          <w:rFonts w:ascii="新宋体" w:eastAsia="新宋体" w:hAnsi="新宋体" w:cs="Arial"/>
          <w:color w:val="796A4F"/>
          <w:sz w:val="21"/>
          <w:szCs w:val="21"/>
        </w:rPr>
      </w:pPr>
      <w:r w:rsidRPr="00947172">
        <w:rPr>
          <w:rFonts w:ascii="新宋体" w:eastAsia="新宋体" w:hAnsi="新宋体" w:cs="Arial" w:hint="eastAsia"/>
          <w:color w:val="796A4F"/>
          <w:sz w:val="21"/>
          <w:szCs w:val="21"/>
        </w:rPr>
        <w:t>第四，人民币升值趋势在2014年出现中途休息，中国经济增长相对于前几年出现停滞不前。</w:t>
      </w:r>
    </w:p>
    <w:p w:rsidR="004A20F8" w:rsidRPr="00947172" w:rsidRDefault="004A20F8" w:rsidP="005B0335">
      <w:pPr>
        <w:pStyle w:val="ad"/>
        <w:spacing w:beforeLines="50" w:after="50"/>
        <w:ind w:firstLineChars="200" w:firstLine="420"/>
        <w:rPr>
          <w:rFonts w:ascii="新宋体" w:eastAsia="新宋体" w:hAnsi="新宋体" w:cs="Arial"/>
          <w:color w:val="796A4F"/>
          <w:sz w:val="21"/>
          <w:szCs w:val="21"/>
        </w:rPr>
      </w:pPr>
      <w:r w:rsidRPr="00947172">
        <w:rPr>
          <w:rFonts w:ascii="新宋体" w:eastAsia="新宋体" w:hAnsi="新宋体" w:cs="Arial" w:hint="eastAsia"/>
          <w:color w:val="796A4F"/>
          <w:sz w:val="21"/>
          <w:szCs w:val="21"/>
        </w:rPr>
        <w:t>第五，欧元区核心成员国的德国和法国经济重回萎缩，在今年第二季度表现十分突出。</w:t>
      </w:r>
    </w:p>
    <w:p w:rsidR="004A20F8" w:rsidRDefault="004A20F8" w:rsidP="005B0335">
      <w:pPr>
        <w:pStyle w:val="ad"/>
        <w:spacing w:beforeLines="50" w:after="50"/>
        <w:ind w:firstLineChars="200" w:firstLine="420"/>
        <w:rPr>
          <w:rFonts w:ascii="新宋体" w:eastAsia="新宋体" w:hAnsi="新宋体" w:cs="Arial"/>
          <w:color w:val="796A4F"/>
          <w:sz w:val="21"/>
          <w:szCs w:val="21"/>
        </w:rPr>
      </w:pPr>
      <w:r w:rsidRPr="00947172">
        <w:rPr>
          <w:rFonts w:ascii="新宋体" w:eastAsia="新宋体" w:hAnsi="新宋体" w:cs="Arial" w:hint="eastAsia"/>
          <w:color w:val="796A4F"/>
          <w:sz w:val="21"/>
          <w:szCs w:val="21"/>
        </w:rPr>
        <w:t>第六，加拿大和澳大利亚经济复苏缓慢，英国经济也受到苏格兰</w:t>
      </w:r>
      <w:proofErr w:type="gramStart"/>
      <w:r w:rsidRPr="00947172">
        <w:rPr>
          <w:rFonts w:ascii="新宋体" w:eastAsia="新宋体" w:hAnsi="新宋体" w:cs="Arial" w:hint="eastAsia"/>
          <w:color w:val="796A4F"/>
          <w:sz w:val="21"/>
          <w:szCs w:val="21"/>
        </w:rPr>
        <w:t>独立公</w:t>
      </w:r>
      <w:proofErr w:type="gramEnd"/>
      <w:r w:rsidRPr="00947172">
        <w:rPr>
          <w:rFonts w:ascii="新宋体" w:eastAsia="新宋体" w:hAnsi="新宋体" w:cs="Arial" w:hint="eastAsia"/>
          <w:color w:val="796A4F"/>
          <w:sz w:val="21"/>
          <w:szCs w:val="21"/>
        </w:rPr>
        <w:t>投干扰，均对近两个月的美元产生推升作用。</w:t>
      </w:r>
    </w:p>
    <w:tbl>
      <w:tblPr>
        <w:tblW w:w="0" w:type="auto"/>
        <w:jc w:val="center"/>
        <w:tblInd w:w="539" w:type="dxa"/>
        <w:tblBorders>
          <w:insideH w:val="single" w:sz="4" w:space="0" w:color="000000"/>
          <w:insideV w:val="single" w:sz="4" w:space="0" w:color="000000"/>
        </w:tblBorders>
        <w:tblLook w:val="04A0"/>
      </w:tblPr>
      <w:tblGrid>
        <w:gridCol w:w="9315"/>
      </w:tblGrid>
      <w:tr w:rsidR="004A20F8" w:rsidRPr="00853BD3" w:rsidTr="005B3E06">
        <w:trPr>
          <w:jc w:val="center"/>
        </w:trPr>
        <w:tc>
          <w:tcPr>
            <w:tcW w:w="8106" w:type="dxa"/>
          </w:tcPr>
          <w:p w:rsidR="004A20F8" w:rsidRPr="00853BD3" w:rsidRDefault="004A20F8" w:rsidP="001E2C87">
            <w:pPr>
              <w:pStyle w:val="ad"/>
              <w:spacing w:beforeLines="50" w:after="50"/>
              <w:jc w:val="center"/>
              <w:rPr>
                <w:rFonts w:ascii="新宋体" w:eastAsia="新宋体" w:hAnsi="新宋体"/>
                <w:color w:val="796A4F"/>
                <w:sz w:val="21"/>
                <w:szCs w:val="21"/>
              </w:rPr>
            </w:pPr>
            <w:r w:rsidRPr="00853BD3">
              <w:rPr>
                <w:rFonts w:ascii="新宋体" w:eastAsia="新宋体" w:hAnsi="新宋体" w:hint="eastAsia"/>
                <w:color w:val="796A4F"/>
                <w:sz w:val="21"/>
                <w:szCs w:val="21"/>
              </w:rPr>
              <w:t>图</w:t>
            </w:r>
            <w:r w:rsidR="001E2C87">
              <w:rPr>
                <w:rFonts w:ascii="新宋体" w:eastAsia="新宋体" w:hAnsi="新宋体" w:hint="eastAsia"/>
                <w:color w:val="796A4F"/>
                <w:sz w:val="21"/>
                <w:szCs w:val="21"/>
              </w:rPr>
              <w:t>2</w:t>
            </w:r>
            <w:r w:rsidRPr="00853BD3">
              <w:rPr>
                <w:rFonts w:ascii="新宋体" w:eastAsia="新宋体" w:hAnsi="新宋体" w:hint="eastAsia"/>
                <w:color w:val="796A4F"/>
                <w:sz w:val="21"/>
                <w:szCs w:val="21"/>
              </w:rPr>
              <w:t>-</w:t>
            </w:r>
            <w:r>
              <w:rPr>
                <w:rFonts w:ascii="新宋体" w:eastAsia="新宋体" w:hAnsi="新宋体" w:hint="eastAsia"/>
                <w:color w:val="796A4F"/>
                <w:sz w:val="21"/>
                <w:szCs w:val="21"/>
              </w:rPr>
              <w:t>3</w:t>
            </w:r>
            <w:r w:rsidR="001E2C87">
              <w:rPr>
                <w:rFonts w:ascii="新宋体" w:eastAsia="新宋体" w:hAnsi="新宋体" w:hint="eastAsia"/>
                <w:color w:val="796A4F"/>
                <w:sz w:val="21"/>
                <w:szCs w:val="21"/>
              </w:rPr>
              <w:t>4</w:t>
            </w:r>
            <w:r w:rsidRPr="00853BD3">
              <w:rPr>
                <w:rFonts w:ascii="新宋体" w:eastAsia="新宋体" w:hAnsi="新宋体" w:hint="eastAsia"/>
                <w:color w:val="796A4F"/>
                <w:sz w:val="21"/>
                <w:szCs w:val="21"/>
              </w:rPr>
              <w:t>：2014年</w:t>
            </w:r>
            <w:r>
              <w:rPr>
                <w:rFonts w:ascii="新宋体" w:eastAsia="新宋体" w:hAnsi="新宋体" w:hint="eastAsia"/>
                <w:color w:val="796A4F"/>
                <w:sz w:val="21"/>
                <w:szCs w:val="21"/>
              </w:rPr>
              <w:t>CRB商品期货</w:t>
            </w:r>
            <w:r w:rsidRPr="00853BD3">
              <w:rPr>
                <w:rFonts w:ascii="新宋体" w:eastAsia="新宋体" w:hAnsi="新宋体" w:hint="eastAsia"/>
                <w:color w:val="796A4F"/>
                <w:sz w:val="21"/>
                <w:szCs w:val="21"/>
              </w:rPr>
              <w:t>指数</w:t>
            </w:r>
            <w:r>
              <w:rPr>
                <w:rFonts w:ascii="新宋体" w:eastAsia="新宋体" w:hAnsi="新宋体" w:hint="eastAsia"/>
                <w:color w:val="796A4F"/>
                <w:sz w:val="21"/>
                <w:szCs w:val="21"/>
              </w:rPr>
              <w:t>周</w:t>
            </w:r>
            <w:r w:rsidRPr="00853BD3">
              <w:rPr>
                <w:rFonts w:ascii="新宋体" w:eastAsia="新宋体" w:hAnsi="新宋体" w:hint="eastAsia"/>
                <w:color w:val="796A4F"/>
                <w:sz w:val="21"/>
                <w:szCs w:val="21"/>
              </w:rPr>
              <w:t>K线走势</w:t>
            </w:r>
          </w:p>
        </w:tc>
      </w:tr>
      <w:tr w:rsidR="004A20F8" w:rsidRPr="00853BD3" w:rsidTr="005B3E06">
        <w:trPr>
          <w:trHeight w:val="3832"/>
          <w:jc w:val="center"/>
        </w:trPr>
        <w:tc>
          <w:tcPr>
            <w:tcW w:w="8106" w:type="dxa"/>
          </w:tcPr>
          <w:p w:rsidR="004A20F8" w:rsidRPr="00853BD3" w:rsidRDefault="00DC4BEB" w:rsidP="005B0335">
            <w:pPr>
              <w:pStyle w:val="ad"/>
              <w:spacing w:beforeLines="50" w:after="50" w:line="276" w:lineRule="auto"/>
              <w:rPr>
                <w:rFonts w:ascii="新宋体" w:eastAsia="新宋体" w:hAnsi="新宋体"/>
                <w:color w:val="796A4F"/>
                <w:sz w:val="21"/>
                <w:szCs w:val="21"/>
              </w:rPr>
            </w:pPr>
            <w:r>
              <w:rPr>
                <w:rFonts w:ascii="新宋体" w:eastAsia="新宋体" w:hAnsi="新宋体"/>
                <w:noProof/>
                <w:color w:val="796A4F"/>
                <w:sz w:val="21"/>
                <w:szCs w:val="21"/>
              </w:rPr>
              <w:lastRenderedPageBreak/>
              <w:drawing>
                <wp:inline distT="0" distB="0" distL="0" distR="0">
                  <wp:extent cx="5860755" cy="3976577"/>
                  <wp:effectExtent l="19050" t="0" r="6645" b="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5861074" cy="3976793"/>
                          </a:xfrm>
                          <a:prstGeom prst="rect">
                            <a:avLst/>
                          </a:prstGeom>
                          <a:noFill/>
                          <a:ln w="9525">
                            <a:noFill/>
                            <a:miter lim="800000"/>
                            <a:headEnd/>
                            <a:tailEnd/>
                          </a:ln>
                        </pic:spPr>
                      </pic:pic>
                    </a:graphicData>
                  </a:graphic>
                </wp:inline>
              </w:drawing>
            </w:r>
          </w:p>
        </w:tc>
      </w:tr>
      <w:tr w:rsidR="004A20F8" w:rsidRPr="00853BD3" w:rsidTr="005B3E06">
        <w:trPr>
          <w:jc w:val="center"/>
        </w:trPr>
        <w:tc>
          <w:tcPr>
            <w:tcW w:w="8106" w:type="dxa"/>
          </w:tcPr>
          <w:p w:rsidR="004A20F8" w:rsidRPr="00853BD3" w:rsidRDefault="004A20F8" w:rsidP="005B0335">
            <w:pPr>
              <w:pStyle w:val="ad"/>
              <w:spacing w:beforeLines="50" w:after="50"/>
              <w:rPr>
                <w:rFonts w:ascii="新宋体" w:eastAsia="新宋体" w:hAnsi="新宋体"/>
                <w:color w:val="796A4F"/>
                <w:sz w:val="21"/>
                <w:szCs w:val="21"/>
              </w:rPr>
            </w:pPr>
            <w:r w:rsidRPr="00853BD3">
              <w:rPr>
                <w:rFonts w:ascii="新宋体" w:eastAsia="新宋体" w:hAnsi="新宋体" w:hint="eastAsia"/>
                <w:color w:val="796A4F"/>
                <w:sz w:val="21"/>
                <w:szCs w:val="21"/>
              </w:rPr>
              <w:t>资料来源：文华财经、方正中期研究院整理</w:t>
            </w:r>
          </w:p>
        </w:tc>
      </w:tr>
    </w:tbl>
    <w:p w:rsidR="004A20F8" w:rsidRPr="00FA7746" w:rsidRDefault="004A20F8" w:rsidP="004A20F8">
      <w:pPr>
        <w:rPr>
          <w:color w:val="948A54" w:themeColor="background2" w:themeShade="80"/>
        </w:rPr>
      </w:pPr>
    </w:p>
    <w:p w:rsidR="004A20F8" w:rsidRDefault="004A20F8" w:rsidP="004A20F8">
      <w:pPr>
        <w:ind w:firstLineChars="200" w:firstLine="440"/>
        <w:rPr>
          <w:rFonts w:hint="eastAsia"/>
          <w:color w:val="948A54" w:themeColor="background2" w:themeShade="80"/>
        </w:rPr>
      </w:pPr>
      <w:r w:rsidRPr="00FA7746">
        <w:rPr>
          <w:rFonts w:hint="eastAsia"/>
          <w:color w:val="948A54" w:themeColor="background2" w:themeShade="80"/>
        </w:rPr>
        <w:t>我们分析发现，在第三季度，美元指数累计涨幅为</w:t>
      </w:r>
      <w:r w:rsidRPr="00FA7746">
        <w:rPr>
          <w:rFonts w:hint="eastAsia"/>
          <w:color w:val="948A54" w:themeColor="background2" w:themeShade="80"/>
        </w:rPr>
        <w:t>7.66%</w:t>
      </w:r>
      <w:r w:rsidRPr="00FA7746">
        <w:rPr>
          <w:rFonts w:hint="eastAsia"/>
          <w:color w:val="948A54" w:themeColor="background2" w:themeShade="80"/>
        </w:rPr>
        <w:t>；</w:t>
      </w:r>
      <w:r w:rsidRPr="00FA7746">
        <w:rPr>
          <w:rFonts w:hint="eastAsia"/>
          <w:color w:val="948A54" w:themeColor="background2" w:themeShade="80"/>
        </w:rPr>
        <w:t>9</w:t>
      </w:r>
      <w:r w:rsidRPr="00FA7746">
        <w:rPr>
          <w:rFonts w:hint="eastAsia"/>
          <w:color w:val="948A54" w:themeColor="background2" w:themeShade="80"/>
        </w:rPr>
        <w:t>月份美元指数累计涨幅为</w:t>
      </w:r>
      <w:r w:rsidRPr="00FA7746">
        <w:rPr>
          <w:rFonts w:hint="eastAsia"/>
          <w:color w:val="948A54" w:themeColor="background2" w:themeShade="80"/>
        </w:rPr>
        <w:t>3.85%</w:t>
      </w:r>
      <w:r w:rsidRPr="00FA7746">
        <w:rPr>
          <w:rFonts w:hint="eastAsia"/>
          <w:color w:val="948A54" w:themeColor="background2" w:themeShade="80"/>
        </w:rPr>
        <w:t>；</w:t>
      </w:r>
      <w:r w:rsidRPr="00FA7746">
        <w:rPr>
          <w:rFonts w:hint="eastAsia"/>
          <w:color w:val="948A54" w:themeColor="background2" w:themeShade="80"/>
        </w:rPr>
        <w:t>8-9</w:t>
      </w:r>
      <w:r w:rsidRPr="00FA7746">
        <w:rPr>
          <w:rFonts w:hint="eastAsia"/>
          <w:color w:val="948A54" w:themeColor="background2" w:themeShade="80"/>
        </w:rPr>
        <w:t>月份美元指数累计涨幅超过</w:t>
      </w:r>
      <w:r w:rsidRPr="00FA7746">
        <w:rPr>
          <w:rFonts w:hint="eastAsia"/>
          <w:color w:val="948A54" w:themeColor="background2" w:themeShade="80"/>
        </w:rPr>
        <w:t>5%</w:t>
      </w:r>
      <w:r w:rsidRPr="00FA7746">
        <w:rPr>
          <w:rFonts w:hint="eastAsia"/>
          <w:color w:val="948A54" w:themeColor="background2" w:themeShade="80"/>
        </w:rPr>
        <w:t>。在这种形势下，全球大宗商品市场出现普跌走势，</w:t>
      </w:r>
      <w:r w:rsidRPr="00FA7746">
        <w:rPr>
          <w:rFonts w:hint="eastAsia"/>
          <w:color w:val="948A54" w:themeColor="background2" w:themeShade="80"/>
        </w:rPr>
        <w:t>CRB</w:t>
      </w:r>
      <w:r w:rsidRPr="00FA7746">
        <w:rPr>
          <w:rFonts w:hint="eastAsia"/>
          <w:color w:val="948A54" w:themeColor="background2" w:themeShade="80"/>
        </w:rPr>
        <w:t>期货价格指数在第三季度累计跌幅超过</w:t>
      </w:r>
      <w:r w:rsidRPr="00FA7746">
        <w:rPr>
          <w:rFonts w:hint="eastAsia"/>
          <w:color w:val="948A54" w:themeColor="background2" w:themeShade="80"/>
        </w:rPr>
        <w:t>9%</w:t>
      </w:r>
      <w:r w:rsidRPr="00FA7746">
        <w:rPr>
          <w:rFonts w:hint="eastAsia"/>
          <w:color w:val="948A54" w:themeColor="background2" w:themeShade="80"/>
        </w:rPr>
        <w:t>；</w:t>
      </w:r>
      <w:r w:rsidRPr="00FA7746">
        <w:rPr>
          <w:rFonts w:hint="eastAsia"/>
          <w:color w:val="948A54" w:themeColor="background2" w:themeShade="80"/>
        </w:rPr>
        <w:t>9</w:t>
      </w:r>
      <w:r w:rsidRPr="00FA7746">
        <w:rPr>
          <w:rFonts w:hint="eastAsia"/>
          <w:color w:val="948A54" w:themeColor="background2" w:themeShade="80"/>
        </w:rPr>
        <w:t>月份美元指数累计跌幅为</w:t>
      </w:r>
      <w:r w:rsidRPr="00FA7746">
        <w:rPr>
          <w:rFonts w:hint="eastAsia"/>
          <w:color w:val="948A54" w:themeColor="background2" w:themeShade="80"/>
        </w:rPr>
        <w:t>4.85%</w:t>
      </w:r>
      <w:r w:rsidRPr="00FA7746">
        <w:rPr>
          <w:rFonts w:hint="eastAsia"/>
          <w:color w:val="948A54" w:themeColor="background2" w:themeShade="80"/>
        </w:rPr>
        <w:t>；</w:t>
      </w:r>
      <w:r w:rsidRPr="00FA7746">
        <w:rPr>
          <w:rFonts w:hint="eastAsia"/>
          <w:color w:val="948A54" w:themeColor="background2" w:themeShade="80"/>
        </w:rPr>
        <w:t>8-9</w:t>
      </w:r>
      <w:r w:rsidRPr="00FA7746">
        <w:rPr>
          <w:rFonts w:hint="eastAsia"/>
          <w:color w:val="948A54" w:themeColor="background2" w:themeShade="80"/>
        </w:rPr>
        <w:t>月份美元指数累计跌幅超过</w:t>
      </w:r>
      <w:r w:rsidRPr="00FA7746">
        <w:rPr>
          <w:rFonts w:hint="eastAsia"/>
          <w:color w:val="948A54" w:themeColor="background2" w:themeShade="80"/>
        </w:rPr>
        <w:t>5%</w:t>
      </w:r>
      <w:r w:rsidRPr="00FA7746">
        <w:rPr>
          <w:rFonts w:hint="eastAsia"/>
          <w:color w:val="948A54" w:themeColor="background2" w:themeShade="80"/>
        </w:rPr>
        <w:t>。</w:t>
      </w:r>
    </w:p>
    <w:p w:rsidR="00A70FF9" w:rsidRPr="00FA7746" w:rsidRDefault="00A70FF9" w:rsidP="004A20F8">
      <w:pPr>
        <w:ind w:firstLineChars="200" w:firstLine="440"/>
        <w:rPr>
          <w:color w:val="948A54" w:themeColor="background2" w:themeShade="80"/>
        </w:rPr>
      </w:pPr>
    </w:p>
    <w:tbl>
      <w:tblPr>
        <w:tblW w:w="0" w:type="auto"/>
        <w:jc w:val="center"/>
        <w:tblInd w:w="539" w:type="dxa"/>
        <w:tblBorders>
          <w:insideH w:val="single" w:sz="4" w:space="0" w:color="000000"/>
          <w:insideV w:val="single" w:sz="4" w:space="0" w:color="000000"/>
        </w:tblBorders>
        <w:tblLook w:val="04A0"/>
      </w:tblPr>
      <w:tblGrid>
        <w:gridCol w:w="8886"/>
      </w:tblGrid>
      <w:tr w:rsidR="004A20F8" w:rsidRPr="00853BD3" w:rsidTr="002403D3">
        <w:trPr>
          <w:jc w:val="center"/>
        </w:trPr>
        <w:tc>
          <w:tcPr>
            <w:tcW w:w="8886" w:type="dxa"/>
          </w:tcPr>
          <w:p w:rsidR="004A20F8" w:rsidRPr="00853BD3" w:rsidRDefault="004A20F8" w:rsidP="005B0335">
            <w:pPr>
              <w:pStyle w:val="ad"/>
              <w:spacing w:beforeLines="50" w:after="50"/>
              <w:jc w:val="center"/>
              <w:rPr>
                <w:rFonts w:ascii="新宋体" w:eastAsia="新宋体" w:hAnsi="新宋体"/>
                <w:color w:val="796A4F"/>
                <w:sz w:val="21"/>
                <w:szCs w:val="21"/>
              </w:rPr>
            </w:pPr>
            <w:r w:rsidRPr="00853BD3">
              <w:rPr>
                <w:rFonts w:ascii="新宋体" w:eastAsia="新宋体" w:hAnsi="新宋体" w:hint="eastAsia"/>
                <w:color w:val="796A4F"/>
                <w:sz w:val="21"/>
                <w:szCs w:val="21"/>
              </w:rPr>
              <w:t>图</w:t>
            </w:r>
            <w:r w:rsidR="001E2C87">
              <w:rPr>
                <w:rFonts w:ascii="新宋体" w:eastAsia="新宋体" w:hAnsi="新宋体" w:hint="eastAsia"/>
                <w:color w:val="796A4F"/>
                <w:sz w:val="21"/>
                <w:szCs w:val="21"/>
              </w:rPr>
              <w:t>2</w:t>
            </w:r>
            <w:r w:rsidR="001E2C87" w:rsidRPr="00853BD3">
              <w:rPr>
                <w:rFonts w:ascii="新宋体" w:eastAsia="新宋体" w:hAnsi="新宋体" w:hint="eastAsia"/>
                <w:color w:val="796A4F"/>
                <w:sz w:val="21"/>
                <w:szCs w:val="21"/>
              </w:rPr>
              <w:t>-</w:t>
            </w:r>
            <w:r w:rsidR="001E2C87">
              <w:rPr>
                <w:rFonts w:ascii="新宋体" w:eastAsia="新宋体" w:hAnsi="新宋体" w:hint="eastAsia"/>
                <w:color w:val="796A4F"/>
                <w:sz w:val="21"/>
                <w:szCs w:val="21"/>
              </w:rPr>
              <w:t>35</w:t>
            </w:r>
            <w:r w:rsidRPr="00853BD3">
              <w:rPr>
                <w:rFonts w:ascii="新宋体" w:eastAsia="新宋体" w:hAnsi="新宋体" w:hint="eastAsia"/>
                <w:color w:val="796A4F"/>
                <w:sz w:val="21"/>
                <w:szCs w:val="21"/>
              </w:rPr>
              <w:t>：</w:t>
            </w:r>
            <w:r>
              <w:rPr>
                <w:rFonts w:ascii="新宋体" w:eastAsia="新宋体" w:hAnsi="新宋体" w:hint="eastAsia"/>
                <w:color w:val="796A4F"/>
                <w:sz w:val="21"/>
                <w:szCs w:val="21"/>
              </w:rPr>
              <w:t>2009-</w:t>
            </w:r>
            <w:r w:rsidRPr="00853BD3">
              <w:rPr>
                <w:rFonts w:ascii="新宋体" w:eastAsia="新宋体" w:hAnsi="新宋体" w:hint="eastAsia"/>
                <w:color w:val="796A4F"/>
                <w:sz w:val="21"/>
                <w:szCs w:val="21"/>
              </w:rPr>
              <w:t>2014年</w:t>
            </w:r>
            <w:r>
              <w:rPr>
                <w:rFonts w:ascii="新宋体" w:eastAsia="新宋体" w:hAnsi="新宋体" w:hint="eastAsia"/>
                <w:color w:val="796A4F"/>
                <w:sz w:val="21"/>
                <w:szCs w:val="21"/>
              </w:rPr>
              <w:t>美元指数与CRB商品期货</w:t>
            </w:r>
            <w:r w:rsidRPr="00853BD3">
              <w:rPr>
                <w:rFonts w:ascii="新宋体" w:eastAsia="新宋体" w:hAnsi="新宋体" w:hint="eastAsia"/>
                <w:color w:val="796A4F"/>
                <w:sz w:val="21"/>
                <w:szCs w:val="21"/>
              </w:rPr>
              <w:t>指数</w:t>
            </w:r>
            <w:r>
              <w:rPr>
                <w:rFonts w:ascii="新宋体" w:eastAsia="新宋体" w:hAnsi="新宋体" w:hint="eastAsia"/>
                <w:color w:val="796A4F"/>
                <w:sz w:val="21"/>
                <w:szCs w:val="21"/>
              </w:rPr>
              <w:t>长期对比</w:t>
            </w:r>
            <w:r w:rsidRPr="00853BD3">
              <w:rPr>
                <w:rFonts w:ascii="新宋体" w:eastAsia="新宋体" w:hAnsi="新宋体" w:hint="eastAsia"/>
                <w:color w:val="796A4F"/>
                <w:sz w:val="21"/>
                <w:szCs w:val="21"/>
              </w:rPr>
              <w:t>走势</w:t>
            </w:r>
          </w:p>
        </w:tc>
      </w:tr>
      <w:tr w:rsidR="004A20F8" w:rsidRPr="00853BD3" w:rsidTr="002403D3">
        <w:trPr>
          <w:trHeight w:val="3832"/>
          <w:jc w:val="center"/>
        </w:trPr>
        <w:tc>
          <w:tcPr>
            <w:tcW w:w="8886" w:type="dxa"/>
          </w:tcPr>
          <w:p w:rsidR="004A20F8" w:rsidRPr="00853BD3" w:rsidRDefault="002403D3" w:rsidP="005B0335">
            <w:pPr>
              <w:pStyle w:val="ad"/>
              <w:spacing w:beforeLines="50" w:after="50" w:line="276" w:lineRule="auto"/>
              <w:rPr>
                <w:rFonts w:ascii="新宋体" w:eastAsia="新宋体" w:hAnsi="新宋体"/>
                <w:color w:val="796A4F"/>
                <w:sz w:val="21"/>
                <w:szCs w:val="21"/>
              </w:rPr>
            </w:pPr>
            <w:r w:rsidRPr="002403D3">
              <w:rPr>
                <w:rFonts w:ascii="新宋体" w:eastAsia="新宋体" w:hAnsi="新宋体"/>
                <w:noProof/>
                <w:color w:val="796A4F"/>
                <w:sz w:val="21"/>
                <w:szCs w:val="21"/>
              </w:rPr>
              <w:lastRenderedPageBreak/>
              <w:drawing>
                <wp:inline distT="0" distB="0" distL="0" distR="0">
                  <wp:extent cx="5486400" cy="3648710"/>
                  <wp:effectExtent l="19050" t="0" r="0" b="0"/>
                  <wp:docPr id="37" name="图片 10"/>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59" cstate="print"/>
                          <a:stretch>
                            <a:fillRect/>
                          </a:stretch>
                        </pic:blipFill>
                        <pic:spPr>
                          <a:xfrm>
                            <a:off x="0" y="0"/>
                            <a:ext cx="5486400" cy="3648710"/>
                          </a:xfrm>
                          <a:prstGeom prst="rect">
                            <a:avLst/>
                          </a:prstGeom>
                        </pic:spPr>
                      </pic:pic>
                    </a:graphicData>
                  </a:graphic>
                </wp:inline>
              </w:drawing>
            </w:r>
          </w:p>
        </w:tc>
      </w:tr>
      <w:tr w:rsidR="004A20F8" w:rsidRPr="00853BD3" w:rsidTr="002403D3">
        <w:trPr>
          <w:jc w:val="center"/>
        </w:trPr>
        <w:tc>
          <w:tcPr>
            <w:tcW w:w="8886" w:type="dxa"/>
          </w:tcPr>
          <w:p w:rsidR="004A20F8" w:rsidRDefault="004A20F8" w:rsidP="005B0335">
            <w:pPr>
              <w:pStyle w:val="ad"/>
              <w:spacing w:beforeLines="50" w:after="50"/>
              <w:rPr>
                <w:rFonts w:ascii="新宋体" w:eastAsia="新宋体" w:hAnsi="新宋体" w:hint="eastAsia"/>
                <w:color w:val="796A4F"/>
                <w:sz w:val="21"/>
                <w:szCs w:val="21"/>
              </w:rPr>
            </w:pPr>
            <w:r>
              <w:rPr>
                <w:rFonts w:ascii="新宋体" w:eastAsia="新宋体" w:hAnsi="新宋体" w:hint="eastAsia"/>
                <w:color w:val="796A4F"/>
                <w:sz w:val="21"/>
                <w:szCs w:val="21"/>
              </w:rPr>
              <w:t>资料来源：Bloomberg</w:t>
            </w:r>
            <w:r w:rsidRPr="00853BD3">
              <w:rPr>
                <w:rFonts w:ascii="新宋体" w:eastAsia="新宋体" w:hAnsi="新宋体" w:hint="eastAsia"/>
                <w:color w:val="796A4F"/>
                <w:sz w:val="21"/>
                <w:szCs w:val="21"/>
              </w:rPr>
              <w:t>、方正中期研究院整理</w:t>
            </w:r>
          </w:p>
          <w:p w:rsidR="001E2C87" w:rsidRPr="00853BD3" w:rsidRDefault="001E2C87" w:rsidP="001E2C87">
            <w:pPr>
              <w:pStyle w:val="ad"/>
              <w:spacing w:beforeLines="50" w:after="50"/>
              <w:jc w:val="center"/>
              <w:rPr>
                <w:rFonts w:ascii="新宋体" w:eastAsia="新宋体" w:hAnsi="新宋体"/>
                <w:color w:val="796A4F"/>
                <w:sz w:val="21"/>
                <w:szCs w:val="21"/>
              </w:rPr>
            </w:pPr>
            <w:r>
              <w:rPr>
                <w:rFonts w:ascii="新宋体" w:eastAsia="新宋体" w:hAnsi="新宋体" w:hint="eastAsia"/>
                <w:color w:val="796A4F"/>
                <w:sz w:val="21"/>
                <w:szCs w:val="21"/>
              </w:rPr>
              <w:t>图2</w:t>
            </w:r>
            <w:r w:rsidRPr="00853BD3">
              <w:rPr>
                <w:rFonts w:ascii="新宋体" w:eastAsia="新宋体" w:hAnsi="新宋体" w:hint="eastAsia"/>
                <w:color w:val="796A4F"/>
                <w:sz w:val="21"/>
                <w:szCs w:val="21"/>
              </w:rPr>
              <w:t>-</w:t>
            </w:r>
            <w:r>
              <w:rPr>
                <w:rFonts w:ascii="新宋体" w:eastAsia="新宋体" w:hAnsi="新宋体" w:hint="eastAsia"/>
                <w:color w:val="796A4F"/>
                <w:sz w:val="21"/>
                <w:szCs w:val="21"/>
              </w:rPr>
              <w:t>36：CFTC美元指数期货非商业持仓与美元指数对比</w:t>
            </w:r>
          </w:p>
        </w:tc>
      </w:tr>
    </w:tbl>
    <w:p w:rsidR="004A20F8" w:rsidRDefault="002403D3" w:rsidP="004A20F8">
      <w:pPr>
        <w:spacing w:after="100" w:afterAutospacing="1"/>
        <w:jc w:val="center"/>
        <w:rPr>
          <w:rFonts w:ascii="新宋体" w:eastAsia="新宋体" w:hAnsi="新宋体" w:hint="eastAsia"/>
          <w:color w:val="686144"/>
          <w:sz w:val="21"/>
          <w:szCs w:val="21"/>
        </w:rPr>
      </w:pPr>
      <w:r w:rsidRPr="002403D3">
        <w:rPr>
          <w:rFonts w:ascii="新宋体" w:eastAsia="新宋体" w:hAnsi="新宋体"/>
          <w:color w:val="686144"/>
          <w:sz w:val="21"/>
          <w:szCs w:val="21"/>
        </w:rPr>
        <w:drawing>
          <wp:inline distT="0" distB="0" distL="0" distR="0">
            <wp:extent cx="5486400" cy="3648710"/>
            <wp:effectExtent l="19050" t="0" r="0" b="0"/>
            <wp:docPr id="35" name="图片 8"/>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60" cstate="print"/>
                    <a:stretch>
                      <a:fillRect/>
                    </a:stretch>
                  </pic:blipFill>
                  <pic:spPr>
                    <a:xfrm>
                      <a:off x="0" y="0"/>
                      <a:ext cx="5486400" cy="3648710"/>
                    </a:xfrm>
                    <a:prstGeom prst="rect">
                      <a:avLst/>
                    </a:prstGeom>
                  </pic:spPr>
                </pic:pic>
              </a:graphicData>
            </a:graphic>
          </wp:inline>
        </w:drawing>
      </w:r>
    </w:p>
    <w:p w:rsidR="001E2C87" w:rsidRDefault="001E2C87" w:rsidP="001E2C87">
      <w:pPr>
        <w:pStyle w:val="ad"/>
        <w:spacing w:beforeLines="50" w:after="50"/>
        <w:rPr>
          <w:rFonts w:ascii="新宋体" w:eastAsia="新宋体" w:hAnsi="新宋体" w:hint="eastAsia"/>
          <w:color w:val="796A4F"/>
          <w:sz w:val="21"/>
          <w:szCs w:val="21"/>
        </w:rPr>
      </w:pPr>
      <w:r>
        <w:rPr>
          <w:rFonts w:ascii="新宋体" w:eastAsia="新宋体" w:hAnsi="新宋体" w:hint="eastAsia"/>
          <w:color w:val="796A4F"/>
          <w:sz w:val="21"/>
          <w:szCs w:val="21"/>
        </w:rPr>
        <w:lastRenderedPageBreak/>
        <w:t>资料来源：Bloomberg</w:t>
      </w:r>
      <w:r w:rsidRPr="00853BD3">
        <w:rPr>
          <w:rFonts w:ascii="新宋体" w:eastAsia="新宋体" w:hAnsi="新宋体" w:hint="eastAsia"/>
          <w:color w:val="796A4F"/>
          <w:sz w:val="21"/>
          <w:szCs w:val="21"/>
        </w:rPr>
        <w:t>、方正中期研究院整理</w:t>
      </w:r>
    </w:p>
    <w:p w:rsidR="002403D3" w:rsidRDefault="001E2C87" w:rsidP="004A20F8">
      <w:pPr>
        <w:spacing w:after="100" w:afterAutospacing="1"/>
        <w:jc w:val="center"/>
        <w:rPr>
          <w:rFonts w:ascii="新宋体" w:eastAsia="新宋体" w:hAnsi="新宋体"/>
          <w:color w:val="686144"/>
          <w:sz w:val="21"/>
          <w:szCs w:val="21"/>
        </w:rPr>
      </w:pPr>
      <w:r w:rsidRPr="00853BD3">
        <w:rPr>
          <w:rFonts w:ascii="新宋体" w:eastAsia="新宋体" w:hAnsi="新宋体" w:hint="eastAsia"/>
          <w:color w:val="796A4F"/>
          <w:sz w:val="21"/>
          <w:szCs w:val="21"/>
        </w:rPr>
        <w:t>图</w:t>
      </w:r>
      <w:r>
        <w:rPr>
          <w:rFonts w:ascii="新宋体" w:eastAsia="新宋体" w:hAnsi="新宋体" w:hint="eastAsia"/>
          <w:color w:val="796A4F"/>
          <w:sz w:val="21"/>
          <w:szCs w:val="21"/>
        </w:rPr>
        <w:t>2</w:t>
      </w:r>
      <w:r w:rsidRPr="00853BD3">
        <w:rPr>
          <w:rFonts w:ascii="新宋体" w:eastAsia="新宋体" w:hAnsi="新宋体" w:hint="eastAsia"/>
          <w:color w:val="796A4F"/>
          <w:sz w:val="21"/>
          <w:szCs w:val="21"/>
        </w:rPr>
        <w:t>-</w:t>
      </w:r>
      <w:r>
        <w:rPr>
          <w:rFonts w:ascii="新宋体" w:eastAsia="新宋体" w:hAnsi="新宋体" w:hint="eastAsia"/>
          <w:color w:val="796A4F"/>
          <w:sz w:val="21"/>
          <w:szCs w:val="21"/>
        </w:rPr>
        <w:t>37</w:t>
      </w:r>
      <w:r w:rsidRPr="00853BD3">
        <w:rPr>
          <w:rFonts w:ascii="新宋体" w:eastAsia="新宋体" w:hAnsi="新宋体" w:hint="eastAsia"/>
          <w:color w:val="796A4F"/>
          <w:sz w:val="21"/>
          <w:szCs w:val="21"/>
        </w:rPr>
        <w:t>：</w:t>
      </w:r>
      <w:r>
        <w:rPr>
          <w:rFonts w:ascii="新宋体" w:eastAsia="新宋体" w:hAnsi="新宋体" w:hint="eastAsia"/>
          <w:color w:val="796A4F"/>
          <w:sz w:val="21"/>
          <w:szCs w:val="21"/>
        </w:rPr>
        <w:t>2008-</w:t>
      </w:r>
      <w:r w:rsidRPr="00853BD3">
        <w:rPr>
          <w:rFonts w:ascii="新宋体" w:eastAsia="新宋体" w:hAnsi="新宋体" w:hint="eastAsia"/>
          <w:color w:val="796A4F"/>
          <w:sz w:val="21"/>
          <w:szCs w:val="21"/>
        </w:rPr>
        <w:t>2014年</w:t>
      </w:r>
      <w:r>
        <w:rPr>
          <w:rFonts w:ascii="新宋体" w:eastAsia="新宋体" w:hAnsi="新宋体" w:hint="eastAsia"/>
          <w:color w:val="796A4F"/>
          <w:sz w:val="21"/>
          <w:szCs w:val="21"/>
        </w:rPr>
        <w:t>欧元兑美元与CRB商品期货</w:t>
      </w:r>
      <w:r w:rsidRPr="00853BD3">
        <w:rPr>
          <w:rFonts w:ascii="新宋体" w:eastAsia="新宋体" w:hAnsi="新宋体" w:hint="eastAsia"/>
          <w:color w:val="796A4F"/>
          <w:sz w:val="21"/>
          <w:szCs w:val="21"/>
        </w:rPr>
        <w:t>指数</w:t>
      </w:r>
      <w:r>
        <w:rPr>
          <w:rFonts w:ascii="新宋体" w:eastAsia="新宋体" w:hAnsi="新宋体" w:hint="eastAsia"/>
          <w:color w:val="796A4F"/>
          <w:sz w:val="21"/>
          <w:szCs w:val="21"/>
        </w:rPr>
        <w:t>长期对比</w:t>
      </w:r>
      <w:r w:rsidRPr="00853BD3">
        <w:rPr>
          <w:rFonts w:ascii="新宋体" w:eastAsia="新宋体" w:hAnsi="新宋体" w:hint="eastAsia"/>
          <w:color w:val="796A4F"/>
          <w:sz w:val="21"/>
          <w:szCs w:val="21"/>
        </w:rPr>
        <w:t>走势</w:t>
      </w:r>
      <w:r w:rsidR="002403D3" w:rsidRPr="002403D3">
        <w:rPr>
          <w:rFonts w:ascii="新宋体" w:eastAsia="新宋体" w:hAnsi="新宋体"/>
          <w:color w:val="686144"/>
          <w:sz w:val="21"/>
          <w:szCs w:val="21"/>
        </w:rPr>
        <w:drawing>
          <wp:inline distT="0" distB="0" distL="0" distR="0">
            <wp:extent cx="5356860" cy="3505200"/>
            <wp:effectExtent l="19050" t="0" r="0" b="0"/>
            <wp:docPr id="36" name="图片 9"/>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61" cstate="print"/>
                    <a:stretch>
                      <a:fillRect/>
                    </a:stretch>
                  </pic:blipFill>
                  <pic:spPr>
                    <a:xfrm>
                      <a:off x="0" y="0"/>
                      <a:ext cx="5356860" cy="3505200"/>
                    </a:xfrm>
                    <a:prstGeom prst="rect">
                      <a:avLst/>
                    </a:prstGeom>
                  </pic:spPr>
                </pic:pic>
              </a:graphicData>
            </a:graphic>
          </wp:inline>
        </w:drawing>
      </w:r>
    </w:p>
    <w:p w:rsidR="001E2C87" w:rsidRDefault="001E2C87" w:rsidP="001E2C87">
      <w:pPr>
        <w:pStyle w:val="ad"/>
        <w:spacing w:beforeLines="50" w:after="50"/>
        <w:ind w:firstLineChars="200" w:firstLine="420"/>
        <w:rPr>
          <w:rFonts w:ascii="新宋体" w:eastAsia="新宋体" w:hAnsi="新宋体" w:hint="eastAsia"/>
          <w:color w:val="796A4F"/>
          <w:sz w:val="21"/>
          <w:szCs w:val="21"/>
        </w:rPr>
      </w:pPr>
      <w:r>
        <w:rPr>
          <w:rFonts w:ascii="新宋体" w:eastAsia="新宋体" w:hAnsi="新宋体" w:hint="eastAsia"/>
          <w:color w:val="796A4F"/>
          <w:sz w:val="21"/>
          <w:szCs w:val="21"/>
        </w:rPr>
        <w:t>资料来源：Bloomberg</w:t>
      </w:r>
      <w:r w:rsidRPr="00853BD3">
        <w:rPr>
          <w:rFonts w:ascii="新宋体" w:eastAsia="新宋体" w:hAnsi="新宋体" w:hint="eastAsia"/>
          <w:color w:val="796A4F"/>
          <w:sz w:val="21"/>
          <w:szCs w:val="21"/>
        </w:rPr>
        <w:t>、方正中期研究院整理</w:t>
      </w:r>
    </w:p>
    <w:p w:rsidR="0063244B" w:rsidRPr="00CB0421" w:rsidRDefault="00A70FF9" w:rsidP="00CB0421">
      <w:pPr>
        <w:ind w:firstLineChars="200" w:firstLine="420"/>
        <w:rPr>
          <w:rFonts w:ascii="宋体" w:hAnsi="宋体"/>
          <w:color w:val="796A4F"/>
          <w:sz w:val="21"/>
          <w:szCs w:val="21"/>
        </w:rPr>
      </w:pPr>
      <w:r w:rsidRPr="00CB0421">
        <w:rPr>
          <w:rFonts w:ascii="宋体" w:hAnsi="宋体" w:hint="eastAsia"/>
          <w:color w:val="796A4F"/>
          <w:sz w:val="21"/>
          <w:szCs w:val="21"/>
        </w:rPr>
        <w:t>全球商品价格从7月以来就持续走低，但由于季节性因素关系，CRB商品指数今年呈现“过山车”走势，先由低点的272点升至6月20日的313点，随后开始出现大幅回落，</w:t>
      </w:r>
      <w:r w:rsidR="0014613B" w:rsidRPr="00CB0421">
        <w:rPr>
          <w:rFonts w:ascii="宋体" w:hAnsi="宋体" w:hint="eastAsia"/>
          <w:color w:val="796A4F"/>
          <w:sz w:val="21"/>
          <w:szCs w:val="21"/>
        </w:rPr>
        <w:t>11月初跌至全年最低点的266点，这也是2010年8月底以来的最低点，说明下半年开始的全球商品市场的暴跌拉开序幕。其中，原油能源、贵金属和农产品是主要的领跌品种。</w:t>
      </w:r>
    </w:p>
    <w:p w:rsidR="00F61E33" w:rsidRPr="004A20F8" w:rsidRDefault="004A20F8" w:rsidP="004A20F8">
      <w:pPr>
        <w:pStyle w:val="2"/>
        <w:rPr>
          <w:bCs w:val="0"/>
          <w:color w:val="000000" w:themeColor="text1"/>
          <w:sz w:val="28"/>
          <w:szCs w:val="28"/>
        </w:rPr>
      </w:pPr>
      <w:r>
        <w:rPr>
          <w:rFonts w:hint="eastAsia"/>
          <w:bCs w:val="0"/>
          <w:color w:val="000000" w:themeColor="text1"/>
          <w:sz w:val="28"/>
          <w:szCs w:val="28"/>
        </w:rPr>
        <w:t>第</w:t>
      </w:r>
      <w:r w:rsidR="00F61E33" w:rsidRPr="004A20F8">
        <w:rPr>
          <w:rFonts w:hint="eastAsia"/>
          <w:bCs w:val="0"/>
          <w:color w:val="000000" w:themeColor="text1"/>
          <w:sz w:val="28"/>
          <w:szCs w:val="28"/>
        </w:rPr>
        <w:t>三</w:t>
      </w:r>
      <w:r>
        <w:rPr>
          <w:rFonts w:hint="eastAsia"/>
          <w:bCs w:val="0"/>
          <w:color w:val="000000" w:themeColor="text1"/>
          <w:sz w:val="28"/>
          <w:szCs w:val="28"/>
        </w:rPr>
        <w:t>部分</w:t>
      </w:r>
      <w:r>
        <w:rPr>
          <w:rFonts w:hint="eastAsia"/>
          <w:bCs w:val="0"/>
          <w:color w:val="000000" w:themeColor="text1"/>
          <w:sz w:val="28"/>
          <w:szCs w:val="28"/>
        </w:rPr>
        <w:t xml:space="preserve">  </w:t>
      </w:r>
      <w:r w:rsidR="00A320AD">
        <w:rPr>
          <w:rFonts w:hint="eastAsia"/>
          <w:bCs w:val="0"/>
          <w:color w:val="000000" w:themeColor="text1"/>
          <w:sz w:val="28"/>
          <w:szCs w:val="28"/>
        </w:rPr>
        <w:t>铁矿石</w:t>
      </w:r>
      <w:r w:rsidR="00F61E33" w:rsidRPr="004A20F8">
        <w:rPr>
          <w:rFonts w:hint="eastAsia"/>
          <w:bCs w:val="0"/>
          <w:color w:val="000000" w:themeColor="text1"/>
          <w:sz w:val="28"/>
          <w:szCs w:val="28"/>
        </w:rPr>
        <w:t>基本面不佳</w:t>
      </w:r>
    </w:p>
    <w:p w:rsidR="00AE039B" w:rsidRDefault="00AE039B" w:rsidP="00AE039B">
      <w:pPr>
        <w:pStyle w:val="3"/>
        <w:rPr>
          <w:rFonts w:hint="eastAsia"/>
          <w:color w:val="000000" w:themeColor="text1"/>
          <w:sz w:val="21"/>
          <w:szCs w:val="21"/>
        </w:rPr>
      </w:pPr>
      <w:r w:rsidRPr="00AE039B">
        <w:rPr>
          <w:rFonts w:hint="eastAsia"/>
          <w:color w:val="000000" w:themeColor="text1"/>
          <w:sz w:val="21"/>
          <w:szCs w:val="21"/>
        </w:rPr>
        <w:t>一、海运费指数</w:t>
      </w:r>
      <w:r w:rsidR="00060C65">
        <w:rPr>
          <w:rFonts w:hint="eastAsia"/>
          <w:color w:val="000000" w:themeColor="text1"/>
          <w:sz w:val="21"/>
          <w:szCs w:val="21"/>
        </w:rPr>
        <w:t>出现反弹</w:t>
      </w:r>
    </w:p>
    <w:p w:rsidR="00536EAD" w:rsidRPr="00536EAD" w:rsidRDefault="00536EAD" w:rsidP="00536EAD"/>
    <w:p w:rsidR="00AE039B" w:rsidRPr="00AE039B" w:rsidRDefault="00AC03D9" w:rsidP="00AC03D9">
      <w:pPr>
        <w:jc w:val="center"/>
        <w:rPr>
          <w:rFonts w:ascii="宋体" w:hAnsi="宋体"/>
          <w:b/>
          <w:color w:val="796A4F"/>
          <w:sz w:val="21"/>
          <w:szCs w:val="21"/>
        </w:rPr>
      </w:pPr>
      <w:r w:rsidRPr="00AC03D9">
        <w:rPr>
          <w:rFonts w:ascii="宋体" w:hAnsi="宋体"/>
          <w:b/>
          <w:color w:val="796A4F"/>
          <w:sz w:val="21"/>
          <w:szCs w:val="21"/>
        </w:rPr>
        <w:lastRenderedPageBreak/>
        <w:drawing>
          <wp:inline distT="0" distB="0" distL="0" distR="0">
            <wp:extent cx="5280660" cy="3063240"/>
            <wp:effectExtent l="19050" t="0" r="0" b="0"/>
            <wp:docPr id="271" name="图片 52"/>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2" cstate="print"/>
                    <a:stretch>
                      <a:fillRect/>
                    </a:stretch>
                  </pic:blipFill>
                  <pic:spPr>
                    <a:xfrm>
                      <a:off x="0" y="0"/>
                      <a:ext cx="5280660" cy="3063240"/>
                    </a:xfrm>
                    <a:prstGeom prst="rect">
                      <a:avLst/>
                    </a:prstGeom>
                  </pic:spPr>
                </pic:pic>
              </a:graphicData>
            </a:graphic>
          </wp:inline>
        </w:drawing>
      </w:r>
    </w:p>
    <w:p w:rsidR="00AE039B" w:rsidRPr="00AE039B" w:rsidRDefault="00AE039B" w:rsidP="00AC03D9">
      <w:pPr>
        <w:jc w:val="center"/>
        <w:rPr>
          <w:rFonts w:ascii="宋体" w:hAnsi="宋体"/>
          <w:b/>
          <w:color w:val="796A4F"/>
          <w:sz w:val="21"/>
          <w:szCs w:val="21"/>
        </w:rPr>
      </w:pPr>
      <w:r w:rsidRPr="00AE039B">
        <w:rPr>
          <w:rFonts w:ascii="宋体" w:hAnsi="宋体" w:hint="eastAsia"/>
          <w:b/>
          <w:color w:val="796A4F"/>
          <w:sz w:val="21"/>
          <w:szCs w:val="21"/>
        </w:rPr>
        <w:t>图</w:t>
      </w:r>
      <w:r w:rsidR="00536EAD">
        <w:rPr>
          <w:rFonts w:ascii="宋体" w:hAnsi="宋体" w:hint="eastAsia"/>
          <w:b/>
          <w:color w:val="796A4F"/>
          <w:sz w:val="21"/>
          <w:szCs w:val="21"/>
        </w:rPr>
        <w:t>3-1</w:t>
      </w:r>
      <w:r w:rsidRPr="00AE039B">
        <w:rPr>
          <w:rFonts w:ascii="宋体" w:hAnsi="宋体" w:hint="eastAsia"/>
          <w:b/>
          <w:color w:val="796A4F"/>
          <w:sz w:val="21"/>
          <w:szCs w:val="21"/>
        </w:rPr>
        <w:t>：新加坡铁矿石掉期与普氏铁矿石指数走势</w:t>
      </w:r>
    </w:p>
    <w:p w:rsidR="00AE039B" w:rsidRPr="00AE039B" w:rsidRDefault="00AE039B" w:rsidP="00AC03D9">
      <w:pPr>
        <w:jc w:val="center"/>
        <w:rPr>
          <w:rFonts w:ascii="宋体" w:hAnsi="宋体"/>
          <w:b/>
          <w:color w:val="796A4F"/>
          <w:sz w:val="21"/>
          <w:szCs w:val="21"/>
        </w:rPr>
      </w:pPr>
      <w:r w:rsidRPr="00AE039B">
        <w:rPr>
          <w:rFonts w:ascii="宋体" w:hAnsi="宋体" w:hint="eastAsia"/>
          <w:b/>
          <w:color w:val="796A4F"/>
          <w:sz w:val="21"/>
          <w:szCs w:val="21"/>
        </w:rPr>
        <w:t>数据来源：wind、方正中期研究院整理</w:t>
      </w:r>
    </w:p>
    <w:p w:rsidR="00AE039B" w:rsidRPr="00AE039B" w:rsidRDefault="00AE039B" w:rsidP="00AE039B">
      <w:pPr>
        <w:rPr>
          <w:rFonts w:ascii="宋体" w:hAnsi="宋体"/>
          <w:b/>
          <w:color w:val="796A4F"/>
          <w:sz w:val="21"/>
          <w:szCs w:val="21"/>
        </w:rPr>
      </w:pPr>
    </w:p>
    <w:p w:rsidR="00AC03D9" w:rsidRDefault="00AC03D9" w:rsidP="00AC03D9">
      <w:pPr>
        <w:ind w:firstLineChars="200" w:firstLine="420"/>
        <w:rPr>
          <w:rFonts w:ascii="宋体" w:hAnsi="宋体" w:hint="eastAsia"/>
          <w:color w:val="796A4F"/>
          <w:sz w:val="21"/>
          <w:szCs w:val="21"/>
        </w:rPr>
      </w:pPr>
      <w:r>
        <w:rPr>
          <w:rFonts w:ascii="宋体" w:hAnsi="宋体" w:hint="eastAsia"/>
          <w:color w:val="796A4F"/>
          <w:sz w:val="21"/>
          <w:szCs w:val="21"/>
        </w:rPr>
        <w:t>当前</w:t>
      </w:r>
      <w:r w:rsidRPr="00AC03D9">
        <w:rPr>
          <w:rFonts w:ascii="宋体" w:hAnsi="宋体" w:hint="eastAsia"/>
          <w:color w:val="796A4F"/>
          <w:sz w:val="21"/>
          <w:szCs w:val="21"/>
        </w:rPr>
        <w:t>海运市场盘整运行，</w:t>
      </w:r>
      <w:r>
        <w:rPr>
          <w:rFonts w:ascii="宋体" w:hAnsi="宋体" w:hint="eastAsia"/>
          <w:color w:val="796A4F"/>
          <w:sz w:val="21"/>
          <w:szCs w:val="21"/>
        </w:rPr>
        <w:t>11月6日</w:t>
      </w:r>
      <w:r w:rsidRPr="00AC03D9">
        <w:rPr>
          <w:rFonts w:ascii="宋体" w:hAnsi="宋体" w:hint="eastAsia"/>
          <w:color w:val="796A4F"/>
          <w:sz w:val="21"/>
          <w:szCs w:val="21"/>
        </w:rPr>
        <w:t>BDI指数报收于1436点，环</w:t>
      </w:r>
      <w:proofErr w:type="gramStart"/>
      <w:r w:rsidRPr="00AC03D9">
        <w:rPr>
          <w:rFonts w:ascii="宋体" w:hAnsi="宋体" w:hint="eastAsia"/>
          <w:color w:val="796A4F"/>
          <w:sz w:val="21"/>
          <w:szCs w:val="21"/>
        </w:rPr>
        <w:t>比周</w:t>
      </w:r>
      <w:r>
        <w:rPr>
          <w:rFonts w:ascii="宋体" w:hAnsi="宋体" w:hint="eastAsia"/>
          <w:color w:val="796A4F"/>
          <w:sz w:val="21"/>
          <w:szCs w:val="21"/>
        </w:rPr>
        <w:t>度</w:t>
      </w:r>
      <w:r w:rsidRPr="00AC03D9">
        <w:rPr>
          <w:rFonts w:ascii="宋体" w:hAnsi="宋体" w:hint="eastAsia"/>
          <w:color w:val="796A4F"/>
          <w:sz w:val="21"/>
          <w:szCs w:val="21"/>
        </w:rPr>
        <w:t>上涨</w:t>
      </w:r>
      <w:proofErr w:type="gramEnd"/>
      <w:r w:rsidRPr="00AC03D9">
        <w:rPr>
          <w:rFonts w:ascii="宋体" w:hAnsi="宋体" w:hint="eastAsia"/>
          <w:color w:val="796A4F"/>
          <w:sz w:val="21"/>
          <w:szCs w:val="21"/>
        </w:rPr>
        <w:t>12点。海峡型散货船市场仍然较为强势，市场运力供求均衡；在巴西铁矿石出口稳定，而西澳大利亚铁矿石出口减少，这也或多或少给太平洋市场运价带来了压力。现在BCI指数报收于3612点，环比上周上涨78点。目前，巴西至青岛港海运费报收于24.275美元/吨，</w:t>
      </w:r>
      <w:proofErr w:type="gramStart"/>
      <w:r w:rsidRPr="00AC03D9">
        <w:rPr>
          <w:rFonts w:ascii="宋体" w:hAnsi="宋体" w:hint="eastAsia"/>
          <w:color w:val="796A4F"/>
          <w:sz w:val="21"/>
          <w:szCs w:val="21"/>
        </w:rPr>
        <w:t>环比跌</w:t>
      </w:r>
      <w:proofErr w:type="gramEnd"/>
      <w:r w:rsidRPr="00AC03D9">
        <w:rPr>
          <w:rFonts w:ascii="宋体" w:hAnsi="宋体" w:hint="eastAsia"/>
          <w:color w:val="796A4F"/>
          <w:sz w:val="21"/>
          <w:szCs w:val="21"/>
        </w:rPr>
        <w:t>1.665美元/吨；西澳至青岛港海运费报收于9.345美元/吨，</w:t>
      </w:r>
      <w:proofErr w:type="gramStart"/>
      <w:r w:rsidRPr="00AC03D9">
        <w:rPr>
          <w:rFonts w:ascii="宋体" w:hAnsi="宋体" w:hint="eastAsia"/>
          <w:color w:val="796A4F"/>
          <w:sz w:val="21"/>
          <w:szCs w:val="21"/>
        </w:rPr>
        <w:t>环比跌</w:t>
      </w:r>
      <w:proofErr w:type="gramEnd"/>
      <w:r w:rsidRPr="00AC03D9">
        <w:rPr>
          <w:rFonts w:ascii="宋体" w:hAnsi="宋体" w:hint="eastAsia"/>
          <w:color w:val="796A4F"/>
          <w:sz w:val="21"/>
          <w:szCs w:val="21"/>
        </w:rPr>
        <w:t>0.4美元/</w:t>
      </w:r>
      <w:r w:rsidR="00060C65">
        <w:rPr>
          <w:rFonts w:ascii="宋体" w:hAnsi="宋体" w:hint="eastAsia"/>
          <w:color w:val="796A4F"/>
          <w:sz w:val="21"/>
          <w:szCs w:val="21"/>
        </w:rPr>
        <w:t>吨。巴拿马型散货船跨大西洋航线运价在经历前两周的大幅上涨</w:t>
      </w:r>
      <w:r w:rsidRPr="00AC03D9">
        <w:rPr>
          <w:rFonts w:ascii="宋体" w:hAnsi="宋体" w:hint="eastAsia"/>
          <w:color w:val="796A4F"/>
          <w:sz w:val="21"/>
          <w:szCs w:val="21"/>
        </w:rPr>
        <w:t>后企稳，尽管全球巴拿马型散货船市场运输需求不断增加，但市场运力不同程度的表现出过剩的迹象，现在BPI指数报收于1205点，环比上周下跌17点。尽管灵便型散货船市场运价周环比小幅上涨，但是全球灵便型散货船市场预期将会走弱；大西洋市场灵便型散货船运力依然过剩，且今年该市场由于季节性波动带来的潜在运量有限，现在BSI指数报收于886点，环比下跌5点。</w:t>
      </w:r>
    </w:p>
    <w:p w:rsidR="00281E95" w:rsidRDefault="00281E95" w:rsidP="00AC03D9">
      <w:pPr>
        <w:ind w:firstLineChars="200" w:firstLine="420"/>
        <w:rPr>
          <w:rFonts w:ascii="宋体" w:hAnsi="宋体" w:hint="eastAsia"/>
          <w:color w:val="796A4F"/>
          <w:sz w:val="21"/>
          <w:szCs w:val="21"/>
        </w:rPr>
      </w:pPr>
    </w:p>
    <w:p w:rsidR="00F434DB" w:rsidRPr="00F434DB" w:rsidRDefault="00F434DB" w:rsidP="00F434DB">
      <w:pPr>
        <w:pStyle w:val="3"/>
        <w:rPr>
          <w:rFonts w:hint="eastAsia"/>
          <w:color w:val="000000" w:themeColor="text1"/>
          <w:sz w:val="21"/>
          <w:szCs w:val="21"/>
        </w:rPr>
      </w:pPr>
      <w:r>
        <w:rPr>
          <w:rFonts w:hint="eastAsia"/>
          <w:color w:val="000000" w:themeColor="text1"/>
          <w:sz w:val="21"/>
          <w:szCs w:val="21"/>
        </w:rPr>
        <w:t>二</w:t>
      </w:r>
      <w:r w:rsidRPr="00F434DB">
        <w:rPr>
          <w:rFonts w:hint="eastAsia"/>
          <w:color w:val="000000" w:themeColor="text1"/>
          <w:sz w:val="21"/>
          <w:szCs w:val="21"/>
        </w:rPr>
        <w:t>、</w:t>
      </w:r>
      <w:r>
        <w:rPr>
          <w:rFonts w:hint="eastAsia"/>
          <w:color w:val="000000" w:themeColor="text1"/>
          <w:sz w:val="21"/>
          <w:szCs w:val="21"/>
        </w:rPr>
        <w:t>9</w:t>
      </w:r>
      <w:r>
        <w:rPr>
          <w:rFonts w:hint="eastAsia"/>
          <w:color w:val="000000" w:themeColor="text1"/>
          <w:sz w:val="21"/>
          <w:szCs w:val="21"/>
        </w:rPr>
        <w:t>月</w:t>
      </w:r>
      <w:r w:rsidRPr="00F434DB">
        <w:rPr>
          <w:rFonts w:hint="eastAsia"/>
          <w:color w:val="000000" w:themeColor="text1"/>
          <w:sz w:val="21"/>
          <w:szCs w:val="21"/>
        </w:rPr>
        <w:t>铁矿石</w:t>
      </w:r>
      <w:r>
        <w:rPr>
          <w:rFonts w:hint="eastAsia"/>
          <w:color w:val="000000" w:themeColor="text1"/>
          <w:sz w:val="21"/>
          <w:szCs w:val="21"/>
        </w:rPr>
        <w:t>进口量大幅增长</w:t>
      </w:r>
    </w:p>
    <w:p w:rsidR="00F434DB" w:rsidRPr="00E21C60" w:rsidRDefault="00F434DB" w:rsidP="00073A6D">
      <w:pPr>
        <w:pStyle w:val="ad"/>
        <w:spacing w:before="0" w:beforeAutospacing="0"/>
        <w:rPr>
          <w:rFonts w:ascii="Calibri" w:cs="Times New Roman"/>
          <w:bCs/>
          <w:i/>
          <w:color w:val="796A4F"/>
          <w:sz w:val="21"/>
          <w:szCs w:val="21"/>
        </w:rPr>
      </w:pPr>
    </w:p>
    <w:p w:rsidR="0096157B" w:rsidRDefault="0096157B" w:rsidP="0096157B">
      <w:pPr>
        <w:jc w:val="center"/>
        <w:rPr>
          <w:rFonts w:hint="eastAsia"/>
          <w:highlight w:val="yellow"/>
        </w:rPr>
      </w:pPr>
      <w:r w:rsidRPr="0096157B">
        <w:lastRenderedPageBreak/>
        <w:drawing>
          <wp:inline distT="0" distB="0" distL="0" distR="0">
            <wp:extent cx="5486400" cy="3208655"/>
            <wp:effectExtent l="19050" t="0" r="0" b="0"/>
            <wp:docPr id="272" name="图片 53"/>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3" cstate="print"/>
                    <a:stretch>
                      <a:fillRect/>
                    </a:stretch>
                  </pic:blipFill>
                  <pic:spPr>
                    <a:xfrm>
                      <a:off x="0" y="0"/>
                      <a:ext cx="5486400" cy="3208655"/>
                    </a:xfrm>
                    <a:prstGeom prst="rect">
                      <a:avLst/>
                    </a:prstGeom>
                  </pic:spPr>
                </pic:pic>
              </a:graphicData>
            </a:graphic>
          </wp:inline>
        </w:drawing>
      </w:r>
    </w:p>
    <w:p w:rsidR="0096157B" w:rsidRPr="0096157B" w:rsidRDefault="0096157B" w:rsidP="0096157B">
      <w:pPr>
        <w:jc w:val="center"/>
        <w:rPr>
          <w:rFonts w:hint="eastAsia"/>
        </w:rPr>
      </w:pPr>
      <w:r w:rsidRPr="0096157B">
        <w:rPr>
          <w:rFonts w:hint="eastAsia"/>
        </w:rPr>
        <w:t>图</w:t>
      </w:r>
      <w:r w:rsidRPr="0096157B">
        <w:rPr>
          <w:rFonts w:hint="eastAsia"/>
        </w:rPr>
        <w:t>3-</w:t>
      </w:r>
      <w:r w:rsidR="00F25657">
        <w:rPr>
          <w:rFonts w:hint="eastAsia"/>
        </w:rPr>
        <w:t>2</w:t>
      </w:r>
      <w:r w:rsidRPr="0096157B">
        <w:rPr>
          <w:rFonts w:hint="eastAsia"/>
        </w:rPr>
        <w:t>：</w:t>
      </w:r>
      <w:r w:rsidRPr="0096157B">
        <w:rPr>
          <w:rFonts w:hint="eastAsia"/>
        </w:rPr>
        <w:t>2010-2014</w:t>
      </w:r>
      <w:r w:rsidRPr="0096157B">
        <w:rPr>
          <w:rFonts w:hint="eastAsia"/>
        </w:rPr>
        <w:t>年中国铁矿石月度进口数量统计</w:t>
      </w:r>
    </w:p>
    <w:p w:rsidR="0096157B" w:rsidRDefault="0096157B" w:rsidP="0096157B">
      <w:pPr>
        <w:jc w:val="center"/>
        <w:rPr>
          <w:rFonts w:hint="eastAsia"/>
        </w:rPr>
      </w:pPr>
      <w:r w:rsidRPr="0096157B">
        <w:rPr>
          <w:rFonts w:hint="eastAsia"/>
        </w:rPr>
        <w:t>数据来源：国家统计局、方正中期期货研究院整理</w:t>
      </w:r>
    </w:p>
    <w:p w:rsidR="00281E95" w:rsidRDefault="00281E95" w:rsidP="0096157B">
      <w:pPr>
        <w:jc w:val="center"/>
        <w:rPr>
          <w:rFonts w:hint="eastAsia"/>
        </w:rPr>
      </w:pPr>
      <w:r w:rsidRPr="00281E95">
        <w:drawing>
          <wp:inline distT="0" distB="0" distL="0" distR="0">
            <wp:extent cx="5486400" cy="3657600"/>
            <wp:effectExtent l="19050" t="0" r="0" b="0"/>
            <wp:docPr id="273" name="图片 54"/>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64" cstate="print"/>
                    <a:stretch>
                      <a:fillRect/>
                    </a:stretch>
                  </pic:blipFill>
                  <pic:spPr>
                    <a:xfrm>
                      <a:off x="0" y="0"/>
                      <a:ext cx="5486400" cy="3657600"/>
                    </a:xfrm>
                    <a:prstGeom prst="rect">
                      <a:avLst/>
                    </a:prstGeom>
                  </pic:spPr>
                </pic:pic>
              </a:graphicData>
            </a:graphic>
          </wp:inline>
        </w:drawing>
      </w:r>
    </w:p>
    <w:p w:rsidR="00281E95" w:rsidRPr="0096157B" w:rsidRDefault="00281E95" w:rsidP="00281E95">
      <w:pPr>
        <w:jc w:val="center"/>
        <w:rPr>
          <w:rFonts w:hint="eastAsia"/>
        </w:rPr>
      </w:pPr>
      <w:r w:rsidRPr="0096157B">
        <w:rPr>
          <w:rFonts w:hint="eastAsia"/>
        </w:rPr>
        <w:t>图</w:t>
      </w:r>
      <w:r w:rsidRPr="0096157B">
        <w:rPr>
          <w:rFonts w:hint="eastAsia"/>
        </w:rPr>
        <w:t>3-</w:t>
      </w:r>
      <w:r w:rsidR="00F25657">
        <w:rPr>
          <w:rFonts w:hint="eastAsia"/>
        </w:rPr>
        <w:t>3</w:t>
      </w:r>
      <w:r w:rsidRPr="0096157B">
        <w:rPr>
          <w:rFonts w:hint="eastAsia"/>
        </w:rPr>
        <w:t>：</w:t>
      </w:r>
      <w:r w:rsidRPr="0096157B">
        <w:rPr>
          <w:rFonts w:hint="eastAsia"/>
        </w:rPr>
        <w:t>2010-2014</w:t>
      </w:r>
      <w:r w:rsidRPr="0096157B">
        <w:rPr>
          <w:rFonts w:hint="eastAsia"/>
        </w:rPr>
        <w:t>年中国铁矿石月度进口数量统计</w:t>
      </w:r>
    </w:p>
    <w:p w:rsidR="00281E95" w:rsidRDefault="00281E95" w:rsidP="00281E95">
      <w:pPr>
        <w:jc w:val="center"/>
        <w:rPr>
          <w:rFonts w:hint="eastAsia"/>
        </w:rPr>
      </w:pPr>
      <w:r w:rsidRPr="0096157B">
        <w:rPr>
          <w:rFonts w:hint="eastAsia"/>
        </w:rPr>
        <w:lastRenderedPageBreak/>
        <w:t>数据来源：国家统计局、方正中期期货研究院整理</w:t>
      </w:r>
    </w:p>
    <w:p w:rsidR="001A22E0" w:rsidRDefault="001A22E0" w:rsidP="001A22E0">
      <w:pPr>
        <w:spacing w:line="360" w:lineRule="auto"/>
        <w:ind w:firstLineChars="196" w:firstLine="431"/>
        <w:rPr>
          <w:rFonts w:ascii="新宋体" w:eastAsia="新宋体" w:hAnsi="新宋体" w:hint="eastAsia"/>
          <w:szCs w:val="21"/>
        </w:rPr>
      </w:pPr>
      <w:r w:rsidRPr="009E4CA9">
        <w:rPr>
          <w:rFonts w:ascii="新宋体" w:eastAsia="新宋体" w:hAnsi="新宋体"/>
          <w:szCs w:val="21"/>
        </w:rPr>
        <w:t>中国海关总署最新数据，</w:t>
      </w:r>
      <w:r w:rsidR="009E4CA9">
        <w:rPr>
          <w:rFonts w:ascii="新宋体" w:eastAsia="新宋体" w:hAnsi="新宋体" w:hint="eastAsia"/>
          <w:szCs w:val="21"/>
        </w:rPr>
        <w:t>9月份中国进口铁矿石为8469.49万吨，为今年第二大进口量，仅次于1月份的8683.46万吨，显示出中国铁矿石供大于求局面继续保持。</w:t>
      </w:r>
      <w:r w:rsidRPr="009E4CA9">
        <w:rPr>
          <w:rFonts w:ascii="新宋体" w:eastAsia="新宋体" w:hAnsi="新宋体"/>
          <w:szCs w:val="21"/>
        </w:rPr>
        <w:t>中国前三季度铁矿石进口同比增长16.5%。前三季度巴西向中国铁矿石出口约1.25亿吨，同比增长13%，仅占中国铁矿石进口的17.9%；同期澳大利亚对华出口4.06亿吨，同比增长33.5%，占中国铁矿石进口的58%。2013年前三季度，巴西和澳大利亚铁矿石分别占中国铁矿石进口的51%和18.4%。</w:t>
      </w:r>
    </w:p>
    <w:p w:rsidR="00AF741C" w:rsidRPr="00EF6E67" w:rsidRDefault="00AF741C" w:rsidP="001A22E0">
      <w:pPr>
        <w:spacing w:line="360" w:lineRule="auto"/>
        <w:ind w:firstLineChars="196" w:firstLine="431"/>
        <w:rPr>
          <w:rFonts w:ascii="新宋体" w:eastAsia="新宋体" w:hAnsi="新宋体"/>
          <w:szCs w:val="21"/>
        </w:rPr>
      </w:pPr>
    </w:p>
    <w:p w:rsidR="00F434DB" w:rsidRPr="00F434DB" w:rsidRDefault="00F434DB" w:rsidP="00F434DB">
      <w:pPr>
        <w:pStyle w:val="3"/>
        <w:rPr>
          <w:rFonts w:hint="eastAsia"/>
          <w:color w:val="000000" w:themeColor="text1"/>
          <w:sz w:val="21"/>
          <w:szCs w:val="21"/>
        </w:rPr>
      </w:pPr>
      <w:r w:rsidRPr="00F434DB">
        <w:rPr>
          <w:rFonts w:hint="eastAsia"/>
          <w:color w:val="000000" w:themeColor="text1"/>
          <w:sz w:val="21"/>
          <w:szCs w:val="21"/>
        </w:rPr>
        <w:t>三、铁矿石库存居高位</w:t>
      </w:r>
      <w:r w:rsidR="00AF0F6D">
        <w:rPr>
          <w:rFonts w:hint="eastAsia"/>
          <w:color w:val="000000" w:themeColor="text1"/>
          <w:sz w:val="21"/>
          <w:szCs w:val="21"/>
        </w:rPr>
        <w:t>消费量下滑</w:t>
      </w:r>
    </w:p>
    <w:p w:rsidR="009E4CA9" w:rsidRDefault="009E4CA9" w:rsidP="009E4CA9">
      <w:pPr>
        <w:jc w:val="center"/>
        <w:rPr>
          <w:rFonts w:hint="eastAsia"/>
        </w:rPr>
      </w:pPr>
      <w:r w:rsidRPr="009E4CA9">
        <w:drawing>
          <wp:inline distT="0" distB="0" distL="0" distR="0">
            <wp:extent cx="5499247" cy="3423684"/>
            <wp:effectExtent l="19050" t="0" r="6203" b="0"/>
            <wp:docPr id="274" name="图片 55"/>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65" cstate="print"/>
                    <a:stretch>
                      <a:fillRect/>
                    </a:stretch>
                  </pic:blipFill>
                  <pic:spPr>
                    <a:xfrm>
                      <a:off x="0" y="0"/>
                      <a:ext cx="5502420" cy="3425659"/>
                    </a:xfrm>
                    <a:prstGeom prst="rect">
                      <a:avLst/>
                    </a:prstGeom>
                  </pic:spPr>
                </pic:pic>
              </a:graphicData>
            </a:graphic>
          </wp:inline>
        </w:drawing>
      </w:r>
    </w:p>
    <w:p w:rsidR="00AF741C" w:rsidRPr="00AE039B" w:rsidRDefault="00AF741C" w:rsidP="00AF741C">
      <w:pPr>
        <w:jc w:val="center"/>
        <w:rPr>
          <w:rFonts w:ascii="宋体" w:hAnsi="宋体"/>
          <w:b/>
          <w:color w:val="796A4F"/>
          <w:sz w:val="21"/>
          <w:szCs w:val="21"/>
        </w:rPr>
      </w:pPr>
      <w:r w:rsidRPr="00AE039B">
        <w:rPr>
          <w:rFonts w:ascii="宋体" w:hAnsi="宋体" w:hint="eastAsia"/>
          <w:b/>
          <w:color w:val="796A4F"/>
          <w:sz w:val="21"/>
          <w:szCs w:val="21"/>
        </w:rPr>
        <w:t>图</w:t>
      </w:r>
      <w:r>
        <w:rPr>
          <w:rFonts w:ascii="宋体" w:hAnsi="宋体" w:hint="eastAsia"/>
          <w:b/>
          <w:color w:val="796A4F"/>
          <w:sz w:val="21"/>
          <w:szCs w:val="21"/>
        </w:rPr>
        <w:t>3-</w:t>
      </w:r>
      <w:r w:rsidR="00F25657">
        <w:rPr>
          <w:rFonts w:ascii="宋体" w:hAnsi="宋体" w:hint="eastAsia"/>
          <w:b/>
          <w:color w:val="796A4F"/>
          <w:sz w:val="21"/>
          <w:szCs w:val="21"/>
        </w:rPr>
        <w:t>4</w:t>
      </w:r>
      <w:r w:rsidRPr="00AE039B">
        <w:rPr>
          <w:rFonts w:ascii="宋体" w:hAnsi="宋体" w:hint="eastAsia"/>
          <w:b/>
          <w:color w:val="796A4F"/>
          <w:sz w:val="21"/>
          <w:szCs w:val="21"/>
        </w:rPr>
        <w:t>：</w:t>
      </w:r>
      <w:r w:rsidRPr="00AF741C">
        <w:rPr>
          <w:rFonts w:ascii="宋体" w:hAnsi="宋体" w:hint="eastAsia"/>
          <w:b/>
          <w:color w:val="796A4F"/>
          <w:sz w:val="21"/>
          <w:szCs w:val="21"/>
        </w:rPr>
        <w:t>11月全国</w:t>
      </w:r>
      <w:r>
        <w:rPr>
          <w:rFonts w:ascii="宋体" w:hAnsi="宋体" w:hint="eastAsia"/>
          <w:b/>
          <w:color w:val="796A4F"/>
          <w:sz w:val="21"/>
          <w:szCs w:val="21"/>
        </w:rPr>
        <w:t>港口铁矿石库存总量及增减变化</w:t>
      </w:r>
    </w:p>
    <w:p w:rsidR="00AF741C" w:rsidRPr="00AE039B" w:rsidRDefault="00AF741C" w:rsidP="00AF741C">
      <w:pPr>
        <w:jc w:val="center"/>
        <w:rPr>
          <w:rFonts w:ascii="宋体" w:hAnsi="宋体"/>
          <w:b/>
          <w:color w:val="796A4F"/>
          <w:sz w:val="21"/>
          <w:szCs w:val="21"/>
        </w:rPr>
      </w:pPr>
      <w:r w:rsidRPr="00AE039B">
        <w:rPr>
          <w:rFonts w:ascii="宋体" w:hAnsi="宋体" w:hint="eastAsia"/>
          <w:b/>
          <w:color w:val="796A4F"/>
          <w:sz w:val="21"/>
          <w:szCs w:val="21"/>
        </w:rPr>
        <w:t>数据来源：wind、方正中期研究院整理</w:t>
      </w:r>
    </w:p>
    <w:p w:rsidR="00AF741C" w:rsidRPr="00AF741C" w:rsidRDefault="00AF741C" w:rsidP="009E4CA9">
      <w:pPr>
        <w:jc w:val="center"/>
        <w:rPr>
          <w:rFonts w:hint="eastAsia"/>
        </w:rPr>
      </w:pPr>
    </w:p>
    <w:p w:rsidR="00F434DB" w:rsidRPr="00F434DB" w:rsidRDefault="00AF741C" w:rsidP="00F434DB">
      <w:pPr>
        <w:ind w:firstLineChars="200" w:firstLine="420"/>
        <w:rPr>
          <w:rFonts w:ascii="宋体" w:hAnsi="宋体" w:hint="eastAsia"/>
          <w:color w:val="796A4F"/>
          <w:sz w:val="21"/>
          <w:szCs w:val="21"/>
        </w:rPr>
      </w:pPr>
      <w:r>
        <w:rPr>
          <w:rFonts w:ascii="宋体" w:hAnsi="宋体" w:hint="eastAsia"/>
          <w:color w:val="796A4F"/>
          <w:sz w:val="21"/>
          <w:szCs w:val="21"/>
        </w:rPr>
        <w:t>11月7日当</w:t>
      </w:r>
      <w:proofErr w:type="gramStart"/>
      <w:r>
        <w:rPr>
          <w:rFonts w:ascii="宋体" w:hAnsi="宋体" w:hint="eastAsia"/>
          <w:color w:val="796A4F"/>
          <w:sz w:val="21"/>
          <w:szCs w:val="21"/>
        </w:rPr>
        <w:t>周</w:t>
      </w:r>
      <w:r w:rsidR="00F434DB" w:rsidRPr="00F434DB">
        <w:rPr>
          <w:rFonts w:ascii="宋体" w:hAnsi="宋体" w:hint="eastAsia"/>
          <w:color w:val="796A4F"/>
          <w:sz w:val="21"/>
          <w:szCs w:val="21"/>
        </w:rPr>
        <w:t>进口矿市场</w:t>
      </w:r>
      <w:proofErr w:type="gramEnd"/>
      <w:r w:rsidR="00F434DB" w:rsidRPr="00F434DB">
        <w:rPr>
          <w:rFonts w:ascii="宋体" w:hAnsi="宋体" w:hint="eastAsia"/>
          <w:color w:val="796A4F"/>
          <w:sz w:val="21"/>
          <w:szCs w:val="21"/>
        </w:rPr>
        <w:t>弱势下跌，受APEC会议影响，河北钢厂普遍烧结限产30-50%，部分高炉停产，采购积极性有所下降。外盘市场活跃相对冷清，港口现货成交有所减弱。远期现货方面，62%粉矿指数已经跌破80美元大关，而且下跌步伐屡创新低。掉期市场表现依旧弱势，市场成交不活跃。港口现货</w:t>
      </w:r>
      <w:r w:rsidR="00F434DB" w:rsidRPr="00F434DB">
        <w:rPr>
          <w:rFonts w:ascii="宋体" w:hAnsi="宋体" w:hint="eastAsia"/>
          <w:color w:val="796A4F"/>
          <w:sz w:val="21"/>
          <w:szCs w:val="21"/>
        </w:rPr>
        <w:lastRenderedPageBreak/>
        <w:t>方面，由于钢厂烧结机现场，对于粉矿采购并不积极，造成粉矿价格持续下跌。但同时为了保证日常高炉运行，调高块矿入炉比例，因此造成块矿价格高升。</w:t>
      </w:r>
    </w:p>
    <w:p w:rsidR="00F434DB" w:rsidRDefault="009E4CA9" w:rsidP="009E4CA9">
      <w:pPr>
        <w:ind w:firstLineChars="200" w:firstLine="420"/>
        <w:rPr>
          <w:rFonts w:ascii="宋体" w:hAnsi="宋体" w:hint="eastAsia"/>
          <w:color w:val="796A4F"/>
          <w:sz w:val="21"/>
          <w:szCs w:val="21"/>
        </w:rPr>
      </w:pPr>
      <w:r w:rsidRPr="009E4CA9">
        <w:rPr>
          <w:rFonts w:ascii="宋体" w:hAnsi="宋体"/>
          <w:color w:val="796A4F"/>
          <w:sz w:val="21"/>
          <w:szCs w:val="21"/>
        </w:rPr>
        <w:drawing>
          <wp:inline distT="0" distB="0" distL="0" distR="0">
            <wp:extent cx="5488615" cy="3381153"/>
            <wp:effectExtent l="19050" t="0" r="0" b="0"/>
            <wp:docPr id="275" name="图片 56"/>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66" cstate="print"/>
                    <a:stretch>
                      <a:fillRect/>
                    </a:stretch>
                  </pic:blipFill>
                  <pic:spPr>
                    <a:xfrm>
                      <a:off x="0" y="0"/>
                      <a:ext cx="5486400" cy="3379788"/>
                    </a:xfrm>
                    <a:prstGeom prst="rect">
                      <a:avLst/>
                    </a:prstGeom>
                  </pic:spPr>
                </pic:pic>
              </a:graphicData>
            </a:graphic>
          </wp:inline>
        </w:drawing>
      </w:r>
    </w:p>
    <w:p w:rsidR="00AF741C" w:rsidRPr="00AE039B" w:rsidRDefault="00AF741C" w:rsidP="00AF741C">
      <w:pPr>
        <w:jc w:val="center"/>
        <w:rPr>
          <w:rFonts w:ascii="宋体" w:hAnsi="宋体"/>
          <w:b/>
          <w:color w:val="796A4F"/>
          <w:sz w:val="21"/>
          <w:szCs w:val="21"/>
        </w:rPr>
      </w:pPr>
      <w:r w:rsidRPr="00AE039B">
        <w:rPr>
          <w:rFonts w:ascii="宋体" w:hAnsi="宋体" w:hint="eastAsia"/>
          <w:b/>
          <w:color w:val="796A4F"/>
          <w:sz w:val="21"/>
          <w:szCs w:val="21"/>
        </w:rPr>
        <w:t>图</w:t>
      </w:r>
      <w:r>
        <w:rPr>
          <w:rFonts w:ascii="宋体" w:hAnsi="宋体" w:hint="eastAsia"/>
          <w:b/>
          <w:color w:val="796A4F"/>
          <w:sz w:val="21"/>
          <w:szCs w:val="21"/>
        </w:rPr>
        <w:t>3-</w:t>
      </w:r>
      <w:r w:rsidR="00F25657">
        <w:rPr>
          <w:rFonts w:ascii="宋体" w:hAnsi="宋体" w:hint="eastAsia"/>
          <w:b/>
          <w:color w:val="796A4F"/>
          <w:sz w:val="21"/>
          <w:szCs w:val="21"/>
        </w:rPr>
        <w:t>5</w:t>
      </w:r>
      <w:r w:rsidRPr="00AE039B">
        <w:rPr>
          <w:rFonts w:ascii="宋体" w:hAnsi="宋体" w:hint="eastAsia"/>
          <w:b/>
          <w:color w:val="796A4F"/>
          <w:sz w:val="21"/>
          <w:szCs w:val="21"/>
        </w:rPr>
        <w:t>：</w:t>
      </w:r>
      <w:r w:rsidRPr="00AF741C">
        <w:rPr>
          <w:rFonts w:ascii="宋体" w:hAnsi="宋体" w:hint="eastAsia"/>
          <w:b/>
          <w:color w:val="796A4F"/>
          <w:sz w:val="21"/>
          <w:szCs w:val="21"/>
        </w:rPr>
        <w:t>11月7日当周全国</w:t>
      </w:r>
      <w:r>
        <w:rPr>
          <w:rFonts w:ascii="宋体" w:hAnsi="宋体" w:hint="eastAsia"/>
          <w:b/>
          <w:color w:val="796A4F"/>
          <w:sz w:val="21"/>
          <w:szCs w:val="21"/>
        </w:rPr>
        <w:t>主要港口铁矿石库存数据分布</w:t>
      </w:r>
    </w:p>
    <w:p w:rsidR="00AF741C" w:rsidRPr="00AE039B" w:rsidRDefault="00AF741C" w:rsidP="00AF741C">
      <w:pPr>
        <w:jc w:val="center"/>
        <w:rPr>
          <w:rFonts w:ascii="宋体" w:hAnsi="宋体"/>
          <w:b/>
          <w:color w:val="796A4F"/>
          <w:sz w:val="21"/>
          <w:szCs w:val="21"/>
        </w:rPr>
      </w:pPr>
      <w:r w:rsidRPr="00AE039B">
        <w:rPr>
          <w:rFonts w:ascii="宋体" w:hAnsi="宋体" w:hint="eastAsia"/>
          <w:b/>
          <w:color w:val="796A4F"/>
          <w:sz w:val="21"/>
          <w:szCs w:val="21"/>
        </w:rPr>
        <w:t>数据来源：wind、方正中期研究院整理</w:t>
      </w:r>
    </w:p>
    <w:p w:rsidR="00AF0F6D" w:rsidRDefault="00AF0F6D" w:rsidP="00F434DB">
      <w:pPr>
        <w:ind w:firstLineChars="200" w:firstLine="420"/>
        <w:rPr>
          <w:rFonts w:ascii="宋体" w:hAnsi="宋体" w:hint="eastAsia"/>
          <w:color w:val="796A4F"/>
          <w:sz w:val="21"/>
          <w:szCs w:val="21"/>
        </w:rPr>
      </w:pPr>
    </w:p>
    <w:p w:rsidR="00F434DB" w:rsidRDefault="00AF741C" w:rsidP="00F434DB">
      <w:pPr>
        <w:ind w:firstLineChars="200" w:firstLine="420"/>
        <w:rPr>
          <w:rFonts w:ascii="宋体" w:hAnsi="宋体" w:hint="eastAsia"/>
          <w:color w:val="796A4F"/>
          <w:sz w:val="21"/>
          <w:szCs w:val="21"/>
        </w:rPr>
      </w:pPr>
      <w:r>
        <w:rPr>
          <w:rFonts w:ascii="宋体" w:hAnsi="宋体" w:hint="eastAsia"/>
          <w:color w:val="796A4F"/>
          <w:sz w:val="21"/>
          <w:szCs w:val="21"/>
        </w:rPr>
        <w:t>11月7日当周</w:t>
      </w:r>
      <w:r w:rsidR="00F434DB" w:rsidRPr="00F434DB">
        <w:rPr>
          <w:rFonts w:ascii="宋体" w:hAnsi="宋体" w:hint="eastAsia"/>
          <w:color w:val="796A4F"/>
          <w:sz w:val="21"/>
          <w:szCs w:val="21"/>
        </w:rPr>
        <w:t>全国主要港口铁矿石库存总量为</w:t>
      </w:r>
      <w:r>
        <w:rPr>
          <w:rFonts w:ascii="宋体" w:hAnsi="宋体" w:hint="eastAsia"/>
          <w:color w:val="796A4F"/>
          <w:sz w:val="21"/>
          <w:szCs w:val="21"/>
        </w:rPr>
        <w:t>10134万吨</w:t>
      </w:r>
      <w:r w:rsidR="00F434DB" w:rsidRPr="00F434DB">
        <w:rPr>
          <w:rFonts w:ascii="宋体" w:hAnsi="宋体" w:hint="eastAsia"/>
          <w:color w:val="796A4F"/>
          <w:sz w:val="21"/>
          <w:szCs w:val="21"/>
        </w:rPr>
        <w:t>,</w:t>
      </w:r>
      <w:r>
        <w:rPr>
          <w:rFonts w:ascii="宋体" w:hAnsi="宋体" w:hint="eastAsia"/>
          <w:color w:val="796A4F"/>
          <w:sz w:val="21"/>
          <w:szCs w:val="21"/>
        </w:rPr>
        <w:t>环比下</w:t>
      </w:r>
      <w:r w:rsidR="00F434DB" w:rsidRPr="00F434DB">
        <w:rPr>
          <w:rFonts w:ascii="宋体" w:hAnsi="宋体" w:hint="eastAsia"/>
          <w:color w:val="796A4F"/>
          <w:sz w:val="21"/>
          <w:szCs w:val="21"/>
        </w:rPr>
        <w:t>降94</w:t>
      </w:r>
      <w:r>
        <w:rPr>
          <w:rFonts w:ascii="宋体" w:hAnsi="宋体" w:hint="eastAsia"/>
          <w:color w:val="796A4F"/>
          <w:sz w:val="21"/>
          <w:szCs w:val="21"/>
        </w:rPr>
        <w:t>万吨</w:t>
      </w:r>
      <w:r w:rsidR="00F434DB" w:rsidRPr="00F434DB">
        <w:rPr>
          <w:rFonts w:ascii="宋体" w:hAnsi="宋体" w:hint="eastAsia"/>
          <w:color w:val="796A4F"/>
          <w:sz w:val="21"/>
          <w:szCs w:val="21"/>
        </w:rPr>
        <w:t>；</w:t>
      </w:r>
      <w:proofErr w:type="gramStart"/>
      <w:r w:rsidR="00F434DB" w:rsidRPr="00F434DB">
        <w:rPr>
          <w:rFonts w:ascii="宋体" w:hAnsi="宋体" w:hint="eastAsia"/>
          <w:color w:val="796A4F"/>
          <w:sz w:val="21"/>
          <w:szCs w:val="21"/>
        </w:rPr>
        <w:t>其中澳矿</w:t>
      </w:r>
      <w:proofErr w:type="gramEnd"/>
      <w:r w:rsidR="00F434DB" w:rsidRPr="00F434DB">
        <w:rPr>
          <w:rFonts w:ascii="宋体" w:hAnsi="宋体" w:hint="eastAsia"/>
          <w:color w:val="796A4F"/>
          <w:sz w:val="21"/>
          <w:szCs w:val="21"/>
        </w:rPr>
        <w:t>5449，巴西1905，印度79，贸易矿3685，精粉416，球团228，块矿1022。港口库存连续下降，钢厂通过此次限产增加自身库存。预计下周APEC会议后，将会迎来一波采购小高峰。</w:t>
      </w:r>
      <w:proofErr w:type="gramStart"/>
      <w:r w:rsidR="00F434DB" w:rsidRPr="00F434DB">
        <w:rPr>
          <w:rFonts w:ascii="宋体" w:hAnsi="宋体" w:hint="eastAsia"/>
          <w:color w:val="796A4F"/>
          <w:sz w:val="21"/>
          <w:szCs w:val="21"/>
        </w:rPr>
        <w:t>矿价预计</w:t>
      </w:r>
      <w:proofErr w:type="gramEnd"/>
      <w:r w:rsidR="00F434DB" w:rsidRPr="00F434DB">
        <w:rPr>
          <w:rFonts w:ascii="宋体" w:hAnsi="宋体" w:hint="eastAsia"/>
          <w:color w:val="796A4F"/>
          <w:sz w:val="21"/>
          <w:szCs w:val="21"/>
        </w:rPr>
        <w:t>持稳反弹。</w:t>
      </w:r>
      <w:r w:rsidR="00224A81" w:rsidRPr="00224A81">
        <w:rPr>
          <w:rFonts w:ascii="宋体" w:hAnsi="宋体" w:hint="eastAsia"/>
          <w:color w:val="796A4F"/>
          <w:sz w:val="21"/>
          <w:szCs w:val="21"/>
        </w:rPr>
        <w:t>天津、京唐、曹妃</w:t>
      </w:r>
      <w:proofErr w:type="gramStart"/>
      <w:r w:rsidR="00224A81" w:rsidRPr="00224A81">
        <w:rPr>
          <w:rFonts w:ascii="宋体" w:hAnsi="宋体" w:hint="eastAsia"/>
          <w:color w:val="796A4F"/>
          <w:sz w:val="21"/>
          <w:szCs w:val="21"/>
        </w:rPr>
        <w:t>甸</w:t>
      </w:r>
      <w:proofErr w:type="gramEnd"/>
      <w:r w:rsidR="00224A81" w:rsidRPr="00224A81">
        <w:rPr>
          <w:rFonts w:ascii="宋体" w:hAnsi="宋体" w:hint="eastAsia"/>
          <w:color w:val="796A4F"/>
          <w:sz w:val="21"/>
          <w:szCs w:val="21"/>
        </w:rPr>
        <w:t>、日照、青岛、岚山、连云港</w:t>
      </w:r>
      <w:proofErr w:type="gramStart"/>
      <w:r w:rsidR="00224A81" w:rsidRPr="00224A81">
        <w:rPr>
          <w:rFonts w:ascii="宋体" w:hAnsi="宋体" w:hint="eastAsia"/>
          <w:color w:val="796A4F"/>
          <w:sz w:val="21"/>
          <w:szCs w:val="21"/>
        </w:rPr>
        <w:t>北方七港一周</w:t>
      </w:r>
      <w:proofErr w:type="gramEnd"/>
      <w:r w:rsidR="00224A81" w:rsidRPr="00224A81">
        <w:rPr>
          <w:rFonts w:ascii="宋体" w:hAnsi="宋体" w:hint="eastAsia"/>
          <w:color w:val="796A4F"/>
          <w:sz w:val="21"/>
          <w:szCs w:val="21"/>
        </w:rPr>
        <w:t>疏港量1102.5万吨，环</w:t>
      </w:r>
      <w:proofErr w:type="gramStart"/>
      <w:r w:rsidR="00224A81" w:rsidRPr="00224A81">
        <w:rPr>
          <w:rFonts w:ascii="宋体" w:hAnsi="宋体" w:hint="eastAsia"/>
          <w:color w:val="796A4F"/>
          <w:sz w:val="21"/>
          <w:szCs w:val="21"/>
        </w:rPr>
        <w:t>比小增</w:t>
      </w:r>
      <w:proofErr w:type="gramEnd"/>
      <w:r w:rsidR="00224A81" w:rsidRPr="00224A81">
        <w:rPr>
          <w:rFonts w:ascii="宋体" w:hAnsi="宋体" w:hint="eastAsia"/>
          <w:color w:val="796A4F"/>
          <w:sz w:val="21"/>
          <w:szCs w:val="21"/>
        </w:rPr>
        <w:t>1.2%。</w:t>
      </w:r>
    </w:p>
    <w:p w:rsidR="00AF0F6D" w:rsidRDefault="00AF0F6D" w:rsidP="00AF0F6D">
      <w:pPr>
        <w:pStyle w:val="ad"/>
        <w:spacing w:beforeLines="50" w:beforeAutospacing="0" w:after="0" w:afterAutospacing="0" w:line="360" w:lineRule="auto"/>
        <w:ind w:firstLineChars="200" w:firstLine="480"/>
        <w:rPr>
          <w:rFonts w:hint="eastAsia"/>
          <w:noProof/>
        </w:rPr>
      </w:pPr>
      <w:r w:rsidRPr="00665CBE">
        <w:rPr>
          <w:noProof/>
        </w:rPr>
        <w:lastRenderedPageBreak/>
        <w:drawing>
          <wp:inline distT="0" distB="0" distL="0" distR="0">
            <wp:extent cx="5488615" cy="3508744"/>
            <wp:effectExtent l="19050" t="0" r="0" b="0"/>
            <wp:docPr id="294" name="图片 263"/>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7" cstate="print"/>
                    <a:stretch>
                      <a:fillRect/>
                    </a:stretch>
                  </pic:blipFill>
                  <pic:spPr>
                    <a:xfrm>
                      <a:off x="0" y="0"/>
                      <a:ext cx="5486400" cy="3507328"/>
                    </a:xfrm>
                    <a:prstGeom prst="rect">
                      <a:avLst/>
                    </a:prstGeom>
                  </pic:spPr>
                </pic:pic>
              </a:graphicData>
            </a:graphic>
          </wp:inline>
        </w:drawing>
      </w:r>
    </w:p>
    <w:p w:rsidR="00AF0F6D" w:rsidRDefault="00AF0F6D" w:rsidP="00AF0F6D">
      <w:pPr>
        <w:jc w:val="center"/>
      </w:pPr>
      <w:r>
        <w:rPr>
          <w:rFonts w:hint="eastAsia"/>
        </w:rPr>
        <w:t>图</w:t>
      </w:r>
      <w:r>
        <w:rPr>
          <w:rFonts w:hint="eastAsia"/>
        </w:rPr>
        <w:t>3-6</w:t>
      </w:r>
      <w:r>
        <w:rPr>
          <w:rFonts w:hint="eastAsia"/>
        </w:rPr>
        <w:t>：</w:t>
      </w:r>
      <w:r>
        <w:rPr>
          <w:rFonts w:hint="eastAsia"/>
        </w:rPr>
        <w:t>2009-2014</w:t>
      </w:r>
      <w:r>
        <w:rPr>
          <w:rFonts w:hint="eastAsia"/>
        </w:rPr>
        <w:t>年中国铁矿石表观消费量</w:t>
      </w:r>
    </w:p>
    <w:p w:rsidR="00AF0F6D" w:rsidRDefault="00AF0F6D" w:rsidP="00AF0F6D">
      <w:pPr>
        <w:jc w:val="center"/>
        <w:rPr>
          <w:rFonts w:hint="eastAsia"/>
        </w:rPr>
      </w:pPr>
      <w:r w:rsidRPr="0053230A">
        <w:rPr>
          <w:rFonts w:hint="eastAsia"/>
        </w:rPr>
        <w:t>资料来源：</w:t>
      </w:r>
      <w:r>
        <w:rPr>
          <w:rFonts w:hint="eastAsia"/>
        </w:rPr>
        <w:t>win</w:t>
      </w:r>
      <w:r>
        <w:t>d</w:t>
      </w:r>
      <w:r>
        <w:rPr>
          <w:rFonts w:hint="eastAsia"/>
        </w:rPr>
        <w:t>、</w:t>
      </w:r>
      <w:r w:rsidRPr="0053230A">
        <w:rPr>
          <w:rFonts w:hint="eastAsia"/>
        </w:rPr>
        <w:t>方正</w:t>
      </w:r>
      <w:r>
        <w:rPr>
          <w:rFonts w:hint="eastAsia"/>
        </w:rPr>
        <w:t>中期</w:t>
      </w:r>
      <w:r w:rsidRPr="0053230A">
        <w:rPr>
          <w:rFonts w:hint="eastAsia"/>
        </w:rPr>
        <w:t>研究</w:t>
      </w:r>
      <w:r>
        <w:rPr>
          <w:rFonts w:hint="eastAsia"/>
        </w:rPr>
        <w:t>院整理</w:t>
      </w:r>
    </w:p>
    <w:p w:rsidR="005B13B1" w:rsidRDefault="005B13B1" w:rsidP="00AF0F6D">
      <w:pPr>
        <w:jc w:val="center"/>
        <w:rPr>
          <w:rStyle w:val="a5"/>
          <w:rFonts w:hint="eastAsia"/>
          <w:b w:val="0"/>
          <w:i/>
          <w:color w:val="796A4F"/>
          <w:sz w:val="21"/>
          <w:szCs w:val="21"/>
        </w:rPr>
      </w:pPr>
      <w:r w:rsidRPr="005B13B1">
        <w:rPr>
          <w:rStyle w:val="a5"/>
          <w:b w:val="0"/>
          <w:i/>
          <w:color w:val="796A4F"/>
          <w:sz w:val="21"/>
          <w:szCs w:val="21"/>
        </w:rPr>
        <w:drawing>
          <wp:inline distT="0" distB="0" distL="0" distR="0">
            <wp:extent cx="5486400" cy="3298190"/>
            <wp:effectExtent l="19050" t="0" r="0" b="0"/>
            <wp:docPr id="296" name="图片 267"/>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68" cstate="print"/>
                    <a:stretch>
                      <a:fillRect/>
                    </a:stretch>
                  </pic:blipFill>
                  <pic:spPr>
                    <a:xfrm>
                      <a:off x="0" y="0"/>
                      <a:ext cx="5486400" cy="3298190"/>
                    </a:xfrm>
                    <a:prstGeom prst="rect">
                      <a:avLst/>
                    </a:prstGeom>
                  </pic:spPr>
                </pic:pic>
              </a:graphicData>
            </a:graphic>
          </wp:inline>
        </w:drawing>
      </w:r>
    </w:p>
    <w:p w:rsidR="005B13B1" w:rsidRDefault="005B13B1" w:rsidP="005B13B1">
      <w:pPr>
        <w:jc w:val="center"/>
      </w:pPr>
      <w:r>
        <w:rPr>
          <w:rFonts w:hint="eastAsia"/>
        </w:rPr>
        <w:t>图</w:t>
      </w:r>
      <w:r>
        <w:rPr>
          <w:rFonts w:hint="eastAsia"/>
        </w:rPr>
        <w:t>3-7</w:t>
      </w:r>
      <w:r>
        <w:rPr>
          <w:rFonts w:hint="eastAsia"/>
        </w:rPr>
        <w:t>：</w:t>
      </w:r>
      <w:r>
        <w:rPr>
          <w:rFonts w:hint="eastAsia"/>
        </w:rPr>
        <w:t>2012-2014</w:t>
      </w:r>
      <w:r>
        <w:rPr>
          <w:rFonts w:hint="eastAsia"/>
        </w:rPr>
        <w:t>年中国铁矿石产量</w:t>
      </w:r>
    </w:p>
    <w:p w:rsidR="005B13B1" w:rsidRPr="0053230A" w:rsidRDefault="005B13B1" w:rsidP="005B13B1">
      <w:pPr>
        <w:jc w:val="center"/>
        <w:rPr>
          <w:rStyle w:val="a5"/>
          <w:b w:val="0"/>
          <w:i/>
          <w:color w:val="796A4F"/>
          <w:sz w:val="21"/>
          <w:szCs w:val="21"/>
        </w:rPr>
      </w:pPr>
      <w:r w:rsidRPr="0053230A">
        <w:rPr>
          <w:rFonts w:hint="eastAsia"/>
        </w:rPr>
        <w:t>资料来源：</w:t>
      </w:r>
      <w:r>
        <w:rPr>
          <w:rFonts w:hint="eastAsia"/>
        </w:rPr>
        <w:t>win</w:t>
      </w:r>
      <w:r>
        <w:t>d</w:t>
      </w:r>
      <w:r>
        <w:rPr>
          <w:rFonts w:hint="eastAsia"/>
        </w:rPr>
        <w:t>、</w:t>
      </w:r>
      <w:r w:rsidRPr="0053230A">
        <w:rPr>
          <w:rFonts w:hint="eastAsia"/>
        </w:rPr>
        <w:t>方正</w:t>
      </w:r>
      <w:r>
        <w:rPr>
          <w:rFonts w:hint="eastAsia"/>
        </w:rPr>
        <w:t>中期</w:t>
      </w:r>
      <w:r w:rsidRPr="0053230A">
        <w:rPr>
          <w:rFonts w:hint="eastAsia"/>
        </w:rPr>
        <w:t>研究</w:t>
      </w:r>
      <w:r>
        <w:rPr>
          <w:rFonts w:hint="eastAsia"/>
        </w:rPr>
        <w:t>院整理</w:t>
      </w:r>
    </w:p>
    <w:p w:rsidR="005B13B1" w:rsidRPr="005B13B1" w:rsidRDefault="005B13B1" w:rsidP="00AF0F6D">
      <w:pPr>
        <w:jc w:val="center"/>
        <w:rPr>
          <w:rStyle w:val="a5"/>
          <w:b w:val="0"/>
          <w:i/>
          <w:color w:val="796A4F"/>
          <w:sz w:val="21"/>
          <w:szCs w:val="21"/>
        </w:rPr>
      </w:pPr>
    </w:p>
    <w:p w:rsidR="00AF0F6D" w:rsidRDefault="00AF0F6D" w:rsidP="00AF0F6D">
      <w:pPr>
        <w:ind w:firstLineChars="200" w:firstLine="420"/>
        <w:rPr>
          <w:rFonts w:ascii="宋体" w:hAnsi="宋体" w:hint="eastAsia"/>
          <w:color w:val="796A4F"/>
          <w:sz w:val="21"/>
          <w:szCs w:val="21"/>
        </w:rPr>
      </w:pPr>
      <w:r w:rsidRPr="00AF0F6D">
        <w:rPr>
          <w:rFonts w:ascii="宋体" w:hAnsi="宋体"/>
          <w:color w:val="796A4F"/>
          <w:sz w:val="21"/>
          <w:szCs w:val="21"/>
        </w:rPr>
        <w:drawing>
          <wp:inline distT="0" distB="0" distL="0" distR="0">
            <wp:extent cx="5467350" cy="3444949"/>
            <wp:effectExtent l="19050" t="0" r="0" b="0"/>
            <wp:docPr id="295" name="图片 266"/>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9" cstate="print"/>
                    <a:stretch>
                      <a:fillRect/>
                    </a:stretch>
                  </pic:blipFill>
                  <pic:spPr>
                    <a:xfrm>
                      <a:off x="0" y="0"/>
                      <a:ext cx="5470423" cy="3446886"/>
                    </a:xfrm>
                    <a:prstGeom prst="rect">
                      <a:avLst/>
                    </a:prstGeom>
                  </pic:spPr>
                </pic:pic>
              </a:graphicData>
            </a:graphic>
          </wp:inline>
        </w:drawing>
      </w:r>
    </w:p>
    <w:p w:rsidR="00AF0F6D" w:rsidRDefault="00AF0F6D" w:rsidP="00AF0F6D">
      <w:pPr>
        <w:jc w:val="center"/>
      </w:pPr>
      <w:r>
        <w:rPr>
          <w:rFonts w:hint="eastAsia"/>
        </w:rPr>
        <w:t>图</w:t>
      </w:r>
      <w:r>
        <w:rPr>
          <w:rFonts w:hint="eastAsia"/>
        </w:rPr>
        <w:t>3-</w:t>
      </w:r>
      <w:r w:rsidR="005B13B1">
        <w:rPr>
          <w:rFonts w:hint="eastAsia"/>
        </w:rPr>
        <w:t>8</w:t>
      </w:r>
      <w:r>
        <w:rPr>
          <w:rFonts w:hint="eastAsia"/>
        </w:rPr>
        <w:t>：</w:t>
      </w:r>
      <w:r>
        <w:rPr>
          <w:rFonts w:hint="eastAsia"/>
        </w:rPr>
        <w:t>2012-2014</w:t>
      </w:r>
      <w:r>
        <w:rPr>
          <w:rFonts w:hint="eastAsia"/>
        </w:rPr>
        <w:t>年四大矿山铁矿石产量</w:t>
      </w:r>
    </w:p>
    <w:p w:rsidR="00AF0F6D" w:rsidRPr="0053230A" w:rsidRDefault="00AF0F6D" w:rsidP="00AF0F6D">
      <w:pPr>
        <w:jc w:val="center"/>
        <w:rPr>
          <w:rStyle w:val="a5"/>
          <w:b w:val="0"/>
          <w:i/>
          <w:color w:val="796A4F"/>
          <w:sz w:val="21"/>
          <w:szCs w:val="21"/>
        </w:rPr>
      </w:pPr>
      <w:r w:rsidRPr="0053230A">
        <w:rPr>
          <w:rFonts w:hint="eastAsia"/>
        </w:rPr>
        <w:t>资料来源：</w:t>
      </w:r>
      <w:r>
        <w:rPr>
          <w:rFonts w:hint="eastAsia"/>
        </w:rPr>
        <w:t>win</w:t>
      </w:r>
      <w:r>
        <w:t>d</w:t>
      </w:r>
      <w:r>
        <w:rPr>
          <w:rFonts w:hint="eastAsia"/>
        </w:rPr>
        <w:t>、</w:t>
      </w:r>
      <w:r w:rsidRPr="0053230A">
        <w:rPr>
          <w:rFonts w:hint="eastAsia"/>
        </w:rPr>
        <w:t>方正</w:t>
      </w:r>
      <w:r>
        <w:rPr>
          <w:rFonts w:hint="eastAsia"/>
        </w:rPr>
        <w:t>中期</w:t>
      </w:r>
      <w:r w:rsidRPr="0053230A">
        <w:rPr>
          <w:rFonts w:hint="eastAsia"/>
        </w:rPr>
        <w:t>研究</w:t>
      </w:r>
      <w:r>
        <w:rPr>
          <w:rFonts w:hint="eastAsia"/>
        </w:rPr>
        <w:t>院整理</w:t>
      </w:r>
    </w:p>
    <w:p w:rsidR="00AF0F6D" w:rsidRDefault="00AF0F6D" w:rsidP="00AF0F6D">
      <w:pPr>
        <w:ind w:firstLineChars="200" w:firstLine="420"/>
        <w:rPr>
          <w:rFonts w:ascii="宋体" w:hAnsi="宋体" w:hint="eastAsia"/>
          <w:color w:val="796A4F"/>
          <w:sz w:val="21"/>
          <w:szCs w:val="21"/>
        </w:rPr>
      </w:pPr>
      <w:r>
        <w:rPr>
          <w:rFonts w:ascii="宋体" w:hAnsi="宋体" w:hint="eastAsia"/>
          <w:color w:val="796A4F"/>
          <w:sz w:val="21"/>
          <w:szCs w:val="21"/>
        </w:rPr>
        <w:t>9月份</w:t>
      </w:r>
      <w:r w:rsidRPr="00F434DB">
        <w:rPr>
          <w:rFonts w:ascii="宋体" w:hAnsi="宋体" w:hint="eastAsia"/>
          <w:color w:val="796A4F"/>
          <w:sz w:val="21"/>
          <w:szCs w:val="21"/>
        </w:rPr>
        <w:t>全国铁矿石</w:t>
      </w:r>
      <w:r>
        <w:rPr>
          <w:rFonts w:ascii="宋体" w:hAnsi="宋体" w:hint="eastAsia"/>
          <w:color w:val="796A4F"/>
          <w:sz w:val="21"/>
          <w:szCs w:val="21"/>
        </w:rPr>
        <w:t>月度表观消费量继续下行，</w:t>
      </w:r>
      <w:r w:rsidR="005B13B1">
        <w:rPr>
          <w:rFonts w:ascii="宋体" w:hAnsi="宋体" w:hint="eastAsia"/>
          <w:color w:val="796A4F"/>
          <w:sz w:val="21"/>
          <w:szCs w:val="21"/>
        </w:rPr>
        <w:t>国内铁矿石产品却出现上升，达到1.37亿吨。而国际四大铁矿石厂商第三季度产量继续保持上升势头，其中巴西淡水河谷、澳大利亚力拓和必</w:t>
      </w:r>
      <w:proofErr w:type="gramStart"/>
      <w:r w:rsidR="005B13B1">
        <w:rPr>
          <w:rFonts w:ascii="宋体" w:hAnsi="宋体" w:hint="eastAsia"/>
          <w:color w:val="796A4F"/>
          <w:sz w:val="21"/>
          <w:szCs w:val="21"/>
        </w:rPr>
        <w:t>和必拓增产</w:t>
      </w:r>
      <w:proofErr w:type="gramEnd"/>
      <w:r w:rsidR="005B13B1">
        <w:rPr>
          <w:rFonts w:ascii="宋体" w:hAnsi="宋体" w:hint="eastAsia"/>
          <w:color w:val="796A4F"/>
          <w:sz w:val="21"/>
          <w:szCs w:val="21"/>
        </w:rPr>
        <w:t>较为明显。铁矿石国内外产量均保持增长势头，而国内铁矿石消费量连续下滑，铁矿石现货价格和期货价格均将继续创新低。</w:t>
      </w:r>
    </w:p>
    <w:p w:rsidR="00F434DB" w:rsidRPr="004D032F" w:rsidRDefault="00F434DB" w:rsidP="004D032F">
      <w:pPr>
        <w:ind w:firstLineChars="200" w:firstLine="420"/>
        <w:rPr>
          <w:rFonts w:ascii="宋体" w:hAnsi="宋体"/>
          <w:color w:val="796A4F"/>
          <w:sz w:val="21"/>
          <w:szCs w:val="21"/>
        </w:rPr>
      </w:pPr>
    </w:p>
    <w:p w:rsidR="00800678" w:rsidRPr="00800678" w:rsidRDefault="00DB1801" w:rsidP="00800678">
      <w:pPr>
        <w:pStyle w:val="3"/>
        <w:rPr>
          <w:color w:val="000000" w:themeColor="text1"/>
          <w:sz w:val="21"/>
          <w:szCs w:val="21"/>
        </w:rPr>
      </w:pPr>
      <w:r>
        <w:rPr>
          <w:rFonts w:hint="eastAsia"/>
          <w:color w:val="000000" w:themeColor="text1"/>
          <w:sz w:val="21"/>
          <w:szCs w:val="21"/>
        </w:rPr>
        <w:t>四</w:t>
      </w:r>
      <w:r w:rsidR="00800678">
        <w:rPr>
          <w:rFonts w:hint="eastAsia"/>
          <w:color w:val="000000" w:themeColor="text1"/>
          <w:sz w:val="21"/>
          <w:szCs w:val="21"/>
        </w:rPr>
        <w:t>、</w:t>
      </w:r>
      <w:r w:rsidR="00800678" w:rsidRPr="00800678">
        <w:rPr>
          <w:rFonts w:hint="eastAsia"/>
          <w:color w:val="000000" w:themeColor="text1"/>
          <w:sz w:val="21"/>
          <w:szCs w:val="21"/>
        </w:rPr>
        <w:t>钢材产量</w:t>
      </w:r>
      <w:r w:rsidR="00E711F4">
        <w:rPr>
          <w:rFonts w:hint="eastAsia"/>
          <w:color w:val="000000" w:themeColor="text1"/>
          <w:sz w:val="21"/>
          <w:szCs w:val="21"/>
        </w:rPr>
        <w:t>上升</w:t>
      </w:r>
      <w:r w:rsidR="00800678" w:rsidRPr="00800678">
        <w:rPr>
          <w:rFonts w:hint="eastAsia"/>
          <w:color w:val="000000" w:themeColor="text1"/>
          <w:sz w:val="21"/>
          <w:szCs w:val="21"/>
        </w:rPr>
        <w:t>库存</w:t>
      </w:r>
      <w:r w:rsidR="00E711F4">
        <w:rPr>
          <w:rFonts w:hint="eastAsia"/>
          <w:color w:val="000000" w:themeColor="text1"/>
          <w:sz w:val="21"/>
          <w:szCs w:val="21"/>
        </w:rPr>
        <w:t>大幅下降</w:t>
      </w:r>
    </w:p>
    <w:p w:rsidR="00AE039B" w:rsidRDefault="00AE039B" w:rsidP="00800678">
      <w:pPr>
        <w:spacing w:after="0"/>
        <w:rPr>
          <w:rFonts w:ascii="宋体" w:hAnsi="宋体" w:hint="eastAsia"/>
          <w:color w:val="796A4F"/>
          <w:sz w:val="21"/>
          <w:szCs w:val="21"/>
        </w:rPr>
      </w:pPr>
    </w:p>
    <w:p w:rsidR="00AE039B" w:rsidRPr="00756DF9" w:rsidRDefault="00AE039B" w:rsidP="00AE039B">
      <w:pPr>
        <w:pStyle w:val="ad"/>
        <w:spacing w:beforeLines="50" w:after="50"/>
        <w:ind w:firstLineChars="200" w:firstLine="420"/>
        <w:jc w:val="both"/>
        <w:rPr>
          <w:rFonts w:ascii="新宋体" w:eastAsia="新宋体" w:hAnsi="新宋体" w:hint="eastAsia"/>
          <w:color w:val="796A4F"/>
          <w:sz w:val="21"/>
          <w:szCs w:val="21"/>
        </w:rPr>
      </w:pPr>
      <w:r w:rsidRPr="00A161D1">
        <w:rPr>
          <w:rFonts w:ascii="新宋体" w:eastAsia="新宋体" w:hAnsi="新宋体" w:hint="eastAsia"/>
          <w:color w:val="796A4F"/>
          <w:sz w:val="21"/>
          <w:szCs w:val="21"/>
        </w:rPr>
        <w:t>2014年9月，全球65个纳入国际钢铁协会统计的国家的粗钢总产量达到1.34亿吨，同比略降0.1%。2014年9月，中国粗钢产量为6750万吨，同比持平。在亚洲其他国家中，日本2014年9月粗钢产量为920万吨，同比下降0.5%。印度9月粗钢产量为680万吨，同比增长2.5%。韩国9月份粗钢产量为570万吨，同比提高10.1%。</w:t>
      </w:r>
    </w:p>
    <w:p w:rsidR="00AE039B" w:rsidRDefault="002F0C7F" w:rsidP="002F0C7F">
      <w:pPr>
        <w:jc w:val="center"/>
        <w:rPr>
          <w:rFonts w:hint="eastAsia"/>
          <w:noProof/>
        </w:rPr>
      </w:pPr>
      <w:r w:rsidRPr="002F0C7F">
        <w:rPr>
          <w:noProof/>
        </w:rPr>
        <w:lastRenderedPageBreak/>
        <w:drawing>
          <wp:inline distT="0" distB="0" distL="0" distR="0">
            <wp:extent cx="5159006" cy="3455582"/>
            <wp:effectExtent l="19050" t="0" r="3544" b="0"/>
            <wp:docPr id="292" name="图片 265"/>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70" cstate="print"/>
                    <a:stretch>
                      <a:fillRect/>
                    </a:stretch>
                  </pic:blipFill>
                  <pic:spPr>
                    <a:xfrm>
                      <a:off x="0" y="0"/>
                      <a:ext cx="5164174" cy="3459044"/>
                    </a:xfrm>
                    <a:prstGeom prst="rect">
                      <a:avLst/>
                    </a:prstGeom>
                  </pic:spPr>
                </pic:pic>
              </a:graphicData>
            </a:graphic>
          </wp:inline>
        </w:drawing>
      </w:r>
    </w:p>
    <w:p w:rsidR="00665CBE" w:rsidRPr="00DB1801" w:rsidRDefault="00665CBE" w:rsidP="00DB1801">
      <w:pPr>
        <w:jc w:val="center"/>
        <w:rPr>
          <w:rFonts w:ascii="宋体" w:hAnsi="宋体" w:hint="eastAsia"/>
          <w:b/>
          <w:color w:val="796A4F"/>
          <w:sz w:val="21"/>
          <w:szCs w:val="21"/>
        </w:rPr>
      </w:pPr>
      <w:r w:rsidRPr="00DB1801">
        <w:rPr>
          <w:rFonts w:ascii="宋体" w:hAnsi="宋体" w:hint="eastAsia"/>
          <w:b/>
          <w:color w:val="796A4F"/>
          <w:sz w:val="21"/>
          <w:szCs w:val="21"/>
        </w:rPr>
        <w:t>图3-</w:t>
      </w:r>
      <w:r w:rsidR="005B13B1">
        <w:rPr>
          <w:rFonts w:ascii="宋体" w:hAnsi="宋体" w:hint="eastAsia"/>
          <w:b/>
          <w:color w:val="796A4F"/>
          <w:sz w:val="21"/>
          <w:szCs w:val="21"/>
        </w:rPr>
        <w:t>9</w:t>
      </w:r>
      <w:r w:rsidRPr="00DB1801">
        <w:rPr>
          <w:rFonts w:ascii="宋体" w:hAnsi="宋体" w:hint="eastAsia"/>
          <w:b/>
          <w:color w:val="796A4F"/>
          <w:sz w:val="21"/>
          <w:szCs w:val="21"/>
        </w:rPr>
        <w:t>：中国</w:t>
      </w:r>
      <w:proofErr w:type="gramStart"/>
      <w:r w:rsidRPr="00DB1801">
        <w:rPr>
          <w:rFonts w:ascii="宋体" w:hAnsi="宋体" w:hint="eastAsia"/>
          <w:b/>
          <w:color w:val="796A4F"/>
          <w:sz w:val="21"/>
          <w:szCs w:val="21"/>
        </w:rPr>
        <w:t>粗钢日均</w:t>
      </w:r>
      <w:proofErr w:type="gramEnd"/>
      <w:r w:rsidRPr="00DB1801">
        <w:rPr>
          <w:rFonts w:ascii="宋体" w:hAnsi="宋体" w:hint="eastAsia"/>
          <w:b/>
          <w:color w:val="796A4F"/>
          <w:sz w:val="21"/>
          <w:szCs w:val="21"/>
        </w:rPr>
        <w:t>产量</w:t>
      </w:r>
    </w:p>
    <w:p w:rsidR="00AE039B" w:rsidRPr="00DB1801" w:rsidRDefault="00AE039B" w:rsidP="00DB1801">
      <w:pPr>
        <w:jc w:val="center"/>
        <w:rPr>
          <w:rFonts w:ascii="宋体" w:hAnsi="宋体" w:hint="eastAsia"/>
          <w:b/>
          <w:color w:val="796A4F"/>
          <w:sz w:val="21"/>
          <w:szCs w:val="21"/>
        </w:rPr>
      </w:pPr>
      <w:r w:rsidRPr="00DB1801">
        <w:rPr>
          <w:rFonts w:ascii="宋体" w:hAnsi="宋体" w:hint="eastAsia"/>
          <w:b/>
          <w:color w:val="796A4F"/>
          <w:sz w:val="21"/>
          <w:szCs w:val="21"/>
        </w:rPr>
        <w:t>资料来源：wind、方正中期研究院</w:t>
      </w:r>
    </w:p>
    <w:p w:rsidR="00665CBE" w:rsidRDefault="00665CBE" w:rsidP="002F0C7F">
      <w:pPr>
        <w:pStyle w:val="ad"/>
        <w:spacing w:beforeLines="50" w:beforeAutospacing="0" w:after="50" w:afterAutospacing="0" w:line="276" w:lineRule="auto"/>
        <w:jc w:val="center"/>
        <w:rPr>
          <w:rFonts w:hint="eastAsia"/>
          <w:bCs/>
          <w:i/>
          <w:color w:val="796A4F"/>
          <w:sz w:val="21"/>
          <w:szCs w:val="21"/>
        </w:rPr>
      </w:pPr>
      <w:r w:rsidRPr="00665CBE">
        <w:rPr>
          <w:bCs/>
          <w:i/>
          <w:color w:val="796A4F"/>
          <w:sz w:val="21"/>
          <w:szCs w:val="21"/>
        </w:rPr>
        <w:drawing>
          <wp:inline distT="0" distB="0" distL="0" distR="0">
            <wp:extent cx="5234940" cy="3467100"/>
            <wp:effectExtent l="19050" t="0" r="3810" b="0"/>
            <wp:docPr id="289" name="图片 262"/>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71" cstate="print"/>
                    <a:stretch>
                      <a:fillRect/>
                    </a:stretch>
                  </pic:blipFill>
                  <pic:spPr>
                    <a:xfrm>
                      <a:off x="0" y="0"/>
                      <a:ext cx="5234940" cy="3467100"/>
                    </a:xfrm>
                    <a:prstGeom prst="rect">
                      <a:avLst/>
                    </a:prstGeom>
                  </pic:spPr>
                </pic:pic>
              </a:graphicData>
            </a:graphic>
          </wp:inline>
        </w:drawing>
      </w:r>
    </w:p>
    <w:p w:rsidR="00665CBE" w:rsidRPr="00DB1801" w:rsidRDefault="00665CBE" w:rsidP="00DB1801">
      <w:pPr>
        <w:jc w:val="center"/>
        <w:rPr>
          <w:rFonts w:ascii="宋体" w:hAnsi="宋体" w:hint="eastAsia"/>
          <w:b/>
          <w:color w:val="796A4F"/>
          <w:sz w:val="21"/>
          <w:szCs w:val="21"/>
        </w:rPr>
      </w:pPr>
      <w:r w:rsidRPr="00DB1801">
        <w:rPr>
          <w:rFonts w:ascii="宋体" w:hAnsi="宋体" w:hint="eastAsia"/>
          <w:b/>
          <w:color w:val="796A4F"/>
          <w:sz w:val="21"/>
          <w:szCs w:val="21"/>
        </w:rPr>
        <w:t>图3-</w:t>
      </w:r>
      <w:r w:rsidR="005B13B1">
        <w:rPr>
          <w:rFonts w:ascii="宋体" w:hAnsi="宋体" w:hint="eastAsia"/>
          <w:b/>
          <w:color w:val="796A4F"/>
          <w:sz w:val="21"/>
          <w:szCs w:val="21"/>
        </w:rPr>
        <w:t>10</w:t>
      </w:r>
      <w:r w:rsidRPr="00DB1801">
        <w:rPr>
          <w:rFonts w:ascii="宋体" w:hAnsi="宋体" w:hint="eastAsia"/>
          <w:b/>
          <w:color w:val="796A4F"/>
          <w:sz w:val="21"/>
          <w:szCs w:val="21"/>
        </w:rPr>
        <w:t>：中国粗钢月产量</w:t>
      </w:r>
    </w:p>
    <w:p w:rsidR="00665CBE" w:rsidRPr="00DB1801" w:rsidRDefault="00665CBE" w:rsidP="00DB1801">
      <w:pPr>
        <w:jc w:val="center"/>
        <w:rPr>
          <w:rFonts w:ascii="宋体" w:hAnsi="宋体" w:hint="eastAsia"/>
          <w:b/>
          <w:color w:val="796A4F"/>
          <w:sz w:val="21"/>
          <w:szCs w:val="21"/>
        </w:rPr>
      </w:pPr>
      <w:r w:rsidRPr="00DB1801">
        <w:rPr>
          <w:rFonts w:ascii="宋体" w:hAnsi="宋体" w:hint="eastAsia"/>
          <w:b/>
          <w:color w:val="796A4F"/>
          <w:sz w:val="21"/>
          <w:szCs w:val="21"/>
        </w:rPr>
        <w:lastRenderedPageBreak/>
        <w:t>资料来源：wind、方正中期研究院</w:t>
      </w:r>
    </w:p>
    <w:p w:rsidR="00AE039B" w:rsidRPr="00942503" w:rsidRDefault="00AE039B" w:rsidP="00AE039B">
      <w:pPr>
        <w:pStyle w:val="ad"/>
        <w:spacing w:beforeLines="50" w:after="50"/>
        <w:ind w:firstLineChars="200" w:firstLine="420"/>
        <w:rPr>
          <w:rFonts w:ascii="新宋体" w:eastAsia="新宋体" w:hAnsi="新宋体" w:hint="eastAsia"/>
          <w:color w:val="796A4F"/>
          <w:sz w:val="21"/>
          <w:szCs w:val="21"/>
        </w:rPr>
      </w:pPr>
      <w:r w:rsidRPr="00942503">
        <w:rPr>
          <w:rFonts w:ascii="新宋体" w:eastAsia="新宋体" w:hAnsi="新宋体" w:hint="eastAsia"/>
          <w:color w:val="796A4F"/>
          <w:sz w:val="21"/>
          <w:szCs w:val="21"/>
        </w:rPr>
        <w:t>国家统计局最新数据显示，</w:t>
      </w:r>
      <w:r w:rsidRPr="00A161D1">
        <w:rPr>
          <w:rFonts w:ascii="新宋体" w:eastAsia="新宋体" w:hAnsi="新宋体" w:hint="eastAsia"/>
          <w:color w:val="796A4F"/>
          <w:sz w:val="21"/>
          <w:szCs w:val="21"/>
        </w:rPr>
        <w:t>2014年9月我国粗钢产量6754万吨，较上年同期维持不变；1-9月我国粗钢产量61800万吨，同比增长2.3%。</w:t>
      </w:r>
      <w:r w:rsidRPr="00326456">
        <w:rPr>
          <w:rFonts w:ascii="新宋体" w:eastAsia="新宋体" w:hAnsi="新宋体" w:hint="eastAsia"/>
          <w:color w:val="796A4F"/>
          <w:sz w:val="21"/>
          <w:szCs w:val="21"/>
        </w:rPr>
        <w:t>9月我国生铁产量5889万吨，同比下降0.5%；1-9月我国生铁产量54237万吨，同比增长0.4%。</w:t>
      </w:r>
    </w:p>
    <w:p w:rsidR="00AE039B" w:rsidRDefault="00AE039B" w:rsidP="00AE039B">
      <w:pPr>
        <w:pStyle w:val="ad"/>
        <w:spacing w:beforeLines="50" w:after="50"/>
        <w:ind w:firstLineChars="200" w:firstLine="420"/>
        <w:rPr>
          <w:rFonts w:ascii="新宋体" w:eastAsia="新宋体" w:hAnsi="新宋体"/>
          <w:color w:val="796A4F"/>
          <w:sz w:val="21"/>
          <w:szCs w:val="21"/>
        </w:rPr>
      </w:pPr>
      <w:r w:rsidRPr="00326456">
        <w:rPr>
          <w:rFonts w:ascii="新宋体" w:eastAsia="新宋体" w:hAnsi="新宋体" w:hint="eastAsia"/>
          <w:color w:val="796A4F"/>
          <w:sz w:val="21"/>
          <w:szCs w:val="21"/>
        </w:rPr>
        <w:t>9月全国</w:t>
      </w:r>
      <w:proofErr w:type="gramStart"/>
      <w:r w:rsidRPr="00326456">
        <w:rPr>
          <w:rFonts w:ascii="新宋体" w:eastAsia="新宋体" w:hAnsi="新宋体" w:hint="eastAsia"/>
          <w:color w:val="796A4F"/>
          <w:sz w:val="21"/>
          <w:szCs w:val="21"/>
        </w:rPr>
        <w:t>粗钢日均</w:t>
      </w:r>
      <w:proofErr w:type="gramEnd"/>
      <w:r w:rsidRPr="00326456">
        <w:rPr>
          <w:rFonts w:ascii="新宋体" w:eastAsia="新宋体" w:hAnsi="新宋体" w:hint="eastAsia"/>
          <w:color w:val="796A4F"/>
          <w:sz w:val="21"/>
          <w:szCs w:val="21"/>
        </w:rPr>
        <w:t>产量225.13万吨，环比略增1.3%；钢材日均产量319.17万吨，环比增长4.2%，创下历史次高水平。</w:t>
      </w:r>
      <w:r w:rsidR="003B3B99">
        <w:rPr>
          <w:rFonts w:ascii="新宋体" w:eastAsia="新宋体" w:hAnsi="新宋体" w:hint="eastAsia"/>
          <w:color w:val="796A4F"/>
          <w:sz w:val="21"/>
          <w:szCs w:val="21"/>
        </w:rPr>
        <w:t>因APEC会议，中央对主要地区进行限产与停产举措，保证空气质量改善。</w:t>
      </w:r>
      <w:r w:rsidRPr="00FA509F">
        <w:rPr>
          <w:rFonts w:ascii="新宋体" w:eastAsia="新宋体" w:hAnsi="新宋体" w:hint="eastAsia"/>
          <w:color w:val="796A4F"/>
          <w:sz w:val="21"/>
          <w:szCs w:val="21"/>
        </w:rPr>
        <w:t>本次涉及国内80家生产企业共217条螺纹钢生产线，正常月产能为1435.1万吨。11月份螺纹钢计划产量1187.1万吨，达产率为82.7%，日均产量在39.6万吨；10月份实际产量为1180.2万吨，达产率为79.6%，日均产量为38.1万吨；环比10月份达产率上升3.1%，日均产量上升1.5万吨。11月份因检修或减产影响的产量为248.0万吨。</w:t>
      </w:r>
      <w:r>
        <w:rPr>
          <w:rFonts w:ascii="新宋体" w:eastAsia="新宋体" w:hAnsi="新宋体" w:hint="eastAsia"/>
          <w:color w:val="796A4F"/>
          <w:sz w:val="21"/>
          <w:szCs w:val="21"/>
        </w:rPr>
        <w:t>因为APEC会议影响，1</w:t>
      </w:r>
      <w:r>
        <w:rPr>
          <w:rFonts w:ascii="新宋体" w:eastAsia="新宋体" w:hAnsi="新宋体"/>
          <w:color w:val="796A4F"/>
          <w:sz w:val="21"/>
          <w:szCs w:val="21"/>
        </w:rPr>
        <w:t>1月产量较往常稍小</w:t>
      </w:r>
      <w:r>
        <w:rPr>
          <w:rFonts w:ascii="新宋体" w:eastAsia="新宋体" w:hAnsi="新宋体" w:hint="eastAsia"/>
          <w:color w:val="796A4F"/>
          <w:sz w:val="21"/>
          <w:szCs w:val="21"/>
        </w:rPr>
        <w:t>，</w:t>
      </w:r>
      <w:r>
        <w:rPr>
          <w:rFonts w:ascii="新宋体" w:eastAsia="新宋体" w:hAnsi="新宋体"/>
          <w:color w:val="796A4F"/>
          <w:sz w:val="21"/>
          <w:szCs w:val="21"/>
        </w:rPr>
        <w:t>但</w:t>
      </w:r>
      <w:r>
        <w:rPr>
          <w:rFonts w:ascii="新宋体" w:eastAsia="新宋体" w:hAnsi="新宋体" w:hint="eastAsia"/>
          <w:color w:val="796A4F"/>
          <w:sz w:val="21"/>
          <w:szCs w:val="21"/>
        </w:rPr>
        <w:t>11月出口接单量下降0.8%。截至到10月31日，全国钢厂盈利覆盖面为63.8%，行业减产动力不强。</w:t>
      </w:r>
    </w:p>
    <w:p w:rsidR="00AE039B" w:rsidRPr="00D17C57" w:rsidRDefault="00AE039B" w:rsidP="00AE039B">
      <w:pPr>
        <w:pStyle w:val="ad"/>
        <w:spacing w:beforeLines="50" w:after="50"/>
        <w:ind w:firstLineChars="200" w:firstLine="420"/>
        <w:rPr>
          <w:rFonts w:ascii="新宋体" w:eastAsia="新宋体" w:hAnsi="新宋体" w:hint="eastAsia"/>
          <w:color w:val="796A4F"/>
          <w:sz w:val="21"/>
          <w:szCs w:val="21"/>
        </w:rPr>
      </w:pPr>
      <w:r w:rsidRPr="00942503">
        <w:rPr>
          <w:rFonts w:ascii="新宋体" w:eastAsia="新宋体" w:hAnsi="新宋体" w:hint="eastAsia"/>
          <w:color w:val="796A4F"/>
          <w:sz w:val="21"/>
          <w:szCs w:val="21"/>
        </w:rPr>
        <w:t>由于过去几年投资在钢铁行业的累积效果，使得产能增加的态势很难改变，</w:t>
      </w:r>
      <w:proofErr w:type="gramStart"/>
      <w:r w:rsidRPr="00942503">
        <w:rPr>
          <w:rFonts w:ascii="新宋体" w:eastAsia="新宋体" w:hAnsi="新宋体" w:hint="eastAsia"/>
          <w:color w:val="796A4F"/>
          <w:sz w:val="21"/>
          <w:szCs w:val="21"/>
        </w:rPr>
        <w:t>高产能</w:t>
      </w:r>
      <w:proofErr w:type="gramEnd"/>
      <w:r w:rsidRPr="00942503">
        <w:rPr>
          <w:rFonts w:ascii="新宋体" w:eastAsia="新宋体" w:hAnsi="新宋体" w:hint="eastAsia"/>
          <w:color w:val="796A4F"/>
          <w:sz w:val="21"/>
          <w:szCs w:val="21"/>
        </w:rPr>
        <w:t>也必然造成高产量。近期供应压力</w:t>
      </w:r>
      <w:r>
        <w:rPr>
          <w:rFonts w:ascii="新宋体" w:eastAsia="新宋体" w:hAnsi="新宋体" w:hint="eastAsia"/>
          <w:color w:val="796A4F"/>
          <w:sz w:val="21"/>
          <w:szCs w:val="21"/>
        </w:rPr>
        <w:t>因限产有所缓解，</w:t>
      </w:r>
      <w:r w:rsidRPr="00942503">
        <w:rPr>
          <w:rFonts w:ascii="新宋体" w:eastAsia="新宋体" w:hAnsi="新宋体" w:hint="eastAsia"/>
          <w:color w:val="796A4F"/>
          <w:sz w:val="21"/>
          <w:szCs w:val="21"/>
        </w:rPr>
        <w:t>而下游需求</w:t>
      </w:r>
      <w:r>
        <w:rPr>
          <w:rFonts w:ascii="新宋体" w:eastAsia="新宋体" w:hAnsi="新宋体" w:hint="eastAsia"/>
          <w:color w:val="796A4F"/>
          <w:sz w:val="21"/>
          <w:szCs w:val="21"/>
        </w:rPr>
        <w:t>随着天气变冷</w:t>
      </w:r>
      <w:proofErr w:type="gramStart"/>
      <w:r>
        <w:rPr>
          <w:rFonts w:ascii="新宋体" w:eastAsia="新宋体" w:hAnsi="新宋体" w:hint="eastAsia"/>
          <w:color w:val="796A4F"/>
          <w:sz w:val="21"/>
          <w:szCs w:val="21"/>
        </w:rPr>
        <w:t>呈现南强北</w:t>
      </w:r>
      <w:proofErr w:type="gramEnd"/>
      <w:r>
        <w:rPr>
          <w:rFonts w:ascii="新宋体" w:eastAsia="新宋体" w:hAnsi="新宋体" w:hint="eastAsia"/>
          <w:color w:val="796A4F"/>
          <w:sz w:val="21"/>
          <w:szCs w:val="21"/>
        </w:rPr>
        <w:t>弱，后期钢材市场价格若</w:t>
      </w:r>
      <w:proofErr w:type="gramStart"/>
      <w:r>
        <w:rPr>
          <w:rFonts w:ascii="新宋体" w:eastAsia="新宋体" w:hAnsi="新宋体" w:hint="eastAsia"/>
          <w:color w:val="796A4F"/>
          <w:sz w:val="21"/>
          <w:szCs w:val="21"/>
        </w:rPr>
        <w:t>想企稳</w:t>
      </w:r>
      <w:r w:rsidRPr="00942503">
        <w:rPr>
          <w:rFonts w:ascii="新宋体" w:eastAsia="新宋体" w:hAnsi="新宋体" w:hint="eastAsia"/>
          <w:color w:val="796A4F"/>
          <w:sz w:val="21"/>
          <w:szCs w:val="21"/>
        </w:rPr>
        <w:t>需</w:t>
      </w:r>
      <w:proofErr w:type="gramEnd"/>
      <w:r w:rsidRPr="00942503">
        <w:rPr>
          <w:rFonts w:ascii="新宋体" w:eastAsia="新宋体" w:hAnsi="新宋体" w:hint="eastAsia"/>
          <w:color w:val="796A4F"/>
          <w:sz w:val="21"/>
          <w:szCs w:val="21"/>
        </w:rPr>
        <w:t>看</w:t>
      </w:r>
      <w:r>
        <w:rPr>
          <w:rFonts w:ascii="新宋体" w:eastAsia="新宋体" w:hAnsi="新宋体" w:hint="eastAsia"/>
          <w:color w:val="796A4F"/>
          <w:sz w:val="21"/>
          <w:szCs w:val="21"/>
        </w:rPr>
        <w:t>下游</w:t>
      </w:r>
      <w:r w:rsidRPr="00942503">
        <w:rPr>
          <w:rFonts w:ascii="新宋体" w:eastAsia="新宋体" w:hAnsi="新宋体" w:hint="eastAsia"/>
          <w:color w:val="796A4F"/>
          <w:sz w:val="21"/>
          <w:szCs w:val="21"/>
        </w:rPr>
        <w:t>需求情况</w:t>
      </w:r>
      <w:r>
        <w:rPr>
          <w:rFonts w:ascii="新宋体" w:eastAsia="新宋体" w:hAnsi="新宋体" w:hint="eastAsia"/>
          <w:color w:val="796A4F"/>
          <w:sz w:val="21"/>
          <w:szCs w:val="21"/>
        </w:rPr>
        <w:t>是否有所突破</w:t>
      </w:r>
      <w:r w:rsidRPr="00942503">
        <w:rPr>
          <w:rFonts w:ascii="新宋体" w:eastAsia="新宋体" w:hAnsi="新宋体" w:hint="eastAsia"/>
          <w:color w:val="796A4F"/>
          <w:sz w:val="21"/>
          <w:szCs w:val="21"/>
        </w:rPr>
        <w:t>。</w:t>
      </w:r>
    </w:p>
    <w:p w:rsidR="00AE039B" w:rsidRPr="005361CA" w:rsidRDefault="00AE039B" w:rsidP="00AE039B">
      <w:pPr>
        <w:pStyle w:val="ad"/>
        <w:spacing w:beforeLines="50" w:after="50"/>
        <w:ind w:firstLineChars="200" w:firstLine="420"/>
        <w:rPr>
          <w:rFonts w:ascii="新宋体" w:eastAsia="新宋体" w:hAnsi="新宋体" w:hint="eastAsia"/>
          <w:color w:val="796A4F"/>
          <w:sz w:val="21"/>
          <w:szCs w:val="21"/>
        </w:rPr>
      </w:pPr>
      <w:r w:rsidRPr="005361CA">
        <w:rPr>
          <w:rFonts w:ascii="新宋体" w:eastAsia="新宋体" w:hAnsi="新宋体" w:hint="eastAsia"/>
          <w:color w:val="796A4F"/>
          <w:sz w:val="21"/>
          <w:szCs w:val="21"/>
        </w:rPr>
        <w:t>2009 年以来，我国新增产能快速释放，不断有新的生产线投入生产，产能过剩一直是市场挥之不去的阴影，在庞大的产能基数下，市场略有好转，产量释放速度就快速攀升，这也就造成了钢材产量难以下降。</w:t>
      </w:r>
    </w:p>
    <w:p w:rsidR="00AE039B" w:rsidRDefault="00F25657" w:rsidP="00AE039B">
      <w:pPr>
        <w:pStyle w:val="ad"/>
        <w:spacing w:beforeLines="50" w:after="50"/>
        <w:jc w:val="center"/>
        <w:rPr>
          <w:rFonts w:hint="eastAsia"/>
          <w:noProof/>
        </w:rPr>
      </w:pPr>
      <w:r w:rsidRPr="00F25657">
        <w:rPr>
          <w:noProof/>
        </w:rPr>
        <w:drawing>
          <wp:inline distT="0" distB="0" distL="0" distR="0">
            <wp:extent cx="5486400" cy="3464560"/>
            <wp:effectExtent l="19050" t="0" r="0" b="0"/>
            <wp:docPr id="288" name="图片 6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72" cstate="print"/>
                    <a:stretch>
                      <a:fillRect/>
                    </a:stretch>
                  </pic:blipFill>
                  <pic:spPr>
                    <a:xfrm>
                      <a:off x="0" y="0"/>
                      <a:ext cx="5486400" cy="3464560"/>
                    </a:xfrm>
                    <a:prstGeom prst="rect">
                      <a:avLst/>
                    </a:prstGeom>
                  </pic:spPr>
                </pic:pic>
              </a:graphicData>
            </a:graphic>
          </wp:inline>
        </w:drawing>
      </w:r>
    </w:p>
    <w:p w:rsidR="003B3B99" w:rsidRPr="00DB1801" w:rsidRDefault="003B3B99" w:rsidP="00DB1801">
      <w:pPr>
        <w:jc w:val="center"/>
        <w:rPr>
          <w:rFonts w:ascii="宋体" w:hAnsi="宋体" w:hint="eastAsia"/>
          <w:b/>
          <w:color w:val="796A4F"/>
          <w:sz w:val="21"/>
          <w:szCs w:val="21"/>
        </w:rPr>
      </w:pPr>
      <w:r w:rsidRPr="00DB1801">
        <w:rPr>
          <w:rFonts w:ascii="宋体" w:hAnsi="宋体" w:hint="eastAsia"/>
          <w:b/>
          <w:color w:val="796A4F"/>
          <w:sz w:val="21"/>
          <w:szCs w:val="21"/>
        </w:rPr>
        <w:t>图3-</w:t>
      </w:r>
      <w:r w:rsidR="005B13B1">
        <w:rPr>
          <w:rFonts w:ascii="宋体" w:hAnsi="宋体" w:hint="eastAsia"/>
          <w:b/>
          <w:color w:val="796A4F"/>
          <w:sz w:val="21"/>
          <w:szCs w:val="21"/>
        </w:rPr>
        <w:t>11</w:t>
      </w:r>
      <w:r w:rsidRPr="00DB1801">
        <w:rPr>
          <w:rFonts w:ascii="宋体" w:hAnsi="宋体" w:hint="eastAsia"/>
          <w:b/>
          <w:color w:val="796A4F"/>
          <w:sz w:val="21"/>
          <w:szCs w:val="21"/>
        </w:rPr>
        <w:t>：全国螺纹钢社会库存</w:t>
      </w:r>
    </w:p>
    <w:p w:rsidR="00AE039B" w:rsidRPr="00DB1801" w:rsidRDefault="00AE039B" w:rsidP="00DB1801">
      <w:pPr>
        <w:jc w:val="center"/>
        <w:rPr>
          <w:rFonts w:ascii="宋体" w:hAnsi="宋体"/>
          <w:b/>
          <w:color w:val="796A4F"/>
          <w:sz w:val="21"/>
          <w:szCs w:val="21"/>
        </w:rPr>
      </w:pPr>
      <w:r w:rsidRPr="00DB1801">
        <w:rPr>
          <w:rFonts w:ascii="宋体" w:hAnsi="宋体" w:hint="eastAsia"/>
          <w:b/>
          <w:color w:val="796A4F"/>
          <w:sz w:val="21"/>
          <w:szCs w:val="21"/>
        </w:rPr>
        <w:lastRenderedPageBreak/>
        <w:t>资料来源：wind、方正中期研究院</w:t>
      </w:r>
    </w:p>
    <w:p w:rsidR="00AE039B" w:rsidRDefault="003B3B99" w:rsidP="00F25657">
      <w:pPr>
        <w:pStyle w:val="ad"/>
        <w:spacing w:beforeLines="50" w:beforeAutospacing="0" w:after="50" w:afterAutospacing="0" w:line="276" w:lineRule="auto"/>
        <w:ind w:firstLineChars="200" w:firstLine="420"/>
        <w:rPr>
          <w:rFonts w:ascii="新宋体" w:eastAsia="新宋体" w:hAnsi="新宋体" w:hint="eastAsia"/>
          <w:color w:val="796A4F"/>
          <w:sz w:val="21"/>
          <w:szCs w:val="21"/>
        </w:rPr>
      </w:pPr>
      <w:r>
        <w:rPr>
          <w:rFonts w:ascii="新宋体" w:eastAsia="新宋体" w:hAnsi="新宋体" w:hint="eastAsia"/>
          <w:color w:val="796A4F"/>
          <w:sz w:val="21"/>
          <w:szCs w:val="21"/>
        </w:rPr>
        <w:t>今年4月份以来，我国</w:t>
      </w:r>
      <w:r w:rsidR="00AE039B" w:rsidRPr="00572E92">
        <w:rPr>
          <w:rFonts w:ascii="新宋体" w:eastAsia="新宋体" w:hAnsi="新宋体" w:hint="eastAsia"/>
          <w:color w:val="796A4F"/>
          <w:sz w:val="21"/>
          <w:szCs w:val="21"/>
        </w:rPr>
        <w:t>钢材库存持续下降。</w:t>
      </w:r>
      <w:r w:rsidR="00AE039B">
        <w:rPr>
          <w:rFonts w:ascii="新宋体" w:eastAsia="新宋体" w:hAnsi="新宋体" w:hint="eastAsia"/>
          <w:color w:val="796A4F"/>
          <w:sz w:val="21"/>
          <w:szCs w:val="21"/>
        </w:rPr>
        <w:t>截止</w:t>
      </w:r>
      <w:r w:rsidR="00AE039B">
        <w:rPr>
          <w:rFonts w:ascii="新宋体" w:eastAsia="新宋体" w:hAnsi="新宋体"/>
          <w:color w:val="796A4F"/>
          <w:sz w:val="21"/>
          <w:szCs w:val="21"/>
        </w:rPr>
        <w:t>10</w:t>
      </w:r>
      <w:r w:rsidR="00AE039B">
        <w:rPr>
          <w:rFonts w:ascii="新宋体" w:eastAsia="新宋体" w:hAnsi="新宋体" w:hint="eastAsia"/>
          <w:color w:val="796A4F"/>
          <w:sz w:val="21"/>
          <w:szCs w:val="21"/>
        </w:rPr>
        <w:t>月</w:t>
      </w:r>
      <w:r w:rsidR="00AE039B">
        <w:rPr>
          <w:rFonts w:ascii="新宋体" w:eastAsia="新宋体" w:hAnsi="新宋体"/>
          <w:color w:val="796A4F"/>
          <w:sz w:val="21"/>
          <w:szCs w:val="21"/>
        </w:rPr>
        <w:t>31</w:t>
      </w:r>
      <w:r w:rsidR="00AE039B">
        <w:rPr>
          <w:rFonts w:ascii="新宋体" w:eastAsia="新宋体" w:hAnsi="新宋体" w:hint="eastAsia"/>
          <w:color w:val="796A4F"/>
          <w:sz w:val="21"/>
          <w:szCs w:val="21"/>
        </w:rPr>
        <w:t>，</w:t>
      </w:r>
      <w:r w:rsidR="00AE039B" w:rsidRPr="00572E92">
        <w:rPr>
          <w:rFonts w:ascii="新宋体" w:eastAsia="新宋体" w:hAnsi="新宋体" w:hint="eastAsia"/>
          <w:color w:val="796A4F"/>
          <w:sz w:val="21"/>
          <w:szCs w:val="21"/>
        </w:rPr>
        <w:t>螺纹钢最新库存跌至</w:t>
      </w:r>
      <w:r w:rsidR="00AE039B">
        <w:rPr>
          <w:rFonts w:ascii="新宋体" w:eastAsia="新宋体" w:hAnsi="新宋体"/>
          <w:color w:val="796A4F"/>
          <w:sz w:val="21"/>
          <w:szCs w:val="21"/>
        </w:rPr>
        <w:t>421.22</w:t>
      </w:r>
      <w:r w:rsidR="00AE039B" w:rsidRPr="00572E92">
        <w:rPr>
          <w:rFonts w:ascii="新宋体" w:eastAsia="新宋体" w:hAnsi="新宋体" w:hint="eastAsia"/>
          <w:color w:val="796A4F"/>
          <w:sz w:val="21"/>
          <w:szCs w:val="21"/>
        </w:rPr>
        <w:t>万吨，环比下降</w:t>
      </w:r>
      <w:r w:rsidR="00AE039B">
        <w:rPr>
          <w:rFonts w:ascii="新宋体" w:eastAsia="新宋体" w:hAnsi="新宋体"/>
          <w:color w:val="796A4F"/>
          <w:sz w:val="21"/>
          <w:szCs w:val="21"/>
        </w:rPr>
        <w:t>84.5</w:t>
      </w:r>
      <w:r w:rsidR="00AE039B">
        <w:rPr>
          <w:rFonts w:ascii="新宋体" w:eastAsia="新宋体" w:hAnsi="新宋体" w:hint="eastAsia"/>
          <w:color w:val="796A4F"/>
          <w:sz w:val="21"/>
          <w:szCs w:val="21"/>
        </w:rPr>
        <w:t>万吨</w:t>
      </w:r>
      <w:r w:rsidR="00AE039B" w:rsidRPr="00572E92">
        <w:rPr>
          <w:rFonts w:ascii="新宋体" w:eastAsia="新宋体" w:hAnsi="新宋体" w:hint="eastAsia"/>
          <w:color w:val="796A4F"/>
          <w:sz w:val="21"/>
          <w:szCs w:val="21"/>
        </w:rPr>
        <w:t>，去年同期相比，下降了</w:t>
      </w:r>
      <w:r w:rsidR="00AE039B">
        <w:rPr>
          <w:rFonts w:ascii="新宋体" w:eastAsia="新宋体" w:hAnsi="新宋体"/>
          <w:color w:val="796A4F"/>
          <w:sz w:val="21"/>
          <w:szCs w:val="21"/>
        </w:rPr>
        <w:t>121.62</w:t>
      </w:r>
      <w:r w:rsidR="00AE039B" w:rsidRPr="00572E92">
        <w:rPr>
          <w:rFonts w:ascii="新宋体" w:eastAsia="新宋体" w:hAnsi="新宋体" w:hint="eastAsia"/>
          <w:color w:val="796A4F"/>
          <w:sz w:val="21"/>
          <w:szCs w:val="21"/>
        </w:rPr>
        <w:t>万吨。</w:t>
      </w:r>
      <w:r w:rsidR="00AE039B">
        <w:rPr>
          <w:rFonts w:ascii="新宋体" w:eastAsia="新宋体" w:hAnsi="新宋体" w:hint="eastAsia"/>
          <w:color w:val="796A4F"/>
          <w:sz w:val="21"/>
          <w:szCs w:val="21"/>
        </w:rPr>
        <w:t>钢材价格波动较大</w:t>
      </w:r>
      <w:r w:rsidR="00AE039B">
        <w:rPr>
          <w:rFonts w:ascii="新宋体" w:eastAsia="新宋体" w:hAnsi="新宋体"/>
          <w:color w:val="796A4F"/>
          <w:sz w:val="21"/>
          <w:szCs w:val="21"/>
        </w:rPr>
        <w:t>，价格风险使得贸易商囤货意愿不强。</w:t>
      </w:r>
      <w:r w:rsidR="00AE039B">
        <w:rPr>
          <w:rFonts w:ascii="新宋体" w:eastAsia="新宋体" w:hAnsi="新宋体" w:hint="eastAsia"/>
          <w:color w:val="796A4F"/>
          <w:sz w:val="21"/>
          <w:szCs w:val="21"/>
        </w:rPr>
        <w:t>钢厂</w:t>
      </w:r>
      <w:r w:rsidR="00AE039B">
        <w:rPr>
          <w:rFonts w:ascii="新宋体" w:eastAsia="新宋体" w:hAnsi="新宋体"/>
          <w:color w:val="796A4F"/>
          <w:sz w:val="21"/>
          <w:szCs w:val="21"/>
        </w:rPr>
        <w:t>库存方面，</w:t>
      </w:r>
      <w:r w:rsidR="00AE039B" w:rsidRPr="00611D69">
        <w:rPr>
          <w:rFonts w:ascii="新宋体" w:eastAsia="新宋体" w:hAnsi="新宋体" w:hint="eastAsia"/>
          <w:color w:val="796A4F"/>
          <w:sz w:val="21"/>
          <w:szCs w:val="21"/>
        </w:rPr>
        <w:t>据中国钢铁工业协会最新统计数据显示，</w:t>
      </w:r>
      <w:r w:rsidR="00AE039B">
        <w:rPr>
          <w:rFonts w:ascii="新宋体" w:eastAsia="新宋体" w:hAnsi="新宋体"/>
          <w:color w:val="796A4F"/>
          <w:sz w:val="21"/>
          <w:szCs w:val="21"/>
        </w:rPr>
        <w:t>10</w:t>
      </w:r>
      <w:r w:rsidR="00AE039B" w:rsidRPr="00E73E02">
        <w:rPr>
          <w:rFonts w:ascii="新宋体" w:eastAsia="新宋体" w:hAnsi="新宋体" w:hint="eastAsia"/>
          <w:color w:val="796A4F"/>
          <w:sz w:val="21"/>
          <w:szCs w:val="21"/>
        </w:rPr>
        <w:t>月下旬统计重点钢铁企业库本旬末存量</w:t>
      </w:r>
      <w:r w:rsidR="00AE039B" w:rsidRPr="00F10072">
        <w:rPr>
          <w:rFonts w:ascii="新宋体" w:eastAsia="新宋体" w:hAnsi="新宋体" w:hint="eastAsia"/>
          <w:color w:val="796A4F"/>
          <w:sz w:val="21"/>
          <w:szCs w:val="21"/>
        </w:rPr>
        <w:t>为</w:t>
      </w:r>
      <w:r w:rsidR="00AE039B" w:rsidRPr="00C54185">
        <w:rPr>
          <w:rFonts w:ascii="新宋体" w:eastAsia="新宋体" w:hAnsi="新宋体" w:hint="eastAsia"/>
          <w:color w:val="796A4F"/>
          <w:sz w:val="21"/>
          <w:szCs w:val="21"/>
        </w:rPr>
        <w:t>1565.63万吨，</w:t>
      </w:r>
      <w:proofErr w:type="gramStart"/>
      <w:r w:rsidR="00AE039B" w:rsidRPr="00C54185">
        <w:rPr>
          <w:rFonts w:ascii="新宋体" w:eastAsia="新宋体" w:hAnsi="新宋体" w:hint="eastAsia"/>
          <w:color w:val="796A4F"/>
          <w:sz w:val="21"/>
          <w:szCs w:val="21"/>
        </w:rPr>
        <w:t>旬环比</w:t>
      </w:r>
      <w:proofErr w:type="gramEnd"/>
      <w:r w:rsidR="00AE039B" w:rsidRPr="00C54185">
        <w:rPr>
          <w:rFonts w:ascii="新宋体" w:eastAsia="新宋体" w:hAnsi="新宋体" w:hint="eastAsia"/>
          <w:color w:val="796A4F"/>
          <w:sz w:val="21"/>
          <w:szCs w:val="21"/>
        </w:rPr>
        <w:t>下降3.2万吨，产量略有下降。</w:t>
      </w:r>
      <w:r w:rsidR="00AE039B">
        <w:rPr>
          <w:rFonts w:ascii="新宋体" w:eastAsia="新宋体" w:hAnsi="新宋体" w:hint="eastAsia"/>
          <w:color w:val="796A4F"/>
          <w:sz w:val="21"/>
          <w:szCs w:val="21"/>
        </w:rPr>
        <w:t>进入4季度行业资金逐渐趋紧，资金</w:t>
      </w:r>
      <w:r w:rsidR="00AE039B">
        <w:rPr>
          <w:rFonts w:ascii="新宋体" w:eastAsia="新宋体" w:hAnsi="新宋体"/>
          <w:color w:val="796A4F"/>
          <w:sz w:val="21"/>
          <w:szCs w:val="21"/>
        </w:rPr>
        <w:t>方面的限制</w:t>
      </w:r>
      <w:r w:rsidR="00AE039B">
        <w:rPr>
          <w:rFonts w:ascii="新宋体" w:eastAsia="新宋体" w:hAnsi="新宋体" w:hint="eastAsia"/>
          <w:color w:val="796A4F"/>
          <w:sz w:val="21"/>
          <w:szCs w:val="21"/>
        </w:rPr>
        <w:t>部分</w:t>
      </w:r>
      <w:r w:rsidR="00AE039B">
        <w:rPr>
          <w:rFonts w:ascii="新宋体" w:eastAsia="新宋体" w:hAnsi="新宋体"/>
          <w:color w:val="796A4F"/>
          <w:sz w:val="21"/>
          <w:szCs w:val="21"/>
        </w:rPr>
        <w:t>制约了后市</w:t>
      </w:r>
      <w:r w:rsidR="00AE039B">
        <w:rPr>
          <w:rFonts w:ascii="新宋体" w:eastAsia="新宋体" w:hAnsi="新宋体" w:hint="eastAsia"/>
          <w:color w:val="796A4F"/>
          <w:sz w:val="21"/>
          <w:szCs w:val="21"/>
        </w:rPr>
        <w:t>钢材</w:t>
      </w:r>
      <w:r w:rsidR="00AE039B">
        <w:rPr>
          <w:rFonts w:ascii="新宋体" w:eastAsia="新宋体" w:hAnsi="新宋体"/>
          <w:color w:val="796A4F"/>
          <w:sz w:val="21"/>
          <w:szCs w:val="21"/>
        </w:rPr>
        <w:t>价格反弹空间</w:t>
      </w:r>
      <w:r w:rsidR="00AE039B">
        <w:rPr>
          <w:rFonts w:ascii="新宋体" w:eastAsia="新宋体" w:hAnsi="新宋体" w:hint="eastAsia"/>
          <w:color w:val="796A4F"/>
          <w:sz w:val="21"/>
          <w:szCs w:val="21"/>
        </w:rPr>
        <w:t>。</w:t>
      </w:r>
    </w:p>
    <w:p w:rsidR="00AE039B" w:rsidRDefault="00AE039B" w:rsidP="00AE039B">
      <w:pPr>
        <w:pStyle w:val="ad"/>
        <w:spacing w:beforeLines="50" w:beforeAutospacing="0" w:after="50" w:afterAutospacing="0" w:line="276" w:lineRule="auto"/>
        <w:ind w:firstLineChars="200" w:firstLine="420"/>
        <w:rPr>
          <w:rFonts w:ascii="新宋体" w:eastAsia="新宋体" w:hAnsi="新宋体"/>
          <w:color w:val="796A4F"/>
          <w:sz w:val="21"/>
          <w:szCs w:val="21"/>
        </w:rPr>
      </w:pPr>
      <w:r>
        <w:rPr>
          <w:rFonts w:ascii="新宋体" w:eastAsia="新宋体" w:hAnsi="新宋体" w:hint="eastAsia"/>
          <w:color w:val="796A4F"/>
          <w:sz w:val="21"/>
          <w:szCs w:val="21"/>
        </w:rPr>
        <w:t>我国钢铁消费主要集中在工业和建筑业，这部分占钢材消费的90%，其中工业用钢占40%-50%。而板材是工业用钢占比最高的，热轧卷板又是板材最有代表性和比重最大的。与螺纹钢消费量对应的是房地产业，而与热轧卷板消费对应的是制造业。</w:t>
      </w:r>
    </w:p>
    <w:p w:rsidR="00AE039B" w:rsidRDefault="00AE039B" w:rsidP="00AE039B">
      <w:pPr>
        <w:pStyle w:val="ad"/>
        <w:spacing w:beforeLines="50" w:beforeAutospacing="0" w:after="50" w:afterAutospacing="0" w:line="276" w:lineRule="auto"/>
        <w:ind w:firstLineChars="200" w:firstLine="420"/>
        <w:rPr>
          <w:rFonts w:ascii="新宋体" w:eastAsia="新宋体" w:hAnsi="新宋体" w:hint="eastAsia"/>
          <w:color w:val="796A4F"/>
          <w:sz w:val="21"/>
          <w:szCs w:val="21"/>
        </w:rPr>
      </w:pPr>
      <w:r w:rsidRPr="00057D44">
        <w:rPr>
          <w:rFonts w:ascii="新宋体" w:eastAsia="新宋体" w:hAnsi="新宋体" w:hint="eastAsia"/>
          <w:color w:val="796A4F"/>
          <w:sz w:val="21"/>
          <w:szCs w:val="21"/>
        </w:rPr>
        <w:t>1-9月份，在41个工业大类行业中，33个行业利润总额同比增长，1个行业持平，7个行业下降。</w:t>
      </w:r>
      <w:r>
        <w:rPr>
          <w:rFonts w:ascii="新宋体" w:eastAsia="新宋体" w:hAnsi="新宋体" w:hint="eastAsia"/>
          <w:color w:val="796A4F"/>
          <w:sz w:val="21"/>
          <w:szCs w:val="21"/>
        </w:rPr>
        <w:t>其中</w:t>
      </w:r>
      <w:r w:rsidRPr="00057D44">
        <w:rPr>
          <w:rFonts w:ascii="新宋体" w:eastAsia="新宋体" w:hAnsi="新宋体" w:hint="eastAsia"/>
          <w:color w:val="796A4F"/>
          <w:sz w:val="21"/>
          <w:szCs w:val="21"/>
        </w:rPr>
        <w:t>黑色金属冶炼和压延加工业增长12.3%，有色金属冶炼和压延加工业增长9.5%，通用设备制造业增长12%，专用设备制造业增长2.3%，汽车制造业增长21%，电气机械和器材制造业增长19.6%</w:t>
      </w:r>
      <w:r>
        <w:rPr>
          <w:rFonts w:ascii="新宋体" w:eastAsia="新宋体" w:hAnsi="新宋体" w:hint="eastAsia"/>
          <w:color w:val="796A4F"/>
          <w:sz w:val="21"/>
          <w:szCs w:val="21"/>
        </w:rPr>
        <w:t>，</w:t>
      </w:r>
      <w:r w:rsidRPr="00057D44">
        <w:rPr>
          <w:rFonts w:ascii="新宋体" w:eastAsia="新宋体" w:hAnsi="新宋体" w:hint="eastAsia"/>
          <w:color w:val="796A4F"/>
          <w:sz w:val="21"/>
          <w:szCs w:val="21"/>
        </w:rPr>
        <w:t>煤炭开采和</w:t>
      </w:r>
      <w:proofErr w:type="gramStart"/>
      <w:r w:rsidRPr="00057D44">
        <w:rPr>
          <w:rFonts w:ascii="新宋体" w:eastAsia="新宋体" w:hAnsi="新宋体" w:hint="eastAsia"/>
          <w:color w:val="796A4F"/>
          <w:sz w:val="21"/>
          <w:szCs w:val="21"/>
        </w:rPr>
        <w:t>洗选业</w:t>
      </w:r>
      <w:proofErr w:type="gramEnd"/>
      <w:r w:rsidRPr="00057D44">
        <w:rPr>
          <w:rFonts w:ascii="新宋体" w:eastAsia="新宋体" w:hAnsi="新宋体" w:hint="eastAsia"/>
          <w:color w:val="796A4F"/>
          <w:sz w:val="21"/>
          <w:szCs w:val="21"/>
        </w:rPr>
        <w:t>下降47.1%。</w:t>
      </w:r>
    </w:p>
    <w:p w:rsidR="00AE039B" w:rsidRDefault="00AE039B" w:rsidP="00AE039B">
      <w:pPr>
        <w:pStyle w:val="ad"/>
        <w:spacing w:beforeLines="50" w:beforeAutospacing="0" w:after="50" w:afterAutospacing="0" w:line="276" w:lineRule="auto"/>
        <w:ind w:firstLineChars="200" w:firstLine="420"/>
        <w:rPr>
          <w:rFonts w:ascii="新宋体" w:eastAsia="新宋体" w:hAnsi="新宋体"/>
          <w:color w:val="796A4F"/>
          <w:sz w:val="21"/>
          <w:szCs w:val="21"/>
        </w:rPr>
      </w:pPr>
      <w:r w:rsidRPr="00224709">
        <w:rPr>
          <w:rFonts w:ascii="新宋体" w:eastAsia="新宋体" w:hAnsi="新宋体" w:hint="eastAsia"/>
          <w:color w:val="796A4F"/>
          <w:sz w:val="21"/>
          <w:szCs w:val="21"/>
        </w:rPr>
        <w:t>自6月26日第一个城市表态放松限购后，</w:t>
      </w:r>
      <w:r>
        <w:rPr>
          <w:rFonts w:ascii="新宋体" w:eastAsia="新宋体" w:hAnsi="新宋体" w:hint="eastAsia"/>
          <w:color w:val="796A4F"/>
          <w:sz w:val="21"/>
          <w:szCs w:val="21"/>
        </w:rPr>
        <w:t>仅过三</w:t>
      </w:r>
      <w:r w:rsidRPr="00224709">
        <w:rPr>
          <w:rFonts w:ascii="新宋体" w:eastAsia="新宋体" w:hAnsi="新宋体" w:hint="eastAsia"/>
          <w:color w:val="796A4F"/>
          <w:sz w:val="21"/>
          <w:szCs w:val="21"/>
        </w:rPr>
        <w:t>个半月，全国46个限购城市中，只剩北京、上海、广州、深圳</w:t>
      </w:r>
      <w:r>
        <w:rPr>
          <w:rFonts w:ascii="新宋体" w:eastAsia="新宋体" w:hAnsi="新宋体" w:hint="eastAsia"/>
          <w:color w:val="796A4F"/>
          <w:sz w:val="21"/>
          <w:szCs w:val="21"/>
        </w:rPr>
        <w:t>4</w:t>
      </w:r>
      <w:r w:rsidRPr="00224709">
        <w:rPr>
          <w:rFonts w:ascii="新宋体" w:eastAsia="新宋体" w:hAnsi="新宋体" w:hint="eastAsia"/>
          <w:color w:val="796A4F"/>
          <w:sz w:val="21"/>
          <w:szCs w:val="21"/>
        </w:rPr>
        <w:t>个城市尚未松绑。尽管</w:t>
      </w:r>
      <w:r>
        <w:rPr>
          <w:rFonts w:ascii="新宋体" w:eastAsia="新宋体" w:hAnsi="新宋体" w:hint="eastAsia"/>
          <w:color w:val="796A4F"/>
          <w:sz w:val="21"/>
          <w:szCs w:val="21"/>
        </w:rPr>
        <w:t>如此</w:t>
      </w:r>
      <w:r w:rsidRPr="00224709">
        <w:rPr>
          <w:rFonts w:ascii="新宋体" w:eastAsia="新宋体" w:hAnsi="新宋体" w:hint="eastAsia"/>
          <w:color w:val="796A4F"/>
          <w:sz w:val="21"/>
          <w:szCs w:val="21"/>
        </w:rPr>
        <w:t>，但</w:t>
      </w:r>
      <w:r w:rsidRPr="009D0BBA">
        <w:rPr>
          <w:rFonts w:ascii="新宋体" w:eastAsia="新宋体" w:hAnsi="新宋体" w:hint="eastAsia"/>
          <w:color w:val="796A4F"/>
          <w:sz w:val="21"/>
          <w:szCs w:val="21"/>
        </w:rPr>
        <w:t>1-</w:t>
      </w:r>
      <w:r>
        <w:rPr>
          <w:rFonts w:ascii="新宋体" w:eastAsia="新宋体" w:hAnsi="新宋体"/>
          <w:color w:val="796A4F"/>
          <w:sz w:val="21"/>
          <w:szCs w:val="21"/>
        </w:rPr>
        <w:t>9</w:t>
      </w:r>
      <w:r w:rsidRPr="009D0BBA">
        <w:rPr>
          <w:rFonts w:ascii="新宋体" w:eastAsia="新宋体" w:hAnsi="新宋体" w:hint="eastAsia"/>
          <w:color w:val="796A4F"/>
          <w:sz w:val="21"/>
          <w:szCs w:val="21"/>
        </w:rPr>
        <w:t>月份，商品房销售面积</w:t>
      </w:r>
      <w:r>
        <w:rPr>
          <w:rFonts w:ascii="新宋体" w:eastAsia="新宋体" w:hAnsi="新宋体"/>
          <w:color w:val="796A4F"/>
          <w:sz w:val="21"/>
          <w:szCs w:val="21"/>
        </w:rPr>
        <w:t>77131</w:t>
      </w:r>
      <w:r w:rsidRPr="009D0BBA">
        <w:rPr>
          <w:rFonts w:ascii="新宋体" w:eastAsia="新宋体" w:hAnsi="新宋体" w:hint="eastAsia"/>
          <w:color w:val="796A4F"/>
          <w:sz w:val="21"/>
          <w:szCs w:val="21"/>
        </w:rPr>
        <w:t>万平方米，同比下降8.</w:t>
      </w:r>
      <w:r>
        <w:rPr>
          <w:rFonts w:ascii="新宋体" w:eastAsia="新宋体" w:hAnsi="新宋体"/>
          <w:color w:val="796A4F"/>
          <w:sz w:val="21"/>
          <w:szCs w:val="21"/>
        </w:rPr>
        <w:t>6</w:t>
      </w:r>
      <w:r w:rsidRPr="009D0BBA">
        <w:rPr>
          <w:rFonts w:ascii="新宋体" w:eastAsia="新宋体" w:hAnsi="新宋体" w:hint="eastAsia"/>
          <w:color w:val="796A4F"/>
          <w:sz w:val="21"/>
          <w:szCs w:val="21"/>
        </w:rPr>
        <w:t>%，降幅比1-</w:t>
      </w:r>
      <w:r>
        <w:rPr>
          <w:rFonts w:ascii="新宋体" w:eastAsia="新宋体" w:hAnsi="新宋体"/>
          <w:color w:val="796A4F"/>
          <w:sz w:val="21"/>
          <w:szCs w:val="21"/>
        </w:rPr>
        <w:t>8</w:t>
      </w:r>
      <w:r w:rsidRPr="009D0BBA">
        <w:rPr>
          <w:rFonts w:ascii="新宋体" w:eastAsia="新宋体" w:hAnsi="新宋体" w:hint="eastAsia"/>
          <w:color w:val="796A4F"/>
          <w:sz w:val="21"/>
          <w:szCs w:val="21"/>
        </w:rPr>
        <w:t>月份扩大0.</w:t>
      </w:r>
      <w:r>
        <w:rPr>
          <w:rFonts w:ascii="新宋体" w:eastAsia="新宋体" w:hAnsi="新宋体"/>
          <w:color w:val="796A4F"/>
          <w:sz w:val="21"/>
          <w:szCs w:val="21"/>
        </w:rPr>
        <w:t>3</w:t>
      </w:r>
      <w:r>
        <w:rPr>
          <w:rFonts w:ascii="新宋体" w:eastAsia="新宋体" w:hAnsi="新宋体" w:hint="eastAsia"/>
          <w:color w:val="796A4F"/>
          <w:sz w:val="21"/>
          <w:szCs w:val="21"/>
        </w:rPr>
        <w:t>个百分点</w:t>
      </w:r>
      <w:r w:rsidRPr="00224709">
        <w:rPr>
          <w:rFonts w:ascii="新宋体" w:eastAsia="新宋体" w:hAnsi="新宋体" w:hint="eastAsia"/>
          <w:color w:val="796A4F"/>
          <w:sz w:val="21"/>
          <w:szCs w:val="21"/>
        </w:rPr>
        <w:t>，</w:t>
      </w:r>
      <w:r>
        <w:rPr>
          <w:rFonts w:ascii="新宋体" w:eastAsia="新宋体" w:hAnsi="新宋体" w:hint="eastAsia"/>
          <w:color w:val="796A4F"/>
          <w:sz w:val="21"/>
          <w:szCs w:val="21"/>
        </w:rPr>
        <w:t>随后央行在国庆节前紧急发布房市贷款认定新政，在10月公积金以及地方政府购房补贴等政策，不断为房地产托市，在</w:t>
      </w:r>
      <w:proofErr w:type="gramStart"/>
      <w:r>
        <w:rPr>
          <w:rFonts w:ascii="新宋体" w:eastAsia="新宋体" w:hAnsi="新宋体" w:hint="eastAsia"/>
          <w:color w:val="796A4F"/>
          <w:sz w:val="21"/>
          <w:szCs w:val="21"/>
        </w:rPr>
        <w:t>刺激刚需和</w:t>
      </w:r>
      <w:proofErr w:type="gramEnd"/>
      <w:r>
        <w:rPr>
          <w:rFonts w:ascii="新宋体" w:eastAsia="新宋体" w:hAnsi="新宋体" w:hint="eastAsia"/>
          <w:color w:val="796A4F"/>
          <w:sz w:val="21"/>
          <w:szCs w:val="21"/>
        </w:rPr>
        <w:t>改善型需求后，市场仍待观察。</w:t>
      </w:r>
    </w:p>
    <w:p w:rsidR="00AE039B" w:rsidRDefault="00AE039B" w:rsidP="00AE039B">
      <w:pPr>
        <w:pStyle w:val="ad"/>
        <w:spacing w:beforeLines="50" w:beforeAutospacing="0" w:after="50" w:afterAutospacing="0" w:line="276" w:lineRule="auto"/>
        <w:ind w:firstLineChars="200" w:firstLine="420"/>
        <w:rPr>
          <w:rFonts w:ascii="Arial" w:hAnsi="Arial" w:cs="Arial" w:hint="eastAsia"/>
          <w:color w:val="796A4F"/>
          <w:sz w:val="21"/>
          <w:szCs w:val="21"/>
        </w:rPr>
      </w:pPr>
      <w:r>
        <w:rPr>
          <w:rFonts w:ascii="Arial" w:hAnsi="Arial" w:cs="Arial"/>
          <w:color w:val="796A4F"/>
          <w:sz w:val="21"/>
          <w:szCs w:val="21"/>
        </w:rPr>
        <w:t>房地产处于一个大的向下调整周期</w:t>
      </w:r>
      <w:r>
        <w:rPr>
          <w:rFonts w:ascii="Arial" w:hAnsi="Arial" w:cs="Arial" w:hint="eastAsia"/>
          <w:color w:val="796A4F"/>
          <w:sz w:val="21"/>
          <w:szCs w:val="21"/>
        </w:rPr>
        <w:t>，从</w:t>
      </w:r>
      <w:r>
        <w:rPr>
          <w:rFonts w:ascii="Arial" w:hAnsi="Arial" w:cs="Arial"/>
          <w:color w:val="796A4F"/>
          <w:sz w:val="21"/>
          <w:szCs w:val="21"/>
        </w:rPr>
        <w:t>过去经验来看，政府的刺激可以放缓趋势</w:t>
      </w:r>
      <w:r w:rsidRPr="00017A16">
        <w:rPr>
          <w:rFonts w:ascii="Arial" w:hAnsi="Arial" w:cs="Arial" w:hint="eastAsia"/>
          <w:color w:val="796A4F"/>
          <w:sz w:val="21"/>
          <w:szCs w:val="21"/>
        </w:rPr>
        <w:t>，</w:t>
      </w:r>
      <w:r>
        <w:rPr>
          <w:rFonts w:ascii="Arial" w:hAnsi="Arial" w:cs="Arial" w:hint="eastAsia"/>
          <w:color w:val="796A4F"/>
          <w:sz w:val="21"/>
          <w:szCs w:val="21"/>
        </w:rPr>
        <w:t>但是并不能改变趋势的方向。统计</w:t>
      </w:r>
      <w:r>
        <w:rPr>
          <w:rFonts w:ascii="Arial" w:hAnsi="Arial" w:cs="Arial" w:hint="eastAsia"/>
          <w:color w:val="796A4F"/>
          <w:sz w:val="21"/>
          <w:szCs w:val="21"/>
        </w:rPr>
        <w:t>100</w:t>
      </w:r>
      <w:r>
        <w:rPr>
          <w:rFonts w:ascii="Arial" w:hAnsi="Arial" w:cs="Arial" w:hint="eastAsia"/>
          <w:color w:val="796A4F"/>
          <w:sz w:val="21"/>
          <w:szCs w:val="21"/>
        </w:rPr>
        <w:t>城</w:t>
      </w:r>
      <w:r>
        <w:rPr>
          <w:rFonts w:ascii="Arial" w:hAnsi="Arial" w:cs="Arial"/>
          <w:color w:val="796A4F"/>
          <w:sz w:val="21"/>
          <w:szCs w:val="21"/>
        </w:rPr>
        <w:t>中，住宅</w:t>
      </w:r>
      <w:r>
        <w:rPr>
          <w:rFonts w:ascii="Arial" w:hAnsi="Arial" w:cs="Arial" w:hint="eastAsia"/>
          <w:color w:val="796A4F"/>
          <w:sz w:val="21"/>
          <w:szCs w:val="21"/>
        </w:rPr>
        <w:t>价格</w:t>
      </w:r>
      <w:r>
        <w:rPr>
          <w:rFonts w:ascii="Arial" w:hAnsi="Arial" w:cs="Arial"/>
          <w:color w:val="796A4F"/>
          <w:sz w:val="21"/>
          <w:szCs w:val="21"/>
        </w:rPr>
        <w:t>下跌城市从</w:t>
      </w:r>
      <w:r>
        <w:rPr>
          <w:rFonts w:ascii="Arial" w:hAnsi="Arial" w:cs="Arial" w:hint="eastAsia"/>
          <w:color w:val="796A4F"/>
          <w:sz w:val="21"/>
          <w:szCs w:val="21"/>
        </w:rPr>
        <w:t>4</w:t>
      </w:r>
      <w:r>
        <w:rPr>
          <w:rFonts w:ascii="Arial" w:hAnsi="Arial" w:cs="Arial" w:hint="eastAsia"/>
          <w:color w:val="796A4F"/>
          <w:sz w:val="21"/>
          <w:szCs w:val="21"/>
        </w:rPr>
        <w:t>月的</w:t>
      </w:r>
      <w:r>
        <w:rPr>
          <w:rFonts w:ascii="Arial" w:hAnsi="Arial" w:cs="Arial" w:hint="eastAsia"/>
          <w:color w:val="796A4F"/>
          <w:sz w:val="21"/>
          <w:szCs w:val="21"/>
        </w:rPr>
        <w:t>45</w:t>
      </w:r>
      <w:r>
        <w:rPr>
          <w:rFonts w:ascii="Arial" w:hAnsi="Arial" w:cs="Arial" w:hint="eastAsia"/>
          <w:color w:val="796A4F"/>
          <w:sz w:val="21"/>
          <w:szCs w:val="21"/>
        </w:rPr>
        <w:t>个</w:t>
      </w:r>
      <w:r>
        <w:rPr>
          <w:rFonts w:ascii="Arial" w:hAnsi="Arial" w:cs="Arial"/>
          <w:color w:val="796A4F"/>
          <w:sz w:val="21"/>
          <w:szCs w:val="21"/>
        </w:rPr>
        <w:t>城市到</w:t>
      </w:r>
      <w:r>
        <w:rPr>
          <w:rFonts w:ascii="Arial" w:hAnsi="Arial" w:cs="Arial"/>
          <w:color w:val="796A4F"/>
          <w:sz w:val="21"/>
          <w:szCs w:val="21"/>
        </w:rPr>
        <w:t>10</w:t>
      </w:r>
      <w:r>
        <w:rPr>
          <w:rFonts w:ascii="Arial" w:hAnsi="Arial" w:cs="Arial" w:hint="eastAsia"/>
          <w:color w:val="796A4F"/>
          <w:sz w:val="21"/>
          <w:szCs w:val="21"/>
        </w:rPr>
        <w:t>月</w:t>
      </w:r>
      <w:r>
        <w:rPr>
          <w:rFonts w:ascii="Arial" w:hAnsi="Arial" w:cs="Arial"/>
          <w:color w:val="796A4F"/>
          <w:sz w:val="21"/>
          <w:szCs w:val="21"/>
        </w:rPr>
        <w:t>的</w:t>
      </w:r>
      <w:r>
        <w:rPr>
          <w:rFonts w:ascii="Arial" w:hAnsi="Arial" w:cs="Arial" w:hint="eastAsia"/>
          <w:color w:val="796A4F"/>
          <w:sz w:val="21"/>
          <w:szCs w:val="21"/>
        </w:rPr>
        <w:t>7</w:t>
      </w:r>
      <w:r>
        <w:rPr>
          <w:rFonts w:ascii="Arial" w:hAnsi="Arial" w:cs="Arial"/>
          <w:color w:val="796A4F"/>
          <w:sz w:val="21"/>
          <w:szCs w:val="21"/>
        </w:rPr>
        <w:t>3</w:t>
      </w:r>
      <w:r>
        <w:rPr>
          <w:rFonts w:ascii="Arial" w:hAnsi="Arial" w:cs="Arial" w:hint="eastAsia"/>
          <w:color w:val="796A4F"/>
          <w:sz w:val="21"/>
          <w:szCs w:val="21"/>
        </w:rPr>
        <w:t>个</w:t>
      </w:r>
      <w:r>
        <w:rPr>
          <w:rFonts w:ascii="Arial" w:hAnsi="Arial" w:cs="Arial"/>
          <w:color w:val="796A4F"/>
          <w:sz w:val="21"/>
          <w:szCs w:val="21"/>
        </w:rPr>
        <w:t>城市</w:t>
      </w:r>
      <w:r>
        <w:rPr>
          <w:rFonts w:ascii="Arial" w:hAnsi="Arial" w:cs="Arial" w:hint="eastAsia"/>
          <w:color w:val="796A4F"/>
          <w:sz w:val="21"/>
          <w:szCs w:val="21"/>
        </w:rPr>
        <w:t>，</w:t>
      </w:r>
      <w:r>
        <w:rPr>
          <w:rFonts w:ascii="Arial" w:hAnsi="Arial" w:cs="Arial"/>
          <w:color w:val="796A4F"/>
          <w:sz w:val="21"/>
          <w:szCs w:val="21"/>
        </w:rPr>
        <w:t>而环比房价上涨城市增加</w:t>
      </w:r>
      <w:r>
        <w:rPr>
          <w:rFonts w:ascii="Arial" w:hAnsi="Arial" w:cs="Arial" w:hint="eastAsia"/>
          <w:color w:val="796A4F"/>
          <w:sz w:val="21"/>
          <w:szCs w:val="21"/>
        </w:rPr>
        <w:t>6</w:t>
      </w:r>
      <w:r>
        <w:rPr>
          <w:rFonts w:ascii="Arial" w:hAnsi="Arial" w:cs="Arial" w:hint="eastAsia"/>
          <w:color w:val="796A4F"/>
          <w:sz w:val="21"/>
          <w:szCs w:val="21"/>
        </w:rPr>
        <w:t>个，房市的资金方面的政策刺激短期对市场仍然有效。但</w:t>
      </w:r>
      <w:r>
        <w:rPr>
          <w:rFonts w:ascii="Arial" w:hAnsi="Arial" w:cs="Arial"/>
          <w:color w:val="796A4F"/>
          <w:sz w:val="21"/>
          <w:szCs w:val="21"/>
        </w:rPr>
        <w:t>是从政策刺激到传导到钢材周期较长</w:t>
      </w:r>
      <w:r>
        <w:rPr>
          <w:rFonts w:ascii="Arial" w:hAnsi="Arial" w:cs="Arial" w:hint="eastAsia"/>
          <w:color w:val="796A4F"/>
          <w:sz w:val="21"/>
          <w:szCs w:val="21"/>
        </w:rPr>
        <w:t>，</w:t>
      </w:r>
      <w:r>
        <w:rPr>
          <w:rFonts w:ascii="Arial" w:hAnsi="Arial" w:cs="Arial"/>
          <w:color w:val="796A4F"/>
          <w:sz w:val="21"/>
          <w:szCs w:val="21"/>
        </w:rPr>
        <w:t>短期影响有限</w:t>
      </w:r>
      <w:r>
        <w:rPr>
          <w:rFonts w:ascii="Arial" w:hAnsi="Arial" w:cs="Arial" w:hint="eastAsia"/>
          <w:color w:val="796A4F"/>
          <w:sz w:val="21"/>
          <w:szCs w:val="21"/>
        </w:rPr>
        <w:t>。</w:t>
      </w:r>
    </w:p>
    <w:p w:rsidR="00AE039B" w:rsidRPr="00EC5298" w:rsidRDefault="00AE039B" w:rsidP="00AE039B">
      <w:pPr>
        <w:pStyle w:val="ad"/>
        <w:spacing w:beforeLines="50" w:beforeAutospacing="0" w:after="50" w:afterAutospacing="0" w:line="276" w:lineRule="auto"/>
        <w:ind w:firstLineChars="200" w:firstLine="420"/>
        <w:rPr>
          <w:rFonts w:ascii="新宋体" w:eastAsia="新宋体" w:hAnsi="新宋体" w:hint="eastAsia"/>
          <w:color w:val="796A4F"/>
          <w:sz w:val="21"/>
          <w:szCs w:val="21"/>
        </w:rPr>
      </w:pPr>
      <w:r w:rsidRPr="000C5399">
        <w:rPr>
          <w:rFonts w:ascii="Arial" w:hAnsi="Arial" w:cs="Arial" w:hint="eastAsia"/>
          <w:color w:val="796A4F"/>
          <w:sz w:val="21"/>
          <w:szCs w:val="21"/>
        </w:rPr>
        <w:t>2014</w:t>
      </w:r>
      <w:r w:rsidRPr="000C5399">
        <w:rPr>
          <w:rFonts w:ascii="Arial" w:hAnsi="Arial" w:cs="Arial" w:hint="eastAsia"/>
          <w:color w:val="796A4F"/>
          <w:sz w:val="21"/>
          <w:szCs w:val="21"/>
        </w:rPr>
        <w:t>年，全国计划新开工城镇保障性安居工程</w:t>
      </w:r>
      <w:r w:rsidRPr="000C5399">
        <w:rPr>
          <w:rFonts w:ascii="Arial" w:hAnsi="Arial" w:cs="Arial" w:hint="eastAsia"/>
          <w:color w:val="796A4F"/>
          <w:sz w:val="21"/>
          <w:szCs w:val="21"/>
        </w:rPr>
        <w:t>700</w:t>
      </w:r>
      <w:r w:rsidRPr="000C5399">
        <w:rPr>
          <w:rFonts w:ascii="Arial" w:hAnsi="Arial" w:cs="Arial" w:hint="eastAsia"/>
          <w:color w:val="796A4F"/>
          <w:sz w:val="21"/>
          <w:szCs w:val="21"/>
        </w:rPr>
        <w:t>万套以上（其中各类棚户区</w:t>
      </w:r>
      <w:r w:rsidRPr="000C5399">
        <w:rPr>
          <w:rFonts w:ascii="Arial" w:hAnsi="Arial" w:cs="Arial" w:hint="eastAsia"/>
          <w:color w:val="796A4F"/>
          <w:sz w:val="21"/>
          <w:szCs w:val="21"/>
        </w:rPr>
        <w:t>470</w:t>
      </w:r>
      <w:r w:rsidRPr="000C5399">
        <w:rPr>
          <w:rFonts w:ascii="Arial" w:hAnsi="Arial" w:cs="Arial" w:hint="eastAsia"/>
          <w:color w:val="796A4F"/>
          <w:sz w:val="21"/>
          <w:szCs w:val="21"/>
        </w:rPr>
        <w:t>万套以上），基本建成</w:t>
      </w:r>
      <w:r w:rsidRPr="000C5399">
        <w:rPr>
          <w:rFonts w:ascii="Arial" w:hAnsi="Arial" w:cs="Arial" w:hint="eastAsia"/>
          <w:color w:val="796A4F"/>
          <w:sz w:val="21"/>
          <w:szCs w:val="21"/>
        </w:rPr>
        <w:t>480</w:t>
      </w:r>
      <w:r w:rsidRPr="000C5399">
        <w:rPr>
          <w:rFonts w:ascii="Arial" w:hAnsi="Arial" w:cs="Arial" w:hint="eastAsia"/>
          <w:color w:val="796A4F"/>
          <w:sz w:val="21"/>
          <w:szCs w:val="21"/>
        </w:rPr>
        <w:t>万套。截至</w:t>
      </w:r>
      <w:r w:rsidRPr="000C5399">
        <w:rPr>
          <w:rFonts w:ascii="Arial" w:hAnsi="Arial" w:cs="Arial" w:hint="eastAsia"/>
          <w:color w:val="796A4F"/>
          <w:sz w:val="21"/>
          <w:szCs w:val="21"/>
        </w:rPr>
        <w:t>6</w:t>
      </w:r>
      <w:r w:rsidRPr="000C5399">
        <w:rPr>
          <w:rFonts w:ascii="Arial" w:hAnsi="Arial" w:cs="Arial" w:hint="eastAsia"/>
          <w:color w:val="796A4F"/>
          <w:sz w:val="21"/>
          <w:szCs w:val="21"/>
        </w:rPr>
        <w:t>月底，已开工</w:t>
      </w:r>
      <w:r w:rsidRPr="000C5399">
        <w:rPr>
          <w:rFonts w:ascii="Arial" w:hAnsi="Arial" w:cs="Arial" w:hint="eastAsia"/>
          <w:color w:val="796A4F"/>
          <w:sz w:val="21"/>
          <w:szCs w:val="21"/>
        </w:rPr>
        <w:t>530</w:t>
      </w:r>
      <w:r w:rsidRPr="000C5399">
        <w:rPr>
          <w:rFonts w:ascii="Arial" w:hAnsi="Arial" w:cs="Arial" w:hint="eastAsia"/>
          <w:color w:val="796A4F"/>
          <w:sz w:val="21"/>
          <w:szCs w:val="21"/>
        </w:rPr>
        <w:t>万套，基本建成</w:t>
      </w:r>
      <w:r w:rsidRPr="000C5399">
        <w:rPr>
          <w:rFonts w:ascii="Arial" w:hAnsi="Arial" w:cs="Arial" w:hint="eastAsia"/>
          <w:color w:val="796A4F"/>
          <w:sz w:val="21"/>
          <w:szCs w:val="21"/>
        </w:rPr>
        <w:t>280</w:t>
      </w:r>
      <w:r w:rsidRPr="000C5399">
        <w:rPr>
          <w:rFonts w:ascii="Arial" w:hAnsi="Arial" w:cs="Arial" w:hint="eastAsia"/>
          <w:color w:val="796A4F"/>
          <w:sz w:val="21"/>
          <w:szCs w:val="21"/>
        </w:rPr>
        <w:t>万套，分别达到年度目标任务的</w:t>
      </w:r>
      <w:r w:rsidRPr="000C5399">
        <w:rPr>
          <w:rFonts w:ascii="Arial" w:hAnsi="Arial" w:cs="Arial" w:hint="eastAsia"/>
          <w:color w:val="796A4F"/>
          <w:sz w:val="21"/>
          <w:szCs w:val="21"/>
        </w:rPr>
        <w:t>76%</w:t>
      </w:r>
      <w:r w:rsidRPr="000C5399">
        <w:rPr>
          <w:rFonts w:ascii="Arial" w:hAnsi="Arial" w:cs="Arial" w:hint="eastAsia"/>
          <w:color w:val="796A4F"/>
          <w:sz w:val="21"/>
          <w:szCs w:val="21"/>
        </w:rPr>
        <w:t>和</w:t>
      </w:r>
      <w:r w:rsidRPr="000C5399">
        <w:rPr>
          <w:rFonts w:ascii="Arial" w:hAnsi="Arial" w:cs="Arial" w:hint="eastAsia"/>
          <w:color w:val="796A4F"/>
          <w:sz w:val="21"/>
          <w:szCs w:val="21"/>
        </w:rPr>
        <w:t>58%</w:t>
      </w:r>
      <w:r w:rsidRPr="000C5399">
        <w:rPr>
          <w:rFonts w:ascii="Arial" w:hAnsi="Arial" w:cs="Arial" w:hint="eastAsia"/>
          <w:color w:val="796A4F"/>
          <w:sz w:val="21"/>
          <w:szCs w:val="21"/>
        </w:rPr>
        <w:t>，完成投资</w:t>
      </w:r>
      <w:r w:rsidRPr="000C5399">
        <w:rPr>
          <w:rFonts w:ascii="Arial" w:hAnsi="Arial" w:cs="Arial" w:hint="eastAsia"/>
          <w:color w:val="796A4F"/>
          <w:sz w:val="21"/>
          <w:szCs w:val="21"/>
        </w:rPr>
        <w:t>7200</w:t>
      </w:r>
      <w:r w:rsidRPr="000C5399">
        <w:rPr>
          <w:rFonts w:ascii="Arial" w:hAnsi="Arial" w:cs="Arial" w:hint="eastAsia"/>
          <w:color w:val="796A4F"/>
          <w:sz w:val="21"/>
          <w:szCs w:val="21"/>
        </w:rPr>
        <w:t>亿元。</w:t>
      </w:r>
      <w:r>
        <w:rPr>
          <w:rFonts w:ascii="Arial" w:hAnsi="Arial" w:cs="Arial" w:hint="eastAsia"/>
          <w:color w:val="796A4F"/>
          <w:sz w:val="21"/>
          <w:szCs w:val="21"/>
        </w:rPr>
        <w:t>而</w:t>
      </w:r>
      <w:r>
        <w:rPr>
          <w:rFonts w:ascii="Arial" w:hAnsi="Arial" w:cs="Arial"/>
          <w:color w:val="796A4F"/>
          <w:sz w:val="21"/>
          <w:szCs w:val="21"/>
        </w:rPr>
        <w:t>铁路方面，</w:t>
      </w:r>
      <w:r w:rsidRPr="00B75339">
        <w:rPr>
          <w:rFonts w:ascii="Arial" w:hAnsi="Arial" w:cs="Arial" w:hint="eastAsia"/>
          <w:color w:val="796A4F"/>
          <w:sz w:val="21"/>
          <w:szCs w:val="21"/>
        </w:rPr>
        <w:t>数据显示，前三季度铁路完成投资（含基本建设、更新改造和机车车辆购置）</w:t>
      </w:r>
      <w:r w:rsidRPr="00B75339">
        <w:rPr>
          <w:rFonts w:ascii="Arial" w:hAnsi="Arial" w:cs="Arial" w:hint="eastAsia"/>
          <w:color w:val="796A4F"/>
          <w:sz w:val="21"/>
          <w:szCs w:val="21"/>
        </w:rPr>
        <w:t>4563</w:t>
      </w:r>
      <w:r w:rsidRPr="00B75339">
        <w:rPr>
          <w:rFonts w:ascii="Arial" w:hAnsi="Arial" w:cs="Arial" w:hint="eastAsia"/>
          <w:color w:val="796A4F"/>
          <w:sz w:val="21"/>
          <w:szCs w:val="21"/>
        </w:rPr>
        <w:t>亿元，同比增长</w:t>
      </w:r>
      <w:r w:rsidRPr="00B75339">
        <w:rPr>
          <w:rFonts w:ascii="Arial" w:hAnsi="Arial" w:cs="Arial" w:hint="eastAsia"/>
          <w:color w:val="796A4F"/>
          <w:sz w:val="21"/>
          <w:szCs w:val="21"/>
        </w:rPr>
        <w:t>23.4%</w:t>
      </w:r>
      <w:r w:rsidRPr="00B75339">
        <w:rPr>
          <w:rFonts w:ascii="Arial" w:hAnsi="Arial" w:cs="Arial" w:hint="eastAsia"/>
          <w:color w:val="796A4F"/>
          <w:sz w:val="21"/>
          <w:szCs w:val="21"/>
        </w:rPr>
        <w:t>，增速较上半年加快</w:t>
      </w:r>
      <w:r w:rsidRPr="00B75339">
        <w:rPr>
          <w:rFonts w:ascii="Arial" w:hAnsi="Arial" w:cs="Arial" w:hint="eastAsia"/>
          <w:color w:val="796A4F"/>
          <w:sz w:val="21"/>
          <w:szCs w:val="21"/>
        </w:rPr>
        <w:t>14.5</w:t>
      </w:r>
      <w:r w:rsidRPr="00B75339">
        <w:rPr>
          <w:rFonts w:ascii="Arial" w:hAnsi="Arial" w:cs="Arial" w:hint="eastAsia"/>
          <w:color w:val="796A4F"/>
          <w:sz w:val="21"/>
          <w:szCs w:val="21"/>
        </w:rPr>
        <w:t>个百分点。</w:t>
      </w:r>
      <w:r w:rsidRPr="008339C6">
        <w:rPr>
          <w:rFonts w:ascii="Arial" w:hAnsi="Arial" w:cs="Arial" w:hint="eastAsia"/>
          <w:color w:val="796A4F"/>
          <w:sz w:val="21"/>
          <w:szCs w:val="21"/>
        </w:rPr>
        <w:t>10</w:t>
      </w:r>
      <w:r w:rsidRPr="008339C6">
        <w:rPr>
          <w:rFonts w:ascii="Arial" w:hAnsi="Arial" w:cs="Arial" w:hint="eastAsia"/>
          <w:color w:val="796A4F"/>
          <w:sz w:val="21"/>
          <w:szCs w:val="21"/>
        </w:rPr>
        <w:t>月</w:t>
      </w:r>
      <w:proofErr w:type="gramStart"/>
      <w:r w:rsidRPr="008339C6">
        <w:rPr>
          <w:rFonts w:ascii="Arial" w:hAnsi="Arial" w:cs="Arial" w:hint="eastAsia"/>
          <w:color w:val="796A4F"/>
          <w:sz w:val="21"/>
          <w:szCs w:val="21"/>
        </w:rPr>
        <w:t>发改委连续</w:t>
      </w:r>
      <w:proofErr w:type="gramEnd"/>
      <w:r w:rsidRPr="008339C6">
        <w:rPr>
          <w:rFonts w:ascii="Arial" w:hAnsi="Arial" w:cs="Arial" w:hint="eastAsia"/>
          <w:color w:val="796A4F"/>
          <w:sz w:val="21"/>
          <w:szCs w:val="21"/>
        </w:rPr>
        <w:t>批复多条铁路项目，项目投资总额近</w:t>
      </w:r>
      <w:r w:rsidRPr="008339C6">
        <w:rPr>
          <w:rFonts w:ascii="Arial" w:hAnsi="Arial" w:cs="Arial" w:hint="eastAsia"/>
          <w:color w:val="796A4F"/>
          <w:sz w:val="21"/>
          <w:szCs w:val="21"/>
        </w:rPr>
        <w:t>5000</w:t>
      </w:r>
      <w:r>
        <w:rPr>
          <w:rFonts w:ascii="Arial" w:hAnsi="Arial" w:cs="Arial" w:hint="eastAsia"/>
          <w:color w:val="796A4F"/>
          <w:sz w:val="21"/>
          <w:szCs w:val="21"/>
        </w:rPr>
        <w:t>亿元，</w:t>
      </w:r>
      <w:r w:rsidRPr="008339C6">
        <w:rPr>
          <w:rFonts w:ascii="Arial" w:hAnsi="Arial" w:cs="Arial" w:hint="eastAsia"/>
          <w:color w:val="796A4F"/>
          <w:sz w:val="21"/>
          <w:szCs w:val="21"/>
        </w:rPr>
        <w:t>20</w:t>
      </w:r>
      <w:r w:rsidRPr="008339C6">
        <w:rPr>
          <w:rFonts w:ascii="Arial" w:hAnsi="Arial" w:cs="Arial" w:hint="eastAsia"/>
          <w:color w:val="796A4F"/>
          <w:sz w:val="21"/>
          <w:szCs w:val="21"/>
        </w:rPr>
        <w:t>多个年初未获批项目在下半年提前开工</w:t>
      </w:r>
      <w:r>
        <w:rPr>
          <w:rFonts w:ascii="Arial" w:hAnsi="Arial" w:cs="Arial" w:hint="eastAsia"/>
          <w:color w:val="796A4F"/>
          <w:sz w:val="21"/>
          <w:szCs w:val="21"/>
        </w:rPr>
        <w:t>。基建投资对钢材房地产市场下滑造成的需求缺口有较大的填补，对钢材后市的需求有较大支撑</w:t>
      </w:r>
      <w:r>
        <w:rPr>
          <w:rFonts w:ascii="Arial" w:hAnsi="Arial" w:cs="Arial"/>
          <w:color w:val="796A4F"/>
          <w:sz w:val="21"/>
          <w:szCs w:val="21"/>
        </w:rPr>
        <w:t>。</w:t>
      </w:r>
    </w:p>
    <w:p w:rsidR="00AE039B" w:rsidRPr="00DB1801" w:rsidRDefault="00DB1801" w:rsidP="00DB1801">
      <w:pPr>
        <w:pStyle w:val="3"/>
        <w:rPr>
          <w:rFonts w:hint="eastAsia"/>
          <w:color w:val="000000" w:themeColor="text1"/>
          <w:sz w:val="21"/>
          <w:szCs w:val="21"/>
        </w:rPr>
      </w:pPr>
      <w:r>
        <w:rPr>
          <w:rFonts w:hint="eastAsia"/>
          <w:color w:val="000000" w:themeColor="text1"/>
          <w:sz w:val="21"/>
          <w:szCs w:val="21"/>
        </w:rPr>
        <w:t>五</w:t>
      </w:r>
      <w:r w:rsidRPr="00DB1801">
        <w:rPr>
          <w:rFonts w:hint="eastAsia"/>
          <w:color w:val="000000" w:themeColor="text1"/>
          <w:sz w:val="21"/>
          <w:szCs w:val="21"/>
        </w:rPr>
        <w:t>、</w:t>
      </w:r>
      <w:r>
        <w:rPr>
          <w:rFonts w:hint="eastAsia"/>
          <w:color w:val="000000" w:themeColor="text1"/>
          <w:sz w:val="21"/>
          <w:szCs w:val="21"/>
        </w:rPr>
        <w:t>钢铁行业</w:t>
      </w:r>
      <w:r>
        <w:rPr>
          <w:rFonts w:hint="eastAsia"/>
          <w:color w:val="000000" w:themeColor="text1"/>
          <w:sz w:val="21"/>
          <w:szCs w:val="21"/>
        </w:rPr>
        <w:t>PMI</w:t>
      </w:r>
      <w:r>
        <w:rPr>
          <w:rFonts w:hint="eastAsia"/>
          <w:color w:val="000000" w:themeColor="text1"/>
          <w:sz w:val="21"/>
          <w:szCs w:val="21"/>
        </w:rPr>
        <w:t>指数出现回升</w:t>
      </w:r>
    </w:p>
    <w:p w:rsidR="00DB1801" w:rsidRDefault="00DB1801" w:rsidP="00800678">
      <w:pPr>
        <w:spacing w:after="0"/>
        <w:rPr>
          <w:rFonts w:ascii="宋体" w:hAnsi="宋体" w:hint="eastAsia"/>
          <w:color w:val="796A4F"/>
          <w:sz w:val="21"/>
          <w:szCs w:val="21"/>
        </w:rPr>
      </w:pPr>
    </w:p>
    <w:p w:rsidR="00DB1801" w:rsidRDefault="00DB1801" w:rsidP="00DB1801">
      <w:pPr>
        <w:pStyle w:val="ad"/>
        <w:spacing w:beforeLines="50" w:beforeAutospacing="0" w:after="50" w:afterAutospacing="0" w:line="276" w:lineRule="auto"/>
        <w:jc w:val="center"/>
        <w:rPr>
          <w:rFonts w:hint="eastAsia"/>
          <w:bCs/>
          <w:i/>
          <w:color w:val="796A4F"/>
          <w:sz w:val="21"/>
          <w:szCs w:val="21"/>
        </w:rPr>
      </w:pPr>
      <w:r w:rsidRPr="002F0C7F">
        <w:rPr>
          <w:bCs/>
          <w:i/>
          <w:color w:val="796A4F"/>
          <w:sz w:val="21"/>
          <w:szCs w:val="21"/>
        </w:rPr>
        <w:lastRenderedPageBreak/>
        <w:drawing>
          <wp:inline distT="0" distB="0" distL="0" distR="0">
            <wp:extent cx="5425440" cy="3345180"/>
            <wp:effectExtent l="19050" t="0" r="3810" b="0"/>
            <wp:docPr id="293" name="图片 264"/>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3" cstate="print"/>
                    <a:stretch>
                      <a:fillRect/>
                    </a:stretch>
                  </pic:blipFill>
                  <pic:spPr>
                    <a:xfrm>
                      <a:off x="0" y="0"/>
                      <a:ext cx="5425440" cy="3345180"/>
                    </a:xfrm>
                    <a:prstGeom prst="rect">
                      <a:avLst/>
                    </a:prstGeom>
                  </pic:spPr>
                </pic:pic>
              </a:graphicData>
            </a:graphic>
          </wp:inline>
        </w:drawing>
      </w:r>
    </w:p>
    <w:p w:rsidR="00DB1801" w:rsidRDefault="00DB1801" w:rsidP="00DB1801">
      <w:pPr>
        <w:pStyle w:val="ad"/>
        <w:spacing w:beforeLines="50" w:beforeAutospacing="0" w:after="50" w:afterAutospacing="0" w:line="276" w:lineRule="auto"/>
        <w:jc w:val="center"/>
        <w:rPr>
          <w:rFonts w:ascii="新宋体" w:eastAsia="新宋体" w:hAnsi="新宋体" w:hint="eastAsia"/>
          <w:color w:val="796A4F"/>
          <w:sz w:val="21"/>
          <w:szCs w:val="21"/>
        </w:rPr>
      </w:pPr>
      <w:r w:rsidRPr="00D17C57">
        <w:rPr>
          <w:rFonts w:ascii="新宋体" w:eastAsia="新宋体" w:hAnsi="新宋体" w:hint="eastAsia"/>
          <w:color w:val="796A4F"/>
          <w:sz w:val="21"/>
          <w:szCs w:val="21"/>
        </w:rPr>
        <w:t>图</w:t>
      </w:r>
      <w:r>
        <w:rPr>
          <w:rFonts w:ascii="新宋体" w:eastAsia="新宋体" w:hAnsi="新宋体" w:hint="eastAsia"/>
          <w:color w:val="796A4F"/>
          <w:sz w:val="21"/>
          <w:szCs w:val="21"/>
        </w:rPr>
        <w:t>3-1</w:t>
      </w:r>
      <w:r w:rsidR="005B13B1">
        <w:rPr>
          <w:rFonts w:ascii="新宋体" w:eastAsia="新宋体" w:hAnsi="新宋体" w:hint="eastAsia"/>
          <w:color w:val="796A4F"/>
          <w:sz w:val="21"/>
          <w:szCs w:val="21"/>
        </w:rPr>
        <w:t>2</w:t>
      </w:r>
      <w:r w:rsidRPr="00D17C57">
        <w:rPr>
          <w:rFonts w:ascii="新宋体" w:eastAsia="新宋体" w:hAnsi="新宋体" w:hint="eastAsia"/>
          <w:color w:val="796A4F"/>
          <w:sz w:val="21"/>
          <w:szCs w:val="21"/>
        </w:rPr>
        <w:t>：</w:t>
      </w:r>
      <w:r w:rsidRPr="002F0C7F">
        <w:rPr>
          <w:rFonts w:ascii="新宋体" w:eastAsia="新宋体" w:hAnsi="新宋体" w:hint="eastAsia"/>
          <w:color w:val="796A4F"/>
          <w:sz w:val="21"/>
          <w:szCs w:val="21"/>
        </w:rPr>
        <w:t>全国钢铁行业PMI指数与河北钢铁行业PMI指数对比</w:t>
      </w:r>
    </w:p>
    <w:p w:rsidR="00DB1801" w:rsidRPr="002F0C7F" w:rsidRDefault="00DB1801" w:rsidP="00DB1801">
      <w:pPr>
        <w:pStyle w:val="ad"/>
        <w:spacing w:beforeLines="50" w:beforeAutospacing="0" w:after="50" w:afterAutospacing="0" w:line="276" w:lineRule="auto"/>
        <w:jc w:val="center"/>
        <w:rPr>
          <w:rFonts w:hint="eastAsia"/>
          <w:bCs/>
          <w:color w:val="796A4F"/>
          <w:sz w:val="21"/>
          <w:szCs w:val="21"/>
        </w:rPr>
      </w:pPr>
      <w:r w:rsidRPr="002F0C7F">
        <w:rPr>
          <w:rFonts w:hint="eastAsia"/>
          <w:bCs/>
          <w:color w:val="796A4F"/>
          <w:sz w:val="21"/>
          <w:szCs w:val="21"/>
        </w:rPr>
        <w:t>资料来源：wind、方正中期研究院</w:t>
      </w:r>
    </w:p>
    <w:p w:rsidR="00DB1801" w:rsidRDefault="00DB1801" w:rsidP="00DB1801">
      <w:pPr>
        <w:pStyle w:val="ad"/>
        <w:spacing w:beforeLines="50" w:after="50"/>
        <w:ind w:firstLineChars="200" w:firstLine="420"/>
        <w:rPr>
          <w:rFonts w:ascii="新宋体" w:eastAsia="新宋体" w:hAnsi="新宋体" w:hint="eastAsia"/>
          <w:color w:val="796A4F"/>
          <w:sz w:val="21"/>
          <w:szCs w:val="21"/>
        </w:rPr>
      </w:pPr>
      <w:proofErr w:type="gramStart"/>
      <w:r w:rsidRPr="00DB1801">
        <w:rPr>
          <w:rFonts w:ascii="新宋体" w:eastAsia="新宋体" w:hAnsi="新宋体" w:hint="eastAsia"/>
          <w:color w:val="796A4F"/>
          <w:sz w:val="21"/>
          <w:szCs w:val="21"/>
        </w:rPr>
        <w:t>中物联钢铁</w:t>
      </w:r>
      <w:proofErr w:type="gramEnd"/>
      <w:r w:rsidRPr="00DB1801">
        <w:rPr>
          <w:rFonts w:ascii="新宋体" w:eastAsia="新宋体" w:hAnsi="新宋体" w:hint="eastAsia"/>
          <w:color w:val="796A4F"/>
          <w:sz w:val="21"/>
          <w:szCs w:val="21"/>
        </w:rPr>
        <w:t>物流专业委员会发布的10月份钢铁行业PMI指数为46.0%，较上月回升2.4个百分点。主要分项指数当中，生产指数、产成品库存指数下降，新订单指数和新出口订单指数回升。总体来看，近期钢铁行业整体形势较前期有所改善，</w:t>
      </w:r>
      <w:proofErr w:type="gramStart"/>
      <w:r w:rsidRPr="00DB1801">
        <w:rPr>
          <w:rFonts w:ascii="新宋体" w:eastAsia="新宋体" w:hAnsi="新宋体" w:hint="eastAsia"/>
          <w:color w:val="796A4F"/>
          <w:sz w:val="21"/>
          <w:szCs w:val="21"/>
        </w:rPr>
        <w:t>钢市呈现</w:t>
      </w:r>
      <w:proofErr w:type="gramEnd"/>
      <w:r w:rsidRPr="00DB1801">
        <w:rPr>
          <w:rFonts w:ascii="新宋体" w:eastAsia="新宋体" w:hAnsi="新宋体" w:hint="eastAsia"/>
          <w:color w:val="796A4F"/>
          <w:sz w:val="21"/>
          <w:szCs w:val="21"/>
        </w:rPr>
        <w:t>转好迹象，但钢铁行业PMI指数已连续六个月处于50%的荣枯线以下，行业景气度低迷的局面依然在延续。</w:t>
      </w:r>
    </w:p>
    <w:p w:rsidR="005B13B1" w:rsidRPr="005B13B1" w:rsidRDefault="005B13B1" w:rsidP="00DB1801">
      <w:pPr>
        <w:pStyle w:val="ad"/>
        <w:spacing w:beforeLines="50" w:after="50"/>
        <w:ind w:firstLineChars="200" w:firstLine="420"/>
        <w:rPr>
          <w:rFonts w:ascii="新宋体" w:eastAsia="新宋体" w:hAnsi="新宋体" w:hint="eastAsia"/>
          <w:color w:val="796A4F"/>
          <w:sz w:val="21"/>
          <w:szCs w:val="21"/>
        </w:rPr>
      </w:pPr>
      <w:r w:rsidRPr="005B13B1">
        <w:rPr>
          <w:rFonts w:ascii="新宋体" w:eastAsia="新宋体" w:hAnsi="新宋体" w:hint="eastAsia"/>
          <w:color w:val="796A4F"/>
          <w:sz w:val="21"/>
          <w:szCs w:val="21"/>
        </w:rPr>
        <w:t>10月份新出口订单指数为46.9%，环比增加1.8个百分点。随着近几年钢价的持续下跌，更多的钢厂将目光投向国际市场，同时国家对优质钢材也有相应退税的政策支持，预计10月份我国钢铁出口量仍有大幅增长。10月份的产出指数为42.2%，环比增加5.8个百分点。随着订单的增加，利润空间的扩大，钢厂生产积极性明显提升，产出指数有所增加。10月份成品材库存指数为32.7%，环比下降22个百分点。今年以来，国内价格跌</w:t>
      </w:r>
      <w:proofErr w:type="gramStart"/>
      <w:r w:rsidRPr="005B13B1">
        <w:rPr>
          <w:rFonts w:ascii="新宋体" w:eastAsia="新宋体" w:hAnsi="新宋体" w:hint="eastAsia"/>
          <w:color w:val="796A4F"/>
          <w:sz w:val="21"/>
          <w:szCs w:val="21"/>
        </w:rPr>
        <w:t>跌</w:t>
      </w:r>
      <w:proofErr w:type="gramEnd"/>
      <w:r w:rsidRPr="005B13B1">
        <w:rPr>
          <w:rFonts w:ascii="新宋体" w:eastAsia="新宋体" w:hAnsi="新宋体" w:hint="eastAsia"/>
          <w:color w:val="796A4F"/>
          <w:sz w:val="21"/>
          <w:szCs w:val="21"/>
        </w:rPr>
        <w:t>不休，社会库存长期处于低位，随着10月份下游需求的转好，现货价格明显反弹，市场接盘意愿变强，钢厂库存也得以快速消化，成品材库存指数大幅下滑。10月份的原材料库存指数为38.7，环比增加1.5个百分点。可见随着需求的转好，钢厂生产节奏的加快，许多钢厂也进行正常的原料补库行为。</w:t>
      </w:r>
    </w:p>
    <w:p w:rsidR="00DB1801" w:rsidRPr="00DB1801" w:rsidRDefault="00DB1801" w:rsidP="00DB1801">
      <w:pPr>
        <w:pStyle w:val="ad"/>
        <w:spacing w:beforeLines="50" w:after="50"/>
        <w:ind w:firstLineChars="200" w:firstLine="420"/>
        <w:rPr>
          <w:rFonts w:ascii="新宋体" w:eastAsia="新宋体" w:hAnsi="新宋体" w:hint="eastAsia"/>
          <w:color w:val="796A4F"/>
          <w:sz w:val="21"/>
          <w:szCs w:val="21"/>
        </w:rPr>
      </w:pPr>
      <w:r w:rsidRPr="00DB1801">
        <w:rPr>
          <w:rFonts w:ascii="新宋体" w:eastAsia="新宋体" w:hAnsi="新宋体" w:hint="eastAsia"/>
          <w:color w:val="796A4F"/>
          <w:sz w:val="21"/>
          <w:szCs w:val="21"/>
        </w:rPr>
        <w:t>尽管钢铁PMI指数结束两连降的局面，但行业低迷状态依然持续，这显示钢价的成本支撑仍然不足。10月份钢铁行业PMI指数出现回暖，显示出行业整体形势有所改善，对</w:t>
      </w:r>
      <w:proofErr w:type="gramStart"/>
      <w:r w:rsidRPr="00DB1801">
        <w:rPr>
          <w:rFonts w:ascii="新宋体" w:eastAsia="新宋体" w:hAnsi="新宋体" w:hint="eastAsia"/>
          <w:color w:val="796A4F"/>
          <w:sz w:val="21"/>
          <w:szCs w:val="21"/>
        </w:rPr>
        <w:t>国内钢市</w:t>
      </w:r>
      <w:proofErr w:type="gramEnd"/>
      <w:r w:rsidRPr="00DB1801">
        <w:rPr>
          <w:rFonts w:ascii="新宋体" w:eastAsia="新宋体" w:hAnsi="新宋体" w:hint="eastAsia"/>
          <w:color w:val="796A4F"/>
          <w:sz w:val="21"/>
          <w:szCs w:val="21"/>
        </w:rPr>
        <w:t>信心将形成提振作用。考虑到南北价差较大以及期现大幅贴水，</w:t>
      </w:r>
      <w:proofErr w:type="gramStart"/>
      <w:r w:rsidRPr="00DB1801">
        <w:rPr>
          <w:rFonts w:ascii="新宋体" w:eastAsia="新宋体" w:hAnsi="新宋体" w:hint="eastAsia"/>
          <w:color w:val="796A4F"/>
          <w:sz w:val="21"/>
          <w:szCs w:val="21"/>
        </w:rPr>
        <w:t>北材南下</w:t>
      </w:r>
      <w:proofErr w:type="gramEnd"/>
      <w:r w:rsidRPr="00DB1801">
        <w:rPr>
          <w:rFonts w:ascii="新宋体" w:eastAsia="新宋体" w:hAnsi="新宋体" w:hint="eastAsia"/>
          <w:color w:val="796A4F"/>
          <w:sz w:val="21"/>
          <w:szCs w:val="21"/>
        </w:rPr>
        <w:t>力度加大将对南方市场供应形成压力。不过当前社会库存处于历史低位、钢厂库存也较前期明显消化，低库存对钢价的支撑依然明显。另外，9月以来，钢价及社会低库存屡创新低，同时，对限购政策及地产开发商发贷的放松在预期方面促进钢价出现反弹，</w:t>
      </w:r>
      <w:r>
        <w:rPr>
          <w:rFonts w:ascii="新宋体" w:eastAsia="新宋体" w:hAnsi="新宋体" w:hint="eastAsia"/>
          <w:color w:val="796A4F"/>
          <w:sz w:val="21"/>
          <w:szCs w:val="21"/>
        </w:rPr>
        <w:t>钢价反弹是大跌后的</w:t>
      </w:r>
      <w:r w:rsidRPr="00DB1801">
        <w:rPr>
          <w:rFonts w:ascii="新宋体" w:eastAsia="新宋体" w:hAnsi="新宋体" w:hint="eastAsia"/>
          <w:color w:val="796A4F"/>
          <w:sz w:val="21"/>
          <w:szCs w:val="21"/>
        </w:rPr>
        <w:t>阶段性企稳和情绪性因素，经济增速下降中，钢价好转将来自于供给端的改善，或钢厂出现实质性的减产，但在三季度部分钢厂盈利尚可的情况下，预计四季度还将呈现钢价</w:t>
      </w:r>
      <w:r>
        <w:rPr>
          <w:rFonts w:ascii="新宋体" w:eastAsia="新宋体" w:hAnsi="新宋体" w:hint="eastAsia"/>
          <w:color w:val="796A4F"/>
          <w:sz w:val="21"/>
          <w:szCs w:val="21"/>
        </w:rPr>
        <w:t>重</w:t>
      </w:r>
      <w:proofErr w:type="gramStart"/>
      <w:r>
        <w:rPr>
          <w:rFonts w:ascii="新宋体" w:eastAsia="新宋体" w:hAnsi="新宋体" w:hint="eastAsia"/>
          <w:color w:val="796A4F"/>
          <w:sz w:val="21"/>
          <w:szCs w:val="21"/>
        </w:rPr>
        <w:t>回</w:t>
      </w:r>
      <w:r w:rsidRPr="00DB1801">
        <w:rPr>
          <w:rFonts w:ascii="新宋体" w:eastAsia="新宋体" w:hAnsi="新宋体" w:hint="eastAsia"/>
          <w:color w:val="796A4F"/>
          <w:sz w:val="21"/>
          <w:szCs w:val="21"/>
        </w:rPr>
        <w:t>下跌</w:t>
      </w:r>
      <w:proofErr w:type="gramEnd"/>
      <w:r w:rsidRPr="00DB1801">
        <w:rPr>
          <w:rFonts w:ascii="新宋体" w:eastAsia="新宋体" w:hAnsi="新宋体" w:hint="eastAsia"/>
          <w:color w:val="796A4F"/>
          <w:sz w:val="21"/>
          <w:szCs w:val="21"/>
        </w:rPr>
        <w:t>直至冬季补库存。</w:t>
      </w:r>
    </w:p>
    <w:p w:rsidR="00DB1801" w:rsidRDefault="00DB1801" w:rsidP="00DB1801">
      <w:pPr>
        <w:pStyle w:val="ad"/>
        <w:spacing w:beforeLines="50" w:after="50"/>
        <w:ind w:firstLineChars="200" w:firstLine="420"/>
        <w:rPr>
          <w:rFonts w:ascii="新宋体" w:eastAsia="新宋体" w:hAnsi="新宋体" w:hint="eastAsia"/>
          <w:color w:val="796A4F"/>
          <w:sz w:val="21"/>
          <w:szCs w:val="21"/>
        </w:rPr>
      </w:pPr>
      <w:r>
        <w:rPr>
          <w:rFonts w:ascii="新宋体" w:eastAsia="新宋体" w:hAnsi="新宋体" w:hint="eastAsia"/>
          <w:color w:val="796A4F"/>
          <w:sz w:val="21"/>
          <w:szCs w:val="21"/>
        </w:rPr>
        <w:lastRenderedPageBreak/>
        <w:t>今年</w:t>
      </w:r>
      <w:r w:rsidRPr="00DB1801">
        <w:rPr>
          <w:rFonts w:ascii="新宋体" w:eastAsia="新宋体" w:hAnsi="新宋体" w:hint="eastAsia"/>
          <w:color w:val="796A4F"/>
          <w:sz w:val="21"/>
          <w:szCs w:val="21"/>
        </w:rPr>
        <w:t>三季度</w:t>
      </w:r>
      <w:proofErr w:type="gramStart"/>
      <w:r w:rsidRPr="00DB1801">
        <w:rPr>
          <w:rFonts w:ascii="新宋体" w:eastAsia="新宋体" w:hAnsi="新宋体" w:hint="eastAsia"/>
          <w:color w:val="796A4F"/>
          <w:sz w:val="21"/>
          <w:szCs w:val="21"/>
        </w:rPr>
        <w:t>钢企利润</w:t>
      </w:r>
      <w:proofErr w:type="gramEnd"/>
      <w:r w:rsidRPr="00DB1801">
        <w:rPr>
          <w:rFonts w:ascii="新宋体" w:eastAsia="新宋体" w:hAnsi="新宋体" w:hint="eastAsia"/>
          <w:color w:val="796A4F"/>
          <w:sz w:val="21"/>
          <w:szCs w:val="21"/>
        </w:rPr>
        <w:t>有所好转，10月份</w:t>
      </w:r>
      <w:proofErr w:type="gramStart"/>
      <w:r w:rsidRPr="00DB1801">
        <w:rPr>
          <w:rFonts w:ascii="新宋体" w:eastAsia="新宋体" w:hAnsi="新宋体" w:hint="eastAsia"/>
          <w:color w:val="796A4F"/>
          <w:sz w:val="21"/>
          <w:szCs w:val="21"/>
        </w:rPr>
        <w:t>国内钢</w:t>
      </w:r>
      <w:proofErr w:type="gramEnd"/>
      <w:r w:rsidRPr="00DB1801">
        <w:rPr>
          <w:rFonts w:ascii="新宋体" w:eastAsia="新宋体" w:hAnsi="新宋体" w:hint="eastAsia"/>
          <w:color w:val="796A4F"/>
          <w:sz w:val="21"/>
          <w:szCs w:val="21"/>
        </w:rPr>
        <w:t>价有所回升，但在原料端及需求端制约下，反弹空间有限，预计出口订单将保持旺盛。中长期来看，钢铁供给环境改善趋势较为确定，不确定性主要集中在需求的短期波动，但只要需求仍能维持低速正增长状态，钢铁行业利润中枢仍将呈上升趋势。</w:t>
      </w:r>
    </w:p>
    <w:p w:rsidR="00DB1801" w:rsidRPr="00DB1801" w:rsidRDefault="00DB1801" w:rsidP="00800678">
      <w:pPr>
        <w:spacing w:after="0"/>
        <w:rPr>
          <w:rFonts w:ascii="宋体" w:hAnsi="宋体" w:hint="eastAsia"/>
          <w:color w:val="796A4F"/>
          <w:sz w:val="21"/>
          <w:szCs w:val="21"/>
        </w:rPr>
      </w:pPr>
    </w:p>
    <w:p w:rsidR="00D8613E" w:rsidRPr="00D8613E" w:rsidRDefault="00F434DB" w:rsidP="00D8613E">
      <w:pPr>
        <w:pStyle w:val="3"/>
        <w:rPr>
          <w:rFonts w:hint="eastAsia"/>
          <w:color w:val="000000" w:themeColor="text1"/>
          <w:sz w:val="21"/>
          <w:szCs w:val="21"/>
        </w:rPr>
      </w:pPr>
      <w:r>
        <w:rPr>
          <w:rFonts w:hint="eastAsia"/>
          <w:color w:val="000000" w:themeColor="text1"/>
          <w:sz w:val="21"/>
          <w:szCs w:val="21"/>
        </w:rPr>
        <w:t>六</w:t>
      </w:r>
      <w:r w:rsidR="00D8613E" w:rsidRPr="00D8613E">
        <w:rPr>
          <w:rFonts w:hint="eastAsia"/>
          <w:color w:val="000000" w:themeColor="text1"/>
          <w:sz w:val="21"/>
          <w:szCs w:val="21"/>
        </w:rPr>
        <w:t>、今年钢铁传统旺季已过形势不佳</w:t>
      </w:r>
    </w:p>
    <w:p w:rsidR="00D8613E" w:rsidRDefault="00D8613E" w:rsidP="00D8613E">
      <w:pPr>
        <w:rPr>
          <w:rFonts w:hint="eastAsia"/>
        </w:rPr>
      </w:pPr>
    </w:p>
    <w:p w:rsidR="003711A2" w:rsidRDefault="003711A2" w:rsidP="00060C65">
      <w:pPr>
        <w:pStyle w:val="ad"/>
        <w:spacing w:beforeLines="50" w:beforeAutospacing="0" w:after="50" w:afterAutospacing="0" w:line="276" w:lineRule="auto"/>
        <w:ind w:firstLineChars="200" w:firstLine="420"/>
        <w:rPr>
          <w:rFonts w:ascii="Arial" w:hAnsi="Arial" w:cs="Arial" w:hint="eastAsia"/>
          <w:color w:val="796A4F"/>
          <w:sz w:val="21"/>
          <w:szCs w:val="21"/>
        </w:rPr>
      </w:pPr>
      <w:proofErr w:type="gramStart"/>
      <w:r w:rsidRPr="003B3B99">
        <w:rPr>
          <w:rFonts w:ascii="Arial" w:hAnsi="Arial" w:cs="Arial" w:hint="eastAsia"/>
          <w:color w:val="796A4F"/>
          <w:sz w:val="21"/>
          <w:szCs w:val="21"/>
        </w:rPr>
        <w:t>国内钢市</w:t>
      </w:r>
      <w:proofErr w:type="gramEnd"/>
      <w:r w:rsidRPr="003B3B99">
        <w:rPr>
          <w:rFonts w:ascii="Arial" w:hAnsi="Arial" w:cs="Arial" w:hint="eastAsia"/>
          <w:color w:val="796A4F"/>
          <w:sz w:val="21"/>
          <w:szCs w:val="21"/>
        </w:rPr>
        <w:t>向来都有“金三银四”和“金九银十”的传统旺季之说，</w:t>
      </w:r>
      <w:r w:rsidR="00060C65">
        <w:rPr>
          <w:rFonts w:ascii="Arial" w:hAnsi="Arial" w:cs="Arial" w:hint="eastAsia"/>
          <w:color w:val="796A4F"/>
          <w:sz w:val="21"/>
          <w:szCs w:val="21"/>
        </w:rPr>
        <w:t>我们</w:t>
      </w:r>
      <w:r w:rsidRPr="003B3B99">
        <w:rPr>
          <w:rFonts w:ascii="Arial" w:hAnsi="Arial" w:cs="Arial" w:hint="eastAsia"/>
          <w:color w:val="796A4F"/>
          <w:sz w:val="21"/>
          <w:szCs w:val="21"/>
        </w:rPr>
        <w:t>常常对“金三银四”和“金九银十”寄于厚望。不过，随着</w:t>
      </w:r>
      <w:r w:rsidR="00060C65">
        <w:rPr>
          <w:rFonts w:ascii="Arial" w:hAnsi="Arial" w:cs="Arial" w:hint="eastAsia"/>
          <w:color w:val="796A4F"/>
          <w:sz w:val="21"/>
          <w:szCs w:val="21"/>
        </w:rPr>
        <w:t>2013</w:t>
      </w:r>
      <w:r w:rsidR="00060C65">
        <w:rPr>
          <w:rFonts w:ascii="Arial" w:hAnsi="Arial" w:cs="Arial" w:hint="eastAsia"/>
          <w:color w:val="796A4F"/>
          <w:sz w:val="21"/>
          <w:szCs w:val="21"/>
        </w:rPr>
        <w:t>年以来，钢材</w:t>
      </w:r>
      <w:r w:rsidRPr="003B3B99">
        <w:rPr>
          <w:rFonts w:ascii="Arial" w:hAnsi="Arial" w:cs="Arial" w:hint="eastAsia"/>
          <w:color w:val="796A4F"/>
          <w:sz w:val="21"/>
          <w:szCs w:val="21"/>
        </w:rPr>
        <w:t>市场环境的深刻变化，所谓的“金三银四”和“金九银十”现象已经渐渐消失，与普通月份走势并未显现其特殊性。以今年的“金九银十”为例，今年</w:t>
      </w:r>
      <w:r w:rsidRPr="003B3B99">
        <w:rPr>
          <w:rFonts w:ascii="Arial" w:hAnsi="Arial" w:cs="Arial" w:hint="eastAsia"/>
          <w:color w:val="796A4F"/>
          <w:sz w:val="21"/>
          <w:szCs w:val="21"/>
        </w:rPr>
        <w:t>9</w:t>
      </w:r>
      <w:r w:rsidRPr="003B3B99">
        <w:rPr>
          <w:rFonts w:ascii="Arial" w:hAnsi="Arial" w:cs="Arial" w:hint="eastAsia"/>
          <w:color w:val="796A4F"/>
          <w:sz w:val="21"/>
          <w:szCs w:val="21"/>
        </w:rPr>
        <w:t>月份螺纹钢期货一度跌至</w:t>
      </w:r>
      <w:r w:rsidRPr="003B3B99">
        <w:rPr>
          <w:rFonts w:ascii="Arial" w:hAnsi="Arial" w:cs="Arial" w:hint="eastAsia"/>
          <w:color w:val="796A4F"/>
          <w:sz w:val="21"/>
          <w:szCs w:val="21"/>
        </w:rPr>
        <w:t>2507</w:t>
      </w:r>
      <w:r w:rsidRPr="003B3B99">
        <w:rPr>
          <w:rFonts w:ascii="Arial" w:hAnsi="Arial" w:cs="Arial" w:hint="eastAsia"/>
          <w:color w:val="796A4F"/>
          <w:sz w:val="21"/>
          <w:szCs w:val="21"/>
        </w:rPr>
        <w:t>元</w:t>
      </w:r>
      <w:r w:rsidRPr="003B3B99">
        <w:rPr>
          <w:rFonts w:ascii="Arial" w:hAnsi="Arial" w:cs="Arial" w:hint="eastAsia"/>
          <w:color w:val="796A4F"/>
          <w:sz w:val="21"/>
          <w:szCs w:val="21"/>
        </w:rPr>
        <w:t>/</w:t>
      </w:r>
      <w:r w:rsidRPr="003B3B99">
        <w:rPr>
          <w:rFonts w:ascii="Arial" w:hAnsi="Arial" w:cs="Arial" w:hint="eastAsia"/>
          <w:color w:val="796A4F"/>
          <w:sz w:val="21"/>
          <w:szCs w:val="21"/>
        </w:rPr>
        <w:t>吨，现货市场也跌至</w:t>
      </w:r>
      <w:r w:rsidRPr="003B3B99">
        <w:rPr>
          <w:rFonts w:ascii="Arial" w:hAnsi="Arial" w:cs="Arial" w:hint="eastAsia"/>
          <w:color w:val="796A4F"/>
          <w:sz w:val="21"/>
          <w:szCs w:val="21"/>
        </w:rPr>
        <w:t>2760</w:t>
      </w:r>
      <w:r w:rsidRPr="003B3B99">
        <w:rPr>
          <w:rFonts w:ascii="Arial" w:hAnsi="Arial" w:cs="Arial" w:hint="eastAsia"/>
          <w:color w:val="796A4F"/>
          <w:sz w:val="21"/>
          <w:szCs w:val="21"/>
        </w:rPr>
        <w:t>元</w:t>
      </w:r>
      <w:r w:rsidRPr="003B3B99">
        <w:rPr>
          <w:rFonts w:ascii="Arial" w:hAnsi="Arial" w:cs="Arial" w:hint="eastAsia"/>
          <w:color w:val="796A4F"/>
          <w:sz w:val="21"/>
          <w:szCs w:val="21"/>
        </w:rPr>
        <w:t>/</w:t>
      </w:r>
      <w:r w:rsidRPr="003B3B99">
        <w:rPr>
          <w:rFonts w:ascii="Arial" w:hAnsi="Arial" w:cs="Arial" w:hint="eastAsia"/>
          <w:color w:val="796A4F"/>
          <w:sz w:val="21"/>
          <w:szCs w:val="21"/>
        </w:rPr>
        <w:t>吨，均创近年来的新低；</w:t>
      </w:r>
      <w:r w:rsidRPr="003B3B99">
        <w:rPr>
          <w:rFonts w:ascii="Arial" w:hAnsi="Arial" w:cs="Arial" w:hint="eastAsia"/>
          <w:color w:val="796A4F"/>
          <w:sz w:val="21"/>
          <w:szCs w:val="21"/>
        </w:rPr>
        <w:t>10</w:t>
      </w:r>
      <w:r w:rsidRPr="003B3B99">
        <w:rPr>
          <w:rFonts w:ascii="Arial" w:hAnsi="Arial" w:cs="Arial" w:hint="eastAsia"/>
          <w:color w:val="796A4F"/>
          <w:sz w:val="21"/>
          <w:szCs w:val="21"/>
        </w:rPr>
        <w:t>月份钢材价格虽有上涨，但幅度并不大。“金九银十”行情落空的背后其实是市场经营环境的变化在起作用。</w:t>
      </w:r>
    </w:p>
    <w:p w:rsidR="00060C65" w:rsidRPr="003B3B99" w:rsidRDefault="00060C65" w:rsidP="00060C65">
      <w:pPr>
        <w:pStyle w:val="ad"/>
        <w:spacing w:beforeLines="50" w:beforeAutospacing="0" w:after="50" w:afterAutospacing="0" w:line="276" w:lineRule="auto"/>
        <w:ind w:firstLineChars="200" w:firstLine="420"/>
        <w:rPr>
          <w:rFonts w:ascii="Arial" w:hAnsi="Arial" w:cs="Arial" w:hint="eastAsia"/>
          <w:color w:val="796A4F"/>
          <w:sz w:val="21"/>
          <w:szCs w:val="21"/>
        </w:rPr>
      </w:pPr>
      <w:r>
        <w:rPr>
          <w:rFonts w:ascii="Arial" w:hAnsi="Arial" w:cs="Arial" w:hint="eastAsia"/>
          <w:color w:val="796A4F"/>
          <w:sz w:val="21"/>
          <w:szCs w:val="21"/>
        </w:rPr>
        <w:t>今年整体钢铁库存出现大幅下降，但价格也是一路下行。</w:t>
      </w:r>
      <w:r w:rsidRPr="003B3B99">
        <w:rPr>
          <w:rFonts w:ascii="Arial" w:hAnsi="Arial" w:cs="Arial" w:hint="eastAsia"/>
          <w:color w:val="796A4F"/>
          <w:sz w:val="21"/>
          <w:szCs w:val="21"/>
        </w:rPr>
        <w:t>除去国庆节假期期间的短暂上涨外，今年钢材社会库存已经连续</w:t>
      </w:r>
      <w:r w:rsidRPr="003B3B99">
        <w:rPr>
          <w:rFonts w:ascii="Arial" w:hAnsi="Arial" w:cs="Arial" w:hint="eastAsia"/>
          <w:color w:val="796A4F"/>
          <w:sz w:val="21"/>
          <w:szCs w:val="21"/>
        </w:rPr>
        <w:t>32</w:t>
      </w:r>
      <w:r w:rsidRPr="003B3B99">
        <w:rPr>
          <w:rFonts w:ascii="Arial" w:hAnsi="Arial" w:cs="Arial" w:hint="eastAsia"/>
          <w:color w:val="796A4F"/>
          <w:sz w:val="21"/>
          <w:szCs w:val="21"/>
        </w:rPr>
        <w:t>周下降，累计降幅达</w:t>
      </w:r>
      <w:r w:rsidRPr="003B3B99">
        <w:rPr>
          <w:rFonts w:ascii="Arial" w:hAnsi="Arial" w:cs="Arial" w:hint="eastAsia"/>
          <w:color w:val="796A4F"/>
          <w:sz w:val="21"/>
          <w:szCs w:val="21"/>
        </w:rPr>
        <w:t>47.45%</w:t>
      </w:r>
      <w:r w:rsidRPr="003B3B99">
        <w:rPr>
          <w:rFonts w:ascii="Arial" w:hAnsi="Arial" w:cs="Arial" w:hint="eastAsia"/>
          <w:color w:val="796A4F"/>
          <w:sz w:val="21"/>
          <w:szCs w:val="21"/>
        </w:rPr>
        <w:t>，是</w:t>
      </w:r>
      <w:r w:rsidRPr="003B3B99">
        <w:rPr>
          <w:rFonts w:ascii="Arial" w:hAnsi="Arial" w:cs="Arial" w:hint="eastAsia"/>
          <w:color w:val="796A4F"/>
          <w:sz w:val="21"/>
          <w:szCs w:val="21"/>
        </w:rPr>
        <w:t>2009</w:t>
      </w:r>
      <w:r w:rsidRPr="003B3B99">
        <w:rPr>
          <w:rFonts w:ascii="Arial" w:hAnsi="Arial" w:cs="Arial" w:hint="eastAsia"/>
          <w:color w:val="796A4F"/>
          <w:sz w:val="21"/>
          <w:szCs w:val="21"/>
        </w:rPr>
        <w:t>年</w:t>
      </w:r>
      <w:r w:rsidRPr="003B3B99">
        <w:rPr>
          <w:rFonts w:ascii="Arial" w:hAnsi="Arial" w:cs="Arial" w:hint="eastAsia"/>
          <w:color w:val="796A4F"/>
          <w:sz w:val="21"/>
          <w:szCs w:val="21"/>
        </w:rPr>
        <w:t>9</w:t>
      </w:r>
      <w:r w:rsidRPr="003B3B99">
        <w:rPr>
          <w:rFonts w:ascii="Arial" w:hAnsi="Arial" w:cs="Arial" w:hint="eastAsia"/>
          <w:color w:val="796A4F"/>
          <w:sz w:val="21"/>
          <w:szCs w:val="21"/>
        </w:rPr>
        <w:t>月份以来的最低水平。但是，在库存持续下降的背景下，钢材价格并没有因此而得到支撑，反而一路下滑。</w:t>
      </w:r>
    </w:p>
    <w:p w:rsidR="003711A2" w:rsidRPr="003B3B99" w:rsidRDefault="003711A2" w:rsidP="003B3B99">
      <w:pPr>
        <w:pStyle w:val="ad"/>
        <w:spacing w:beforeLines="50" w:beforeAutospacing="0" w:after="50" w:afterAutospacing="0" w:line="276" w:lineRule="auto"/>
        <w:ind w:firstLineChars="200" w:firstLine="420"/>
        <w:rPr>
          <w:rFonts w:ascii="Arial" w:hAnsi="Arial" w:cs="Arial" w:hint="eastAsia"/>
          <w:color w:val="796A4F"/>
          <w:sz w:val="21"/>
          <w:szCs w:val="21"/>
        </w:rPr>
      </w:pPr>
      <w:r w:rsidRPr="003B3B99">
        <w:rPr>
          <w:rFonts w:ascii="Arial" w:hAnsi="Arial" w:cs="Arial" w:hint="eastAsia"/>
          <w:color w:val="796A4F"/>
          <w:sz w:val="21"/>
          <w:szCs w:val="21"/>
        </w:rPr>
        <w:t>供求严重失衡是市场环境发生的最明显、最根本的变化，而供大于求意味着行业进入微利时代。在传统</w:t>
      </w:r>
      <w:proofErr w:type="gramStart"/>
      <w:r w:rsidRPr="003B3B99">
        <w:rPr>
          <w:rFonts w:ascii="Arial" w:hAnsi="Arial" w:cs="Arial" w:hint="eastAsia"/>
          <w:color w:val="796A4F"/>
          <w:sz w:val="21"/>
          <w:szCs w:val="21"/>
        </w:rPr>
        <w:t>钢贸经营</w:t>
      </w:r>
      <w:proofErr w:type="gramEnd"/>
      <w:r w:rsidRPr="003B3B99">
        <w:rPr>
          <w:rFonts w:ascii="Arial" w:hAnsi="Arial" w:cs="Arial" w:hint="eastAsia"/>
          <w:color w:val="796A4F"/>
          <w:sz w:val="21"/>
          <w:szCs w:val="21"/>
        </w:rPr>
        <w:t>中，受供需关系支配，在“金三银四”和“金九银十”前，钢价一般处于低位，有资金实力的企业都会利用淡季进行库存准备，以备后市通过价差盈利。到了</w:t>
      </w:r>
      <w:r w:rsidRPr="003B3B99">
        <w:rPr>
          <w:rFonts w:ascii="Arial" w:hAnsi="Arial" w:cs="Arial" w:hint="eastAsia"/>
          <w:color w:val="796A4F"/>
          <w:sz w:val="21"/>
          <w:szCs w:val="21"/>
        </w:rPr>
        <w:t>3</w:t>
      </w:r>
      <w:r w:rsidRPr="003B3B99">
        <w:rPr>
          <w:rFonts w:ascii="Arial" w:hAnsi="Arial" w:cs="Arial" w:hint="eastAsia"/>
          <w:color w:val="796A4F"/>
          <w:sz w:val="21"/>
          <w:szCs w:val="21"/>
        </w:rPr>
        <w:t>月、</w:t>
      </w:r>
      <w:r w:rsidRPr="003B3B99">
        <w:rPr>
          <w:rFonts w:ascii="Arial" w:hAnsi="Arial" w:cs="Arial" w:hint="eastAsia"/>
          <w:color w:val="796A4F"/>
          <w:sz w:val="21"/>
          <w:szCs w:val="21"/>
        </w:rPr>
        <w:t>4</w:t>
      </w:r>
      <w:r w:rsidRPr="003B3B99">
        <w:rPr>
          <w:rFonts w:ascii="Arial" w:hAnsi="Arial" w:cs="Arial" w:hint="eastAsia"/>
          <w:color w:val="796A4F"/>
          <w:sz w:val="21"/>
          <w:szCs w:val="21"/>
        </w:rPr>
        <w:t>月份和</w:t>
      </w:r>
      <w:r w:rsidRPr="003B3B99">
        <w:rPr>
          <w:rFonts w:ascii="Arial" w:hAnsi="Arial" w:cs="Arial" w:hint="eastAsia"/>
          <w:color w:val="796A4F"/>
          <w:sz w:val="21"/>
          <w:szCs w:val="21"/>
        </w:rPr>
        <w:t>9</w:t>
      </w:r>
      <w:r w:rsidRPr="003B3B99">
        <w:rPr>
          <w:rFonts w:ascii="Arial" w:hAnsi="Arial" w:cs="Arial" w:hint="eastAsia"/>
          <w:color w:val="796A4F"/>
          <w:sz w:val="21"/>
          <w:szCs w:val="21"/>
        </w:rPr>
        <w:t>月、</w:t>
      </w:r>
      <w:r w:rsidRPr="003B3B99">
        <w:rPr>
          <w:rFonts w:ascii="Arial" w:hAnsi="Arial" w:cs="Arial" w:hint="eastAsia"/>
          <w:color w:val="796A4F"/>
          <w:sz w:val="21"/>
          <w:szCs w:val="21"/>
        </w:rPr>
        <w:t>10</w:t>
      </w:r>
      <w:r w:rsidRPr="003B3B99">
        <w:rPr>
          <w:rFonts w:ascii="Arial" w:hAnsi="Arial" w:cs="Arial" w:hint="eastAsia"/>
          <w:color w:val="796A4F"/>
          <w:sz w:val="21"/>
          <w:szCs w:val="21"/>
        </w:rPr>
        <w:t>月份钢材需求启动之时，钢价通常都会上涨，谁握有的资源多，谁的盈利就多。</w:t>
      </w:r>
    </w:p>
    <w:p w:rsidR="003711A2" w:rsidRPr="003B3B99" w:rsidRDefault="00060C65" w:rsidP="003B3B99">
      <w:pPr>
        <w:pStyle w:val="ad"/>
        <w:spacing w:beforeLines="50" w:beforeAutospacing="0" w:after="50" w:afterAutospacing="0" w:line="276" w:lineRule="auto"/>
        <w:ind w:firstLineChars="200" w:firstLine="420"/>
        <w:rPr>
          <w:rFonts w:ascii="Arial" w:hAnsi="Arial" w:cs="Arial" w:hint="eastAsia"/>
          <w:color w:val="796A4F"/>
          <w:sz w:val="21"/>
          <w:szCs w:val="21"/>
        </w:rPr>
      </w:pPr>
      <w:r>
        <w:rPr>
          <w:rFonts w:ascii="Arial" w:hAnsi="Arial" w:cs="Arial" w:hint="eastAsia"/>
          <w:color w:val="796A4F"/>
          <w:sz w:val="21"/>
          <w:szCs w:val="21"/>
        </w:rPr>
        <w:t>近年来，由于</w:t>
      </w:r>
      <w:proofErr w:type="gramStart"/>
      <w:r>
        <w:rPr>
          <w:rFonts w:ascii="Arial" w:hAnsi="Arial" w:cs="Arial" w:hint="eastAsia"/>
          <w:color w:val="796A4F"/>
          <w:sz w:val="21"/>
          <w:szCs w:val="21"/>
        </w:rPr>
        <w:t>大多数钢贸企业</w:t>
      </w:r>
      <w:proofErr w:type="gramEnd"/>
      <w:r>
        <w:rPr>
          <w:rFonts w:ascii="Arial" w:hAnsi="Arial" w:cs="Arial" w:hint="eastAsia"/>
          <w:color w:val="796A4F"/>
          <w:sz w:val="21"/>
          <w:szCs w:val="21"/>
        </w:rPr>
        <w:t>关停并转</w:t>
      </w:r>
      <w:r w:rsidR="003711A2" w:rsidRPr="003B3B99">
        <w:rPr>
          <w:rFonts w:ascii="Arial" w:hAnsi="Arial" w:cs="Arial" w:hint="eastAsia"/>
          <w:color w:val="796A4F"/>
          <w:sz w:val="21"/>
          <w:szCs w:val="21"/>
        </w:rPr>
        <w:t>或</w:t>
      </w:r>
      <w:r>
        <w:rPr>
          <w:rFonts w:ascii="Arial" w:hAnsi="Arial" w:cs="Arial" w:hint="eastAsia"/>
          <w:color w:val="796A4F"/>
          <w:sz w:val="21"/>
          <w:szCs w:val="21"/>
        </w:rPr>
        <w:t>大幅减少贸易</w:t>
      </w:r>
      <w:r w:rsidR="003711A2" w:rsidRPr="003B3B99">
        <w:rPr>
          <w:rFonts w:ascii="Arial" w:hAnsi="Arial" w:cs="Arial" w:hint="eastAsia"/>
          <w:color w:val="796A4F"/>
          <w:sz w:val="21"/>
          <w:szCs w:val="21"/>
        </w:rPr>
        <w:t>库存，钢厂</w:t>
      </w:r>
      <w:r>
        <w:rPr>
          <w:rFonts w:ascii="Arial" w:hAnsi="Arial" w:cs="Arial" w:hint="eastAsia"/>
          <w:color w:val="796A4F"/>
          <w:sz w:val="21"/>
          <w:szCs w:val="21"/>
        </w:rPr>
        <w:t>同时也出现了同</w:t>
      </w:r>
      <w:r w:rsidR="003711A2" w:rsidRPr="003B3B99">
        <w:rPr>
          <w:rFonts w:ascii="Arial" w:hAnsi="Arial" w:cs="Arial" w:hint="eastAsia"/>
          <w:color w:val="796A4F"/>
          <w:sz w:val="21"/>
          <w:szCs w:val="21"/>
        </w:rPr>
        <w:t>以往不同的</w:t>
      </w:r>
      <w:r>
        <w:rPr>
          <w:rFonts w:ascii="Arial" w:hAnsi="Arial" w:cs="Arial" w:hint="eastAsia"/>
          <w:color w:val="796A4F"/>
          <w:sz w:val="21"/>
          <w:szCs w:val="21"/>
        </w:rPr>
        <w:t>举措，</w:t>
      </w:r>
      <w:r w:rsidR="003711A2" w:rsidRPr="003B3B99">
        <w:rPr>
          <w:rFonts w:ascii="Arial" w:hAnsi="Arial" w:cs="Arial" w:hint="eastAsia"/>
          <w:color w:val="796A4F"/>
          <w:sz w:val="21"/>
          <w:szCs w:val="21"/>
        </w:rPr>
        <w:t>有实力的钢厂自办钢铁物流园区或电子商务平台，转移和消化吸收一部分资源；实力欠缺的钢厂就采取库存前置方式，把库存推到传统钢材集散地的同时，加大现货市场的销售力度。</w:t>
      </w:r>
      <w:r>
        <w:rPr>
          <w:rFonts w:ascii="Arial" w:hAnsi="Arial" w:cs="Arial" w:hint="eastAsia"/>
          <w:color w:val="796A4F"/>
          <w:sz w:val="21"/>
          <w:szCs w:val="21"/>
        </w:rPr>
        <w:t>因此，造成了</w:t>
      </w:r>
      <w:proofErr w:type="gramStart"/>
      <w:r w:rsidR="003711A2" w:rsidRPr="003B3B99">
        <w:rPr>
          <w:rFonts w:ascii="Arial" w:hAnsi="Arial" w:cs="Arial" w:hint="eastAsia"/>
          <w:color w:val="796A4F"/>
          <w:sz w:val="21"/>
          <w:szCs w:val="21"/>
        </w:rPr>
        <w:t>钢贸商备</w:t>
      </w:r>
      <w:proofErr w:type="gramEnd"/>
      <w:r w:rsidR="003711A2" w:rsidRPr="003B3B99">
        <w:rPr>
          <w:rFonts w:ascii="Arial" w:hAnsi="Arial" w:cs="Arial" w:hint="eastAsia"/>
          <w:color w:val="796A4F"/>
          <w:sz w:val="21"/>
          <w:szCs w:val="21"/>
        </w:rPr>
        <w:t>库存的积极性降低后，不等于社会库存就一定会少，只要钢铁增量的冲动不减，在需求不热的情况下，库存是不可能降下来的。一般来说，社会库存与钢</w:t>
      </w:r>
      <w:proofErr w:type="gramStart"/>
      <w:r w:rsidR="003711A2" w:rsidRPr="003B3B99">
        <w:rPr>
          <w:rFonts w:ascii="Arial" w:hAnsi="Arial" w:cs="Arial" w:hint="eastAsia"/>
          <w:color w:val="796A4F"/>
          <w:sz w:val="21"/>
          <w:szCs w:val="21"/>
        </w:rPr>
        <w:t>价走向</w:t>
      </w:r>
      <w:proofErr w:type="gramEnd"/>
      <w:r w:rsidR="003711A2" w:rsidRPr="003B3B99">
        <w:rPr>
          <w:rFonts w:ascii="Arial" w:hAnsi="Arial" w:cs="Arial" w:hint="eastAsia"/>
          <w:color w:val="796A4F"/>
          <w:sz w:val="21"/>
          <w:szCs w:val="21"/>
        </w:rPr>
        <w:t>的相关性很高：库存高了，钢价就不容易上涨；库存低了，钢价就不容易下跌。</w:t>
      </w:r>
      <w:r>
        <w:rPr>
          <w:rFonts w:ascii="Arial" w:hAnsi="Arial" w:cs="Arial" w:hint="eastAsia"/>
          <w:color w:val="796A4F"/>
          <w:sz w:val="21"/>
          <w:szCs w:val="21"/>
        </w:rPr>
        <w:t>但是</w:t>
      </w:r>
      <w:r>
        <w:rPr>
          <w:rFonts w:ascii="Arial" w:hAnsi="Arial" w:cs="Arial" w:hint="eastAsia"/>
          <w:color w:val="796A4F"/>
          <w:sz w:val="21"/>
          <w:szCs w:val="21"/>
        </w:rPr>
        <w:t>2014</w:t>
      </w:r>
      <w:r>
        <w:rPr>
          <w:rFonts w:ascii="Arial" w:hAnsi="Arial" w:cs="Arial" w:hint="eastAsia"/>
          <w:color w:val="796A4F"/>
          <w:sz w:val="21"/>
          <w:szCs w:val="21"/>
        </w:rPr>
        <w:t>年这种惯例出现了变化</w:t>
      </w:r>
      <w:r w:rsidR="003711A2" w:rsidRPr="003B3B99">
        <w:rPr>
          <w:rFonts w:ascii="Arial" w:hAnsi="Arial" w:cs="Arial" w:hint="eastAsia"/>
          <w:color w:val="796A4F"/>
          <w:sz w:val="21"/>
          <w:szCs w:val="21"/>
        </w:rPr>
        <w:t>。</w:t>
      </w:r>
    </w:p>
    <w:p w:rsidR="003711A2" w:rsidRPr="003B3B99" w:rsidRDefault="003711A2" w:rsidP="003B3B99">
      <w:pPr>
        <w:pStyle w:val="ad"/>
        <w:spacing w:beforeLines="50" w:beforeAutospacing="0" w:after="50" w:afterAutospacing="0" w:line="276" w:lineRule="auto"/>
        <w:ind w:firstLineChars="200" w:firstLine="420"/>
        <w:rPr>
          <w:rFonts w:ascii="Arial" w:hAnsi="Arial" w:cs="Arial" w:hint="eastAsia"/>
          <w:color w:val="796A4F"/>
          <w:sz w:val="21"/>
          <w:szCs w:val="21"/>
        </w:rPr>
      </w:pPr>
      <w:r w:rsidRPr="003B3B99">
        <w:rPr>
          <w:rFonts w:ascii="Arial" w:hAnsi="Arial" w:cs="Arial" w:hint="eastAsia"/>
          <w:color w:val="796A4F"/>
          <w:sz w:val="21"/>
          <w:szCs w:val="21"/>
        </w:rPr>
        <w:t>从市场供需关系变化来看，库存降了，钢价就不应该出现“跌跌不休”的情况。如今破了这样的规律，其实并不是供求关系对钢价的影响消失了，最有可能的原因是在流通格局发生变化后，原有的传统信息采集渠道出了问题，没有</w:t>
      </w:r>
      <w:proofErr w:type="gramStart"/>
      <w:r w:rsidRPr="003B3B99">
        <w:rPr>
          <w:rFonts w:ascii="Arial" w:hAnsi="Arial" w:cs="Arial" w:hint="eastAsia"/>
          <w:color w:val="796A4F"/>
          <w:sz w:val="21"/>
          <w:szCs w:val="21"/>
        </w:rPr>
        <w:t>随经营</w:t>
      </w:r>
      <w:proofErr w:type="gramEnd"/>
      <w:r w:rsidRPr="003B3B99">
        <w:rPr>
          <w:rFonts w:ascii="Arial" w:hAnsi="Arial" w:cs="Arial" w:hint="eastAsia"/>
          <w:color w:val="796A4F"/>
          <w:sz w:val="21"/>
          <w:szCs w:val="21"/>
        </w:rPr>
        <w:t>环境变化而变化。如各地兴办的钢铁物流园区、现货钢材市场和钢铁电子商务旗下的仓库等承担的一定数量的钢材库存并未统计在内。</w:t>
      </w:r>
    </w:p>
    <w:p w:rsidR="003711A2" w:rsidRPr="003711A2" w:rsidRDefault="00F434DB" w:rsidP="003711A2">
      <w:pPr>
        <w:pStyle w:val="3"/>
        <w:rPr>
          <w:color w:val="000000" w:themeColor="text1"/>
          <w:sz w:val="21"/>
          <w:szCs w:val="21"/>
        </w:rPr>
      </w:pPr>
      <w:r>
        <w:rPr>
          <w:rFonts w:hint="eastAsia"/>
          <w:color w:val="000000" w:themeColor="text1"/>
          <w:sz w:val="21"/>
          <w:szCs w:val="21"/>
        </w:rPr>
        <w:t>七</w:t>
      </w:r>
      <w:r w:rsidR="003711A2" w:rsidRPr="003711A2">
        <w:rPr>
          <w:rFonts w:hint="eastAsia"/>
          <w:color w:val="000000" w:themeColor="text1"/>
          <w:sz w:val="21"/>
          <w:szCs w:val="21"/>
        </w:rPr>
        <w:t>、重点地区钢铁生产调研</w:t>
      </w:r>
    </w:p>
    <w:p w:rsidR="003711A2" w:rsidRPr="003B3B99" w:rsidRDefault="003711A2" w:rsidP="003B3B99">
      <w:pPr>
        <w:pStyle w:val="ad"/>
        <w:spacing w:beforeLines="50" w:after="50"/>
        <w:ind w:firstLineChars="200" w:firstLine="420"/>
        <w:rPr>
          <w:rFonts w:ascii="新宋体" w:eastAsia="新宋体" w:hAnsi="新宋体" w:cs="Arial"/>
          <w:color w:val="796A4F"/>
          <w:sz w:val="21"/>
          <w:szCs w:val="21"/>
        </w:rPr>
      </w:pPr>
      <w:r w:rsidRPr="003B3B99">
        <w:rPr>
          <w:rFonts w:ascii="新宋体" w:eastAsia="新宋体" w:hAnsi="新宋体" w:cs="Arial" w:hint="eastAsia"/>
          <w:color w:val="796A4F"/>
          <w:sz w:val="21"/>
          <w:szCs w:val="21"/>
        </w:rPr>
        <w:t>11月初，</w:t>
      </w:r>
      <w:r w:rsidRPr="003B3B99">
        <w:rPr>
          <w:rFonts w:ascii="新宋体" w:eastAsia="新宋体" w:hAnsi="新宋体" w:cs="Arial"/>
          <w:color w:val="796A4F"/>
          <w:sz w:val="21"/>
          <w:szCs w:val="21"/>
        </w:rPr>
        <w:t>唐山钢坯震荡调整运行。除玉田、霸州等地调坯轧材厂关停外，丰润地区并未接到相关通知，受环保因素影响前期部分</w:t>
      </w:r>
      <w:proofErr w:type="gramStart"/>
      <w:r w:rsidRPr="003B3B99">
        <w:rPr>
          <w:rFonts w:ascii="新宋体" w:eastAsia="新宋体" w:hAnsi="新宋体" w:cs="Arial"/>
          <w:color w:val="796A4F"/>
          <w:sz w:val="21"/>
          <w:szCs w:val="21"/>
        </w:rPr>
        <w:t>调坯厂推迟</w:t>
      </w:r>
      <w:proofErr w:type="gramEnd"/>
      <w:r w:rsidRPr="003B3B99">
        <w:rPr>
          <w:rFonts w:ascii="新宋体" w:eastAsia="新宋体" w:hAnsi="新宋体" w:cs="Arial"/>
          <w:color w:val="796A4F"/>
          <w:sz w:val="21"/>
          <w:szCs w:val="21"/>
        </w:rPr>
        <w:t>采购钢坯，出现集中采购现象，造成钢坯资源相对紧张，拉动钢坯价格走强。</w:t>
      </w:r>
      <w:r w:rsidRPr="003B3B99">
        <w:rPr>
          <w:rFonts w:ascii="新宋体" w:eastAsia="新宋体" w:hAnsi="新宋体" w:cs="Arial" w:hint="eastAsia"/>
          <w:color w:val="796A4F"/>
          <w:sz w:val="21"/>
          <w:szCs w:val="21"/>
        </w:rPr>
        <w:t>11月5日众多</w:t>
      </w:r>
      <w:r w:rsidRPr="003B3B99">
        <w:rPr>
          <w:rFonts w:ascii="新宋体" w:eastAsia="新宋体" w:hAnsi="新宋体" w:cs="Arial"/>
          <w:color w:val="796A4F"/>
          <w:sz w:val="21"/>
          <w:szCs w:val="21"/>
        </w:rPr>
        <w:t>钢厂突然接到停产通知，从6日凌晨开始，丰润地区</w:t>
      </w:r>
      <w:proofErr w:type="gramStart"/>
      <w:r w:rsidRPr="003B3B99">
        <w:rPr>
          <w:rFonts w:ascii="新宋体" w:eastAsia="新宋体" w:hAnsi="新宋体" w:cs="Arial"/>
          <w:color w:val="796A4F"/>
          <w:sz w:val="21"/>
          <w:szCs w:val="21"/>
        </w:rPr>
        <w:t>因启动重</w:t>
      </w:r>
      <w:proofErr w:type="gramEnd"/>
      <w:r w:rsidRPr="003B3B99">
        <w:rPr>
          <w:rFonts w:ascii="新宋体" w:eastAsia="新宋体" w:hAnsi="新宋体" w:cs="Arial"/>
          <w:color w:val="796A4F"/>
          <w:sz w:val="21"/>
          <w:szCs w:val="21"/>
        </w:rPr>
        <w:t>污染天气预警提高到了一级措施，关停所有的调坯轧材厂。受停产影响，型材价格因库存紧张，多数涨50元/吨以上，但是由</w:t>
      </w:r>
      <w:r w:rsidRPr="003B3B99">
        <w:rPr>
          <w:rFonts w:ascii="新宋体" w:eastAsia="新宋体" w:hAnsi="新宋体" w:cs="Arial"/>
          <w:color w:val="796A4F"/>
          <w:sz w:val="21"/>
          <w:szCs w:val="21"/>
        </w:rPr>
        <w:lastRenderedPageBreak/>
        <w:t>于调坯轧材厂对坯料需求少，拖累钢坯价格走弱下行。多数厂商认为APEC会议未结束之前，市场不会有太大变化，但结束后部分调坯轧材厂有备料库存，也不会对市场形成较大影响。部分看跌，整体市场无利好，需求跟不上，</w:t>
      </w:r>
      <w:proofErr w:type="gramStart"/>
      <w:r w:rsidRPr="003B3B99">
        <w:rPr>
          <w:rFonts w:ascii="新宋体" w:eastAsia="新宋体" w:hAnsi="新宋体" w:cs="Arial"/>
          <w:color w:val="796A4F"/>
          <w:sz w:val="21"/>
          <w:szCs w:val="21"/>
        </w:rPr>
        <w:t>仍会持弱运行</w:t>
      </w:r>
      <w:proofErr w:type="gramEnd"/>
      <w:r w:rsidRPr="003B3B99">
        <w:rPr>
          <w:rFonts w:ascii="新宋体" w:eastAsia="新宋体" w:hAnsi="新宋体" w:cs="Arial"/>
          <w:color w:val="796A4F"/>
          <w:sz w:val="21"/>
          <w:szCs w:val="21"/>
        </w:rPr>
        <w:t>，而且近期铁矿石价格下跌较多，钢厂盈利空间较大。少量看涨表示，APEC结束后会出现集中采购小高潮，将刺激价格上涨，。综上所述，下周市场弱势</w:t>
      </w:r>
      <w:proofErr w:type="gramStart"/>
      <w:r w:rsidRPr="003B3B99">
        <w:rPr>
          <w:rFonts w:ascii="新宋体" w:eastAsia="新宋体" w:hAnsi="新宋体" w:cs="Arial"/>
          <w:color w:val="796A4F"/>
          <w:sz w:val="21"/>
          <w:szCs w:val="21"/>
        </w:rPr>
        <w:t>盘整或稳中小</w:t>
      </w:r>
      <w:proofErr w:type="gramEnd"/>
      <w:r w:rsidRPr="003B3B99">
        <w:rPr>
          <w:rFonts w:ascii="新宋体" w:eastAsia="新宋体" w:hAnsi="新宋体" w:cs="Arial"/>
          <w:color w:val="796A4F"/>
          <w:sz w:val="21"/>
          <w:szCs w:val="21"/>
        </w:rPr>
        <w:t>涨，但后期支撑仍不足。国内其他地区价格小幅回升，其中江苏地区周中过后，市场交易量有明显增加，成交价格也较前几日上涨，钢坯资源相对紧张。</w:t>
      </w:r>
    </w:p>
    <w:p w:rsidR="003711A2" w:rsidRPr="003B3B99" w:rsidRDefault="003711A2" w:rsidP="003B3B99">
      <w:pPr>
        <w:pStyle w:val="ad"/>
        <w:spacing w:beforeLines="50" w:after="50"/>
        <w:ind w:firstLineChars="200" w:firstLine="420"/>
        <w:rPr>
          <w:rFonts w:ascii="新宋体" w:eastAsia="新宋体" w:hAnsi="新宋体" w:cs="Arial"/>
          <w:color w:val="796A4F"/>
          <w:sz w:val="21"/>
          <w:szCs w:val="21"/>
        </w:rPr>
      </w:pPr>
      <w:r w:rsidRPr="003B3B99">
        <w:rPr>
          <w:rFonts w:ascii="新宋体" w:eastAsia="新宋体" w:hAnsi="新宋体" w:cs="Arial"/>
          <w:color w:val="796A4F"/>
          <w:sz w:val="21"/>
          <w:szCs w:val="21"/>
        </w:rPr>
        <w:t>唐山地区在统高炉中有15座检修（含停产），检修高炉容积合计8920m³，周比增加130m³，产能利用率93.78%，周比降低0.3%。本周高炉检修影响产量合计约17.43万吨，占正常产量约6.2%。目前未生产的高炉除了长期停产的外，有个别为例行检修，不过有部分高炉检修时间较长。另外APEC期间，除了首钢京唐</w:t>
      </w:r>
      <w:r w:rsidRPr="003B3B99">
        <w:rPr>
          <w:rFonts w:ascii="新宋体" w:eastAsia="新宋体" w:hAnsi="新宋体" w:cs="Arial" w:hint="eastAsia"/>
          <w:color w:val="796A4F"/>
          <w:sz w:val="21"/>
          <w:szCs w:val="21"/>
        </w:rPr>
        <w:t>公司在</w:t>
      </w:r>
      <w:r w:rsidRPr="003B3B99">
        <w:rPr>
          <w:rFonts w:ascii="新宋体" w:eastAsia="新宋体" w:hAnsi="新宋体" w:cs="Arial"/>
          <w:color w:val="796A4F"/>
          <w:sz w:val="21"/>
          <w:szCs w:val="21"/>
        </w:rPr>
        <w:t>会议期间产量减半、新宝泰钢铁高炉限产10%外，多数高炉产量无影响，烧结机</w:t>
      </w:r>
      <w:proofErr w:type="gramStart"/>
      <w:r w:rsidRPr="003B3B99">
        <w:rPr>
          <w:rFonts w:ascii="新宋体" w:eastAsia="新宋体" w:hAnsi="新宋体" w:cs="Arial"/>
          <w:color w:val="796A4F"/>
          <w:sz w:val="21"/>
          <w:szCs w:val="21"/>
        </w:rPr>
        <w:t>按之前</w:t>
      </w:r>
      <w:proofErr w:type="gramEnd"/>
      <w:r w:rsidRPr="003B3B99">
        <w:rPr>
          <w:rFonts w:ascii="新宋体" w:eastAsia="新宋体" w:hAnsi="新宋体" w:cs="Arial"/>
          <w:color w:val="796A4F"/>
          <w:sz w:val="21"/>
          <w:szCs w:val="21"/>
        </w:rPr>
        <w:t>文件要求停产。</w:t>
      </w:r>
    </w:p>
    <w:p w:rsidR="003711A2" w:rsidRPr="003B3B99" w:rsidRDefault="003711A2" w:rsidP="003B3B99">
      <w:pPr>
        <w:pStyle w:val="ad"/>
        <w:spacing w:beforeLines="50" w:after="50"/>
        <w:ind w:firstLineChars="200" w:firstLine="420"/>
        <w:rPr>
          <w:rFonts w:ascii="新宋体" w:eastAsia="新宋体" w:hAnsi="新宋体" w:cs="Arial"/>
          <w:color w:val="796A4F"/>
          <w:sz w:val="21"/>
          <w:szCs w:val="21"/>
        </w:rPr>
      </w:pPr>
      <w:r w:rsidRPr="003B3B99">
        <w:rPr>
          <w:rFonts w:ascii="新宋体" w:eastAsia="新宋体" w:hAnsi="新宋体" w:cs="Arial"/>
          <w:color w:val="796A4F"/>
          <w:sz w:val="21"/>
          <w:szCs w:val="21"/>
        </w:rPr>
        <w:t>截至10月24日唐山地区钢坯测算成本价为2389元/吨，出厂价为2420元/吨。出厂价格与测算成本之间差价31元，近期外矿表现持续弱势，津唐港现货价格不断走低，而唐山钢坯表现相对平稳，唐山钢坯盈利空间加大。11月6日唐山主要仓库及港口同口径统计钢坯库存28万吨。较上周（10月30日）上涨1.5万吨。多数仓储库存下降，且后续入库计划较少；个别仓储量上升，多数为出口资源。</w:t>
      </w:r>
    </w:p>
    <w:p w:rsidR="003711A2" w:rsidRPr="003B3B99" w:rsidRDefault="003711A2" w:rsidP="003B3B99">
      <w:pPr>
        <w:pStyle w:val="ad"/>
        <w:spacing w:beforeLines="50" w:after="50"/>
        <w:ind w:firstLineChars="200" w:firstLine="420"/>
        <w:rPr>
          <w:rFonts w:ascii="新宋体" w:eastAsia="新宋体" w:hAnsi="新宋体" w:cs="Arial" w:hint="eastAsia"/>
          <w:color w:val="796A4F"/>
          <w:sz w:val="21"/>
          <w:szCs w:val="21"/>
        </w:rPr>
      </w:pPr>
      <w:r w:rsidRPr="003B3B99">
        <w:rPr>
          <w:rFonts w:ascii="新宋体" w:eastAsia="新宋体" w:hAnsi="新宋体" w:cs="Arial"/>
          <w:color w:val="796A4F"/>
          <w:sz w:val="21"/>
          <w:szCs w:val="21"/>
        </w:rPr>
        <w:t>唐山地区型钢厂受APEC会议的影响，6日凌晨起全部停工，开工率明显下降。据不完全统计，11</w:t>
      </w:r>
      <w:r w:rsidRPr="003B3B99">
        <w:rPr>
          <w:rFonts w:ascii="新宋体" w:eastAsia="新宋体" w:hAnsi="新宋体" w:cs="Arial" w:hint="eastAsia"/>
          <w:color w:val="796A4F"/>
          <w:sz w:val="21"/>
          <w:szCs w:val="21"/>
        </w:rPr>
        <w:t>月第一周</w:t>
      </w:r>
      <w:r w:rsidRPr="003B3B99">
        <w:rPr>
          <w:rFonts w:ascii="新宋体" w:eastAsia="新宋体" w:hAnsi="新宋体" w:cs="Arial"/>
          <w:color w:val="796A4F"/>
          <w:sz w:val="21"/>
          <w:szCs w:val="21"/>
        </w:rPr>
        <w:t>唐山地区63条型钢生产线，其中4条</w:t>
      </w:r>
      <w:proofErr w:type="gramStart"/>
      <w:r w:rsidRPr="003B3B99">
        <w:rPr>
          <w:rFonts w:ascii="新宋体" w:eastAsia="新宋体" w:hAnsi="新宋体" w:cs="Arial"/>
          <w:color w:val="796A4F"/>
          <w:sz w:val="21"/>
          <w:szCs w:val="21"/>
        </w:rPr>
        <w:t>产线正常</w:t>
      </w:r>
      <w:proofErr w:type="gramEnd"/>
      <w:r w:rsidRPr="003B3B99">
        <w:rPr>
          <w:rFonts w:ascii="新宋体" w:eastAsia="新宋体" w:hAnsi="新宋体" w:cs="Arial"/>
          <w:color w:val="796A4F"/>
          <w:sz w:val="21"/>
          <w:szCs w:val="21"/>
        </w:rPr>
        <w:t>生产，59条停工，累计影响产量为30.9万吨，产能利用率为50.29%，下降17.05%。本周唐山线材58条生产线，检修20条，开工率65.51%，下降1.15%，影响产量约17.79万吨。唐山螺纹50条生产线，检修28条，产能利用率为56.86%，下降3.06%。</w:t>
      </w:r>
      <w:r w:rsidRPr="003B3B99">
        <w:rPr>
          <w:rFonts w:ascii="新宋体" w:eastAsia="新宋体" w:hAnsi="新宋体" w:cs="Arial" w:hint="eastAsia"/>
          <w:color w:val="796A4F"/>
          <w:sz w:val="21"/>
          <w:szCs w:val="21"/>
        </w:rPr>
        <w:t>当</w:t>
      </w:r>
      <w:proofErr w:type="gramStart"/>
      <w:r w:rsidRPr="003B3B99">
        <w:rPr>
          <w:rFonts w:ascii="新宋体" w:eastAsia="新宋体" w:hAnsi="新宋体" w:cs="Arial"/>
          <w:color w:val="796A4F"/>
          <w:sz w:val="21"/>
          <w:szCs w:val="21"/>
        </w:rPr>
        <w:t>周影响</w:t>
      </w:r>
      <w:proofErr w:type="gramEnd"/>
      <w:r w:rsidRPr="003B3B99">
        <w:rPr>
          <w:rFonts w:ascii="新宋体" w:eastAsia="新宋体" w:hAnsi="新宋体" w:cs="Arial"/>
          <w:color w:val="796A4F"/>
          <w:sz w:val="21"/>
          <w:szCs w:val="21"/>
        </w:rPr>
        <w:t>产量约21.14万吨。另据了解，其中在生产厂家多采取白班生产。京津冀地区93条带钢生产线，开工33条，开工率为35.5%，下降30.5%。</w:t>
      </w:r>
    </w:p>
    <w:p w:rsidR="00AF741C" w:rsidRDefault="00AF741C" w:rsidP="00AF741C">
      <w:pPr>
        <w:pStyle w:val="3"/>
        <w:rPr>
          <w:rFonts w:hint="eastAsia"/>
          <w:color w:val="000000" w:themeColor="text1"/>
          <w:sz w:val="21"/>
          <w:szCs w:val="21"/>
        </w:rPr>
      </w:pPr>
      <w:r>
        <w:rPr>
          <w:rFonts w:hint="eastAsia"/>
          <w:color w:val="000000" w:themeColor="text1"/>
          <w:sz w:val="21"/>
          <w:szCs w:val="21"/>
        </w:rPr>
        <w:t>八、新加坡铁矿石掉期再破</w:t>
      </w:r>
      <w:r>
        <w:rPr>
          <w:rFonts w:hint="eastAsia"/>
          <w:color w:val="000000" w:themeColor="text1"/>
          <w:sz w:val="21"/>
          <w:szCs w:val="21"/>
        </w:rPr>
        <w:t>80</w:t>
      </w:r>
      <w:r>
        <w:rPr>
          <w:rFonts w:hint="eastAsia"/>
          <w:color w:val="000000" w:themeColor="text1"/>
          <w:sz w:val="21"/>
          <w:szCs w:val="21"/>
        </w:rPr>
        <w:t>关口</w:t>
      </w:r>
    </w:p>
    <w:p w:rsidR="006D04E0" w:rsidRDefault="006D04E0" w:rsidP="006D04E0">
      <w:pPr>
        <w:ind w:firstLineChars="200" w:firstLine="420"/>
        <w:rPr>
          <w:rFonts w:ascii="宋体" w:hAnsi="宋体" w:hint="eastAsia"/>
          <w:color w:val="796A4F"/>
          <w:sz w:val="21"/>
          <w:szCs w:val="21"/>
        </w:rPr>
      </w:pPr>
    </w:p>
    <w:p w:rsidR="006D04E0" w:rsidRDefault="006D04E0" w:rsidP="006D04E0">
      <w:pPr>
        <w:ind w:firstLineChars="200" w:firstLine="420"/>
        <w:rPr>
          <w:rFonts w:ascii="宋体" w:hAnsi="宋体" w:hint="eastAsia"/>
          <w:color w:val="796A4F"/>
          <w:sz w:val="21"/>
          <w:szCs w:val="21"/>
        </w:rPr>
      </w:pPr>
      <w:r>
        <w:rPr>
          <w:rFonts w:ascii="宋体" w:hAnsi="宋体" w:hint="eastAsia"/>
          <w:color w:val="796A4F"/>
          <w:sz w:val="21"/>
          <w:szCs w:val="21"/>
        </w:rPr>
        <w:t>我们10月曾经分析过，国庆长假期间，新交所铁矿石掉期和</w:t>
      </w:r>
      <w:proofErr w:type="gramStart"/>
      <w:r>
        <w:rPr>
          <w:rFonts w:ascii="宋体" w:hAnsi="宋体" w:hint="eastAsia"/>
          <w:color w:val="796A4F"/>
          <w:sz w:val="21"/>
          <w:szCs w:val="21"/>
        </w:rPr>
        <w:t>普氏</w:t>
      </w:r>
      <w:proofErr w:type="gramEnd"/>
      <w:r>
        <w:rPr>
          <w:rFonts w:ascii="宋体" w:hAnsi="宋体" w:hint="eastAsia"/>
          <w:color w:val="796A4F"/>
          <w:sz w:val="21"/>
          <w:szCs w:val="21"/>
        </w:rPr>
        <w:t>铁矿石价格指数继续下跌，并</w:t>
      </w:r>
      <w:r w:rsidRPr="0075788C">
        <w:rPr>
          <w:rFonts w:ascii="宋体" w:hAnsi="宋体" w:hint="eastAsia"/>
          <w:color w:val="796A4F"/>
          <w:sz w:val="21"/>
          <w:szCs w:val="21"/>
        </w:rPr>
        <w:t>下破80美元整数关口，创2009年8月以来的新低点。</w:t>
      </w:r>
      <w:r>
        <w:rPr>
          <w:rFonts w:ascii="宋体" w:hAnsi="宋体" w:hint="eastAsia"/>
          <w:color w:val="796A4F"/>
          <w:sz w:val="21"/>
          <w:szCs w:val="21"/>
        </w:rPr>
        <w:t>在11月初，新交所铁矿石掉期和</w:t>
      </w:r>
      <w:proofErr w:type="gramStart"/>
      <w:r>
        <w:rPr>
          <w:rFonts w:ascii="宋体" w:hAnsi="宋体" w:hint="eastAsia"/>
          <w:color w:val="796A4F"/>
          <w:sz w:val="21"/>
          <w:szCs w:val="21"/>
        </w:rPr>
        <w:t>普氏</w:t>
      </w:r>
      <w:proofErr w:type="gramEnd"/>
      <w:r>
        <w:rPr>
          <w:rFonts w:ascii="宋体" w:hAnsi="宋体" w:hint="eastAsia"/>
          <w:color w:val="796A4F"/>
          <w:sz w:val="21"/>
          <w:szCs w:val="21"/>
        </w:rPr>
        <w:t>铁矿石价格指数双双下跌并再次处在80美元下方。</w:t>
      </w:r>
      <w:r w:rsidRPr="0075788C">
        <w:rPr>
          <w:rFonts w:ascii="宋体" w:hAnsi="宋体" w:hint="eastAsia"/>
          <w:color w:val="796A4F"/>
          <w:sz w:val="21"/>
          <w:szCs w:val="21"/>
        </w:rPr>
        <w:t>在</w:t>
      </w:r>
      <w:r>
        <w:rPr>
          <w:rFonts w:ascii="宋体" w:hAnsi="宋体" w:hint="eastAsia"/>
          <w:color w:val="796A4F"/>
          <w:sz w:val="21"/>
          <w:szCs w:val="21"/>
        </w:rPr>
        <w:t>11月初，</w:t>
      </w:r>
      <w:r w:rsidRPr="0075788C">
        <w:rPr>
          <w:rFonts w:ascii="宋体" w:hAnsi="宋体" w:hint="eastAsia"/>
          <w:color w:val="796A4F"/>
          <w:sz w:val="21"/>
          <w:szCs w:val="21"/>
        </w:rPr>
        <w:t>美元指数</w:t>
      </w:r>
      <w:r>
        <w:rPr>
          <w:rFonts w:ascii="宋体" w:hAnsi="宋体" w:hint="eastAsia"/>
          <w:color w:val="796A4F"/>
          <w:sz w:val="21"/>
          <w:szCs w:val="21"/>
        </w:rPr>
        <w:t>再次</w:t>
      </w:r>
      <w:r w:rsidRPr="0075788C">
        <w:rPr>
          <w:rFonts w:ascii="宋体" w:hAnsi="宋体" w:hint="eastAsia"/>
          <w:color w:val="796A4F"/>
          <w:sz w:val="21"/>
          <w:szCs w:val="21"/>
        </w:rPr>
        <w:t>大幅反弹</w:t>
      </w:r>
      <w:r>
        <w:rPr>
          <w:rFonts w:ascii="宋体" w:hAnsi="宋体" w:hint="eastAsia"/>
          <w:color w:val="796A4F"/>
          <w:sz w:val="21"/>
          <w:szCs w:val="21"/>
        </w:rPr>
        <w:t>，并创出2010年6月以来的高点</w:t>
      </w:r>
      <w:r w:rsidRPr="0075788C">
        <w:rPr>
          <w:rFonts w:ascii="宋体" w:hAnsi="宋体" w:hint="eastAsia"/>
          <w:color w:val="796A4F"/>
          <w:sz w:val="21"/>
          <w:szCs w:val="21"/>
        </w:rPr>
        <w:t>，国</w:t>
      </w:r>
      <w:r>
        <w:rPr>
          <w:rFonts w:ascii="宋体" w:hAnsi="宋体" w:hint="eastAsia"/>
          <w:color w:val="796A4F"/>
          <w:sz w:val="21"/>
          <w:szCs w:val="21"/>
        </w:rPr>
        <w:t>内外</w:t>
      </w:r>
      <w:r w:rsidRPr="0075788C">
        <w:rPr>
          <w:rFonts w:ascii="宋体" w:hAnsi="宋体" w:hint="eastAsia"/>
          <w:color w:val="796A4F"/>
          <w:sz w:val="21"/>
          <w:szCs w:val="21"/>
        </w:rPr>
        <w:t>铁矿石价格可能加速下跌，</w:t>
      </w:r>
      <w:r>
        <w:rPr>
          <w:rFonts w:ascii="宋体" w:hAnsi="宋体" w:hint="eastAsia"/>
          <w:color w:val="796A4F"/>
          <w:sz w:val="21"/>
          <w:szCs w:val="21"/>
        </w:rPr>
        <w:t>大连商品交易所铁矿石主力期货合约的价格可能将下跌至500元/吨。</w:t>
      </w:r>
    </w:p>
    <w:p w:rsidR="00AF741C" w:rsidRPr="006D04E0" w:rsidRDefault="00AF741C" w:rsidP="00AF741C"/>
    <w:p w:rsidR="00AF741C" w:rsidRPr="00AE039B" w:rsidRDefault="00AF741C" w:rsidP="00224A81">
      <w:pPr>
        <w:jc w:val="center"/>
        <w:rPr>
          <w:rFonts w:ascii="宋体" w:hAnsi="宋体"/>
          <w:b/>
          <w:color w:val="796A4F"/>
          <w:sz w:val="21"/>
          <w:szCs w:val="21"/>
        </w:rPr>
      </w:pPr>
      <w:r w:rsidRPr="00AF741C">
        <w:rPr>
          <w:rFonts w:ascii="宋体" w:hAnsi="宋体"/>
          <w:b/>
          <w:color w:val="796A4F"/>
          <w:sz w:val="21"/>
          <w:szCs w:val="21"/>
        </w:rPr>
        <w:lastRenderedPageBreak/>
        <w:drawing>
          <wp:inline distT="0" distB="0" distL="0" distR="0">
            <wp:extent cx="5486400" cy="3324225"/>
            <wp:effectExtent l="19050" t="0" r="0" b="0"/>
            <wp:docPr id="287" name="图片 60"/>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4" cstate="print"/>
                    <a:stretch>
                      <a:fillRect/>
                    </a:stretch>
                  </pic:blipFill>
                  <pic:spPr>
                    <a:xfrm>
                      <a:off x="0" y="0"/>
                      <a:ext cx="5486400" cy="3324225"/>
                    </a:xfrm>
                    <a:prstGeom prst="rect">
                      <a:avLst/>
                    </a:prstGeom>
                  </pic:spPr>
                </pic:pic>
              </a:graphicData>
            </a:graphic>
          </wp:inline>
        </w:drawing>
      </w:r>
    </w:p>
    <w:p w:rsidR="00AF741C" w:rsidRPr="00AF741C" w:rsidRDefault="00AF741C" w:rsidP="00AF741C">
      <w:pPr>
        <w:jc w:val="center"/>
        <w:rPr>
          <w:rFonts w:ascii="宋体" w:hAnsi="宋体"/>
          <w:color w:val="796A4F"/>
          <w:sz w:val="21"/>
          <w:szCs w:val="21"/>
        </w:rPr>
      </w:pPr>
      <w:r w:rsidRPr="00AF741C">
        <w:rPr>
          <w:rFonts w:ascii="宋体" w:hAnsi="宋体" w:hint="eastAsia"/>
          <w:color w:val="796A4F"/>
          <w:sz w:val="21"/>
          <w:szCs w:val="21"/>
        </w:rPr>
        <w:t>图</w:t>
      </w:r>
      <w:r>
        <w:rPr>
          <w:rFonts w:ascii="宋体" w:hAnsi="宋体" w:hint="eastAsia"/>
          <w:color w:val="796A4F"/>
          <w:sz w:val="21"/>
          <w:szCs w:val="21"/>
        </w:rPr>
        <w:t>3-15</w:t>
      </w:r>
      <w:r w:rsidRPr="00AF741C">
        <w:rPr>
          <w:rFonts w:ascii="宋体" w:hAnsi="宋体" w:hint="eastAsia"/>
          <w:color w:val="796A4F"/>
          <w:sz w:val="21"/>
          <w:szCs w:val="21"/>
        </w:rPr>
        <w:t>：新加坡铁矿石掉期与普氏铁矿石指数走势</w:t>
      </w:r>
    </w:p>
    <w:p w:rsidR="00AF741C" w:rsidRPr="00AF741C" w:rsidRDefault="00AF741C" w:rsidP="00AF741C">
      <w:pPr>
        <w:jc w:val="center"/>
        <w:rPr>
          <w:rFonts w:ascii="宋体" w:hAnsi="宋体"/>
          <w:color w:val="796A4F"/>
          <w:sz w:val="21"/>
          <w:szCs w:val="21"/>
        </w:rPr>
      </w:pPr>
      <w:r w:rsidRPr="00AF741C">
        <w:rPr>
          <w:rFonts w:ascii="宋体" w:hAnsi="宋体" w:hint="eastAsia"/>
          <w:color w:val="796A4F"/>
          <w:sz w:val="21"/>
          <w:szCs w:val="21"/>
        </w:rPr>
        <w:t>数据来源：wind、方正中期研究院整理</w:t>
      </w:r>
    </w:p>
    <w:p w:rsidR="006D04E0" w:rsidRDefault="006D04E0" w:rsidP="0075788C">
      <w:pPr>
        <w:ind w:firstLineChars="200" w:firstLine="420"/>
        <w:rPr>
          <w:rFonts w:ascii="宋体" w:hAnsi="宋体" w:hint="eastAsia"/>
          <w:color w:val="796A4F"/>
          <w:sz w:val="21"/>
          <w:szCs w:val="21"/>
        </w:rPr>
      </w:pPr>
      <w:r>
        <w:rPr>
          <w:rFonts w:ascii="宋体" w:hAnsi="宋体"/>
          <w:noProof/>
          <w:color w:val="796A4F"/>
          <w:sz w:val="21"/>
          <w:szCs w:val="21"/>
        </w:rPr>
        <w:drawing>
          <wp:inline distT="0" distB="0" distL="0" distR="0">
            <wp:extent cx="5598163" cy="3710763"/>
            <wp:effectExtent l="19050" t="0" r="2537"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srcRect/>
                    <a:stretch>
                      <a:fillRect/>
                    </a:stretch>
                  </pic:blipFill>
                  <pic:spPr bwMode="auto">
                    <a:xfrm>
                      <a:off x="0" y="0"/>
                      <a:ext cx="5605871" cy="3715872"/>
                    </a:xfrm>
                    <a:prstGeom prst="rect">
                      <a:avLst/>
                    </a:prstGeom>
                    <a:noFill/>
                    <a:ln w="9525">
                      <a:noFill/>
                      <a:miter lim="800000"/>
                      <a:headEnd/>
                      <a:tailEnd/>
                    </a:ln>
                  </pic:spPr>
                </pic:pic>
              </a:graphicData>
            </a:graphic>
          </wp:inline>
        </w:drawing>
      </w:r>
    </w:p>
    <w:p w:rsidR="006D04E0" w:rsidRPr="00AF741C" w:rsidRDefault="006D04E0" w:rsidP="006D04E0">
      <w:pPr>
        <w:jc w:val="center"/>
        <w:rPr>
          <w:rFonts w:ascii="宋体" w:hAnsi="宋体"/>
          <w:color w:val="796A4F"/>
          <w:sz w:val="21"/>
          <w:szCs w:val="21"/>
        </w:rPr>
      </w:pPr>
      <w:r w:rsidRPr="00AF741C">
        <w:rPr>
          <w:rFonts w:ascii="宋体" w:hAnsi="宋体" w:hint="eastAsia"/>
          <w:color w:val="796A4F"/>
          <w:sz w:val="21"/>
          <w:szCs w:val="21"/>
        </w:rPr>
        <w:t>图</w:t>
      </w:r>
      <w:r>
        <w:rPr>
          <w:rFonts w:ascii="宋体" w:hAnsi="宋体" w:hint="eastAsia"/>
          <w:color w:val="796A4F"/>
          <w:sz w:val="21"/>
          <w:szCs w:val="21"/>
        </w:rPr>
        <w:t>3-16</w:t>
      </w:r>
      <w:r w:rsidRPr="00AF741C">
        <w:rPr>
          <w:rFonts w:ascii="宋体" w:hAnsi="宋体" w:hint="eastAsia"/>
          <w:color w:val="796A4F"/>
          <w:sz w:val="21"/>
          <w:szCs w:val="21"/>
        </w:rPr>
        <w:t>：</w:t>
      </w:r>
      <w:r>
        <w:rPr>
          <w:rFonts w:ascii="宋体" w:hAnsi="宋体" w:hint="eastAsia"/>
          <w:color w:val="796A4F"/>
          <w:sz w:val="21"/>
          <w:szCs w:val="21"/>
        </w:rPr>
        <w:t>上海螺纹钢期货1505合约与大连铁矿石期货1505合约价差</w:t>
      </w:r>
      <w:r w:rsidRPr="00AF741C">
        <w:rPr>
          <w:rFonts w:ascii="宋体" w:hAnsi="宋体" w:hint="eastAsia"/>
          <w:color w:val="796A4F"/>
          <w:sz w:val="21"/>
          <w:szCs w:val="21"/>
        </w:rPr>
        <w:t>走势</w:t>
      </w:r>
    </w:p>
    <w:p w:rsidR="006D04E0" w:rsidRPr="00AF741C" w:rsidRDefault="006D04E0" w:rsidP="006D04E0">
      <w:pPr>
        <w:jc w:val="center"/>
        <w:rPr>
          <w:rFonts w:ascii="宋体" w:hAnsi="宋体"/>
          <w:color w:val="796A4F"/>
          <w:sz w:val="21"/>
          <w:szCs w:val="21"/>
        </w:rPr>
      </w:pPr>
      <w:r w:rsidRPr="00AF741C">
        <w:rPr>
          <w:rFonts w:ascii="宋体" w:hAnsi="宋体" w:hint="eastAsia"/>
          <w:color w:val="796A4F"/>
          <w:sz w:val="21"/>
          <w:szCs w:val="21"/>
        </w:rPr>
        <w:lastRenderedPageBreak/>
        <w:t>数据来源：wind、方正中期研究院整理</w:t>
      </w:r>
    </w:p>
    <w:p w:rsidR="006D04E0" w:rsidRDefault="006D04E0" w:rsidP="006D04E0">
      <w:pPr>
        <w:ind w:firstLineChars="200" w:firstLine="420"/>
        <w:rPr>
          <w:rFonts w:ascii="宋体" w:hAnsi="宋体" w:hint="eastAsia"/>
          <w:color w:val="796A4F"/>
          <w:sz w:val="21"/>
          <w:szCs w:val="21"/>
        </w:rPr>
      </w:pPr>
    </w:p>
    <w:p w:rsidR="006D04E0" w:rsidRPr="006D04E0" w:rsidRDefault="006D04E0" w:rsidP="0075788C">
      <w:pPr>
        <w:ind w:firstLineChars="200" w:firstLine="420"/>
        <w:rPr>
          <w:rFonts w:ascii="宋体" w:hAnsi="宋体"/>
          <w:color w:val="796A4F"/>
          <w:sz w:val="21"/>
          <w:szCs w:val="21"/>
        </w:rPr>
      </w:pPr>
      <w:r>
        <w:rPr>
          <w:rFonts w:ascii="宋体" w:hAnsi="宋体" w:hint="eastAsia"/>
          <w:color w:val="796A4F"/>
          <w:sz w:val="21"/>
          <w:szCs w:val="21"/>
        </w:rPr>
        <w:t>我们从螺纹钢与铁矿石期货主力合约价差角度来看，从去年10月的2700元以上降至目前的2000元附近。</w:t>
      </w:r>
      <w:r w:rsidR="00690991">
        <w:rPr>
          <w:rFonts w:ascii="宋体" w:hAnsi="宋体" w:hint="eastAsia"/>
          <w:color w:val="796A4F"/>
          <w:sz w:val="21"/>
          <w:szCs w:val="21"/>
        </w:rPr>
        <w:t>从季节性角度，铁矿石期货价格将进一步下滑，而且下跌力度将大于钢材价格的下滑。因此，</w:t>
      </w:r>
      <w:r>
        <w:rPr>
          <w:rFonts w:ascii="宋体" w:hAnsi="宋体" w:hint="eastAsia"/>
          <w:color w:val="796A4F"/>
          <w:sz w:val="21"/>
          <w:szCs w:val="21"/>
        </w:rPr>
        <w:t>大连商品交易所铁矿石主力期货合约的价格下跌至500元/吨</w:t>
      </w:r>
      <w:r w:rsidR="00690991">
        <w:rPr>
          <w:rFonts w:ascii="宋体" w:hAnsi="宋体" w:hint="eastAsia"/>
          <w:color w:val="796A4F"/>
          <w:sz w:val="21"/>
          <w:szCs w:val="21"/>
        </w:rPr>
        <w:t>下方的概率较大</w:t>
      </w:r>
      <w:r>
        <w:rPr>
          <w:rFonts w:ascii="宋体" w:hAnsi="宋体" w:hint="eastAsia"/>
          <w:color w:val="796A4F"/>
          <w:sz w:val="21"/>
          <w:szCs w:val="21"/>
        </w:rPr>
        <w:t>。</w:t>
      </w:r>
    </w:p>
    <w:p w:rsidR="003711A2" w:rsidRPr="003711A2" w:rsidRDefault="003711A2" w:rsidP="005B0335">
      <w:pPr>
        <w:pStyle w:val="ad"/>
        <w:spacing w:beforeLines="50" w:after="50"/>
        <w:ind w:firstLineChars="200" w:firstLine="420"/>
        <w:rPr>
          <w:rFonts w:ascii="新宋体" w:eastAsia="新宋体" w:hAnsi="新宋体" w:cs="Arial"/>
          <w:color w:val="796A4F"/>
          <w:sz w:val="21"/>
          <w:szCs w:val="21"/>
        </w:rPr>
      </w:pPr>
    </w:p>
    <w:p w:rsidR="008073CF" w:rsidRDefault="004D578E" w:rsidP="004D578E">
      <w:pPr>
        <w:pStyle w:val="2"/>
        <w:rPr>
          <w:rFonts w:hint="eastAsia"/>
          <w:bCs w:val="0"/>
          <w:color w:val="000000" w:themeColor="text1"/>
          <w:sz w:val="28"/>
          <w:szCs w:val="28"/>
        </w:rPr>
      </w:pPr>
      <w:r w:rsidRPr="004D578E">
        <w:rPr>
          <w:rFonts w:hint="eastAsia"/>
          <w:bCs w:val="0"/>
          <w:color w:val="000000" w:themeColor="text1"/>
          <w:sz w:val="28"/>
          <w:szCs w:val="28"/>
        </w:rPr>
        <w:t>第四部分</w:t>
      </w:r>
      <w:r w:rsidRPr="004D578E">
        <w:rPr>
          <w:rFonts w:hint="eastAsia"/>
          <w:bCs w:val="0"/>
          <w:color w:val="000000" w:themeColor="text1"/>
          <w:sz w:val="28"/>
          <w:szCs w:val="28"/>
        </w:rPr>
        <w:t xml:space="preserve">  </w:t>
      </w:r>
      <w:r w:rsidRPr="004D578E">
        <w:rPr>
          <w:rFonts w:hint="eastAsia"/>
          <w:bCs w:val="0"/>
          <w:color w:val="000000" w:themeColor="text1"/>
          <w:sz w:val="28"/>
          <w:szCs w:val="28"/>
        </w:rPr>
        <w:t>结论与后市展望</w:t>
      </w:r>
    </w:p>
    <w:p w:rsidR="000F5370" w:rsidRPr="000F5370" w:rsidRDefault="000F5370" w:rsidP="000F5370">
      <w:pPr>
        <w:pStyle w:val="ad"/>
        <w:spacing w:beforeLines="50" w:after="50"/>
        <w:ind w:firstLineChars="200" w:firstLine="420"/>
        <w:rPr>
          <w:rFonts w:ascii="新宋体" w:eastAsia="新宋体" w:hAnsi="新宋体" w:cs="Arial"/>
          <w:color w:val="796A4F"/>
          <w:sz w:val="21"/>
          <w:szCs w:val="21"/>
        </w:rPr>
      </w:pPr>
      <w:r w:rsidRPr="000F5370">
        <w:rPr>
          <w:rFonts w:ascii="新宋体" w:eastAsia="新宋体" w:hAnsi="新宋体" w:cs="Arial" w:hint="eastAsia"/>
          <w:color w:val="796A4F"/>
          <w:sz w:val="21"/>
          <w:szCs w:val="21"/>
        </w:rPr>
        <w:t>美元指数已刷新5年来高位至88整数关口上方，非美货币一致承压，全球商品价格出现连续暴跌，11月初跌至全年最低点的266点，这也是2010年8月底以来的最低点，说明下半年开始的全球商品市场的暴跌拉开序幕。其中，原油能源、贵金属和农产品是主要的领跌品种。</w:t>
      </w:r>
    </w:p>
    <w:p w:rsidR="005B13B1" w:rsidRDefault="000F5370" w:rsidP="005B13B1">
      <w:pPr>
        <w:pStyle w:val="ad"/>
        <w:spacing w:beforeLines="50" w:after="50"/>
        <w:ind w:firstLineChars="200" w:firstLine="420"/>
        <w:rPr>
          <w:rFonts w:ascii="新宋体" w:eastAsia="新宋体" w:hAnsi="新宋体" w:cs="Arial" w:hint="eastAsia"/>
          <w:color w:val="796A4F"/>
          <w:sz w:val="21"/>
          <w:szCs w:val="21"/>
        </w:rPr>
      </w:pPr>
      <w:r>
        <w:rPr>
          <w:rFonts w:ascii="新宋体" w:eastAsia="新宋体" w:hAnsi="新宋体" w:cs="Arial" w:hint="eastAsia"/>
          <w:color w:val="796A4F"/>
          <w:sz w:val="21"/>
          <w:szCs w:val="21"/>
        </w:rPr>
        <w:t>全球经济体中，除美国继续保持良好的增长态势，欧元区、德国、法国和日本经济表现均令市场大跌眼镜。</w:t>
      </w:r>
      <w:r w:rsidRPr="000F5370">
        <w:rPr>
          <w:rFonts w:ascii="新宋体" w:eastAsia="新宋体" w:hAnsi="新宋体" w:cs="Arial" w:hint="eastAsia"/>
          <w:color w:val="796A4F"/>
          <w:sz w:val="21"/>
          <w:szCs w:val="21"/>
        </w:rPr>
        <w:t>美国第三季度美国GDP的环比年化增长率为3.5%</w:t>
      </w:r>
      <w:r>
        <w:rPr>
          <w:rFonts w:ascii="新宋体" w:eastAsia="新宋体" w:hAnsi="新宋体" w:cs="Arial" w:hint="eastAsia"/>
          <w:color w:val="796A4F"/>
          <w:sz w:val="21"/>
          <w:szCs w:val="21"/>
        </w:rPr>
        <w:t>。回顾国内，10月国庆节开市场后一周，</w:t>
      </w:r>
      <w:r w:rsidR="005B13B1" w:rsidRPr="006D6DFA">
        <w:rPr>
          <w:rFonts w:ascii="新宋体" w:eastAsia="新宋体" w:hAnsi="新宋体" w:cs="Arial" w:hint="eastAsia"/>
          <w:color w:val="796A4F"/>
          <w:sz w:val="21"/>
          <w:szCs w:val="21"/>
        </w:rPr>
        <w:t>黑色</w:t>
      </w:r>
      <w:proofErr w:type="gramStart"/>
      <w:r w:rsidR="005B13B1" w:rsidRPr="006D6DFA">
        <w:rPr>
          <w:rFonts w:ascii="新宋体" w:eastAsia="新宋体" w:hAnsi="新宋体" w:cs="Arial" w:hint="eastAsia"/>
          <w:color w:val="796A4F"/>
          <w:sz w:val="21"/>
          <w:szCs w:val="21"/>
        </w:rPr>
        <w:t>产业链</w:t>
      </w:r>
      <w:r>
        <w:rPr>
          <w:rFonts w:ascii="新宋体" w:eastAsia="新宋体" w:hAnsi="新宋体" w:cs="Arial" w:hint="eastAsia"/>
          <w:color w:val="796A4F"/>
          <w:sz w:val="21"/>
          <w:szCs w:val="21"/>
        </w:rPr>
        <w:t>受</w:t>
      </w:r>
      <w:r w:rsidR="005B13B1" w:rsidRPr="006D6DFA">
        <w:rPr>
          <w:rFonts w:ascii="新宋体" w:eastAsia="新宋体" w:hAnsi="新宋体" w:cs="Arial"/>
          <w:color w:val="796A4F"/>
          <w:sz w:val="21"/>
          <w:szCs w:val="21"/>
        </w:rPr>
        <w:t>利好</w:t>
      </w:r>
      <w:proofErr w:type="gramEnd"/>
      <w:r w:rsidR="005B13B1" w:rsidRPr="006D6DFA">
        <w:rPr>
          <w:rFonts w:ascii="新宋体" w:eastAsia="新宋体" w:hAnsi="新宋体" w:cs="Arial"/>
          <w:color w:val="796A4F"/>
          <w:sz w:val="21"/>
          <w:szCs w:val="21"/>
        </w:rPr>
        <w:t>政策</w:t>
      </w:r>
      <w:r w:rsidR="005B13B1" w:rsidRPr="006D6DFA">
        <w:rPr>
          <w:rFonts w:ascii="新宋体" w:eastAsia="新宋体" w:hAnsi="新宋体" w:cs="Arial" w:hint="eastAsia"/>
          <w:color w:val="796A4F"/>
          <w:sz w:val="21"/>
          <w:szCs w:val="21"/>
        </w:rPr>
        <w:t>（</w:t>
      </w:r>
      <w:r>
        <w:rPr>
          <w:rFonts w:ascii="新宋体" w:eastAsia="新宋体" w:hAnsi="新宋体" w:cs="Arial" w:hint="eastAsia"/>
          <w:color w:val="796A4F"/>
          <w:sz w:val="21"/>
          <w:szCs w:val="21"/>
        </w:rPr>
        <w:t>央行放松按揭条件、国家</w:t>
      </w:r>
      <w:r w:rsidR="005B13B1" w:rsidRPr="006D6DFA">
        <w:rPr>
          <w:rFonts w:ascii="新宋体" w:eastAsia="新宋体" w:hAnsi="新宋体" w:cs="Arial" w:hint="eastAsia"/>
          <w:color w:val="796A4F"/>
          <w:sz w:val="21"/>
          <w:szCs w:val="21"/>
        </w:rPr>
        <w:t>资源税改革、河北等地限产等）影响，</w:t>
      </w:r>
      <w:r>
        <w:rPr>
          <w:rFonts w:ascii="新宋体" w:eastAsia="新宋体" w:hAnsi="新宋体" w:cs="Arial" w:hint="eastAsia"/>
          <w:color w:val="796A4F"/>
          <w:sz w:val="21"/>
          <w:szCs w:val="21"/>
        </w:rPr>
        <w:t>出现</w:t>
      </w:r>
      <w:r w:rsidR="005B13B1" w:rsidRPr="006D6DFA">
        <w:rPr>
          <w:rFonts w:ascii="新宋体" w:eastAsia="新宋体" w:hAnsi="新宋体" w:cs="Arial" w:hint="eastAsia"/>
          <w:color w:val="796A4F"/>
          <w:sz w:val="21"/>
          <w:szCs w:val="21"/>
        </w:rPr>
        <w:t>集体反弹，但</w:t>
      </w:r>
      <w:r w:rsidR="005B13B1" w:rsidRPr="006D6DFA">
        <w:rPr>
          <w:rFonts w:ascii="新宋体" w:eastAsia="新宋体" w:hAnsi="新宋体" w:cs="Arial"/>
          <w:color w:val="796A4F"/>
          <w:sz w:val="21"/>
          <w:szCs w:val="21"/>
        </w:rPr>
        <w:t>鉴于地产高增长阶段已结束，</w:t>
      </w:r>
      <w:r w:rsidR="005B13B1">
        <w:rPr>
          <w:rFonts w:ascii="新宋体" w:eastAsia="新宋体" w:hAnsi="新宋体" w:cs="Arial" w:hint="eastAsia"/>
          <w:color w:val="796A4F"/>
          <w:sz w:val="21"/>
          <w:szCs w:val="21"/>
        </w:rPr>
        <w:t>中国第三季度经济创近六年来最缓慢增长、</w:t>
      </w:r>
      <w:r w:rsidR="005B13B1" w:rsidRPr="006D6DFA">
        <w:rPr>
          <w:rFonts w:ascii="新宋体" w:eastAsia="新宋体" w:hAnsi="新宋体" w:cs="Arial" w:hint="eastAsia"/>
          <w:color w:val="796A4F"/>
          <w:sz w:val="21"/>
          <w:szCs w:val="21"/>
        </w:rPr>
        <w:t>PPI等经济数据仍不理想，</w:t>
      </w:r>
      <w:r w:rsidR="005B13B1" w:rsidRPr="006D6DFA">
        <w:rPr>
          <w:rFonts w:ascii="新宋体" w:eastAsia="新宋体" w:hAnsi="新宋体" w:cs="Arial"/>
          <w:color w:val="796A4F"/>
          <w:sz w:val="21"/>
          <w:szCs w:val="21"/>
        </w:rPr>
        <w:t>短期刺激难逆下行趋势，</w:t>
      </w:r>
      <w:r w:rsidR="005B13B1" w:rsidRPr="006D6DFA">
        <w:rPr>
          <w:rFonts w:ascii="新宋体" w:eastAsia="新宋体" w:hAnsi="新宋体" w:cs="Arial" w:hint="eastAsia"/>
          <w:color w:val="796A4F"/>
          <w:sz w:val="21"/>
          <w:szCs w:val="21"/>
        </w:rPr>
        <w:t>尤其是力拓和FMG宣布三季度矿石产量及发货量同时创历史新高，铁矿石期货</w:t>
      </w:r>
      <w:r>
        <w:rPr>
          <w:rFonts w:ascii="新宋体" w:eastAsia="新宋体" w:hAnsi="新宋体" w:cs="Arial" w:hint="eastAsia"/>
          <w:color w:val="796A4F"/>
          <w:sz w:val="21"/>
          <w:szCs w:val="21"/>
        </w:rPr>
        <w:t>在冲击600元未果后</w:t>
      </w:r>
      <w:r w:rsidR="005B13B1" w:rsidRPr="006D6DFA">
        <w:rPr>
          <w:rFonts w:ascii="新宋体" w:eastAsia="新宋体" w:hAnsi="新宋体" w:cs="Arial" w:hint="eastAsia"/>
          <w:color w:val="796A4F"/>
          <w:sz w:val="21"/>
          <w:szCs w:val="21"/>
        </w:rPr>
        <w:t>回落。总体而言，当前基本面及宏观面均不乐观，</w:t>
      </w:r>
      <w:r w:rsidR="005B13B1" w:rsidRPr="006D6DFA">
        <w:rPr>
          <w:rFonts w:ascii="新宋体" w:eastAsia="新宋体" w:hAnsi="新宋体" w:cs="Arial"/>
          <w:color w:val="796A4F"/>
          <w:sz w:val="21"/>
          <w:szCs w:val="21"/>
        </w:rPr>
        <w:t>阶段性企稳的价格不意味着持续反弹，对</w:t>
      </w:r>
      <w:proofErr w:type="gramStart"/>
      <w:r w:rsidR="005B13B1" w:rsidRPr="006D6DFA">
        <w:rPr>
          <w:rFonts w:ascii="新宋体" w:eastAsia="新宋体" w:hAnsi="新宋体" w:cs="Arial" w:hint="eastAsia"/>
          <w:color w:val="796A4F"/>
          <w:sz w:val="21"/>
          <w:szCs w:val="21"/>
        </w:rPr>
        <w:t>矿价</w:t>
      </w:r>
      <w:r w:rsidR="005B13B1" w:rsidRPr="006D6DFA">
        <w:rPr>
          <w:rFonts w:ascii="新宋体" w:eastAsia="新宋体" w:hAnsi="新宋体" w:cs="Arial"/>
          <w:color w:val="796A4F"/>
          <w:sz w:val="21"/>
          <w:szCs w:val="21"/>
        </w:rPr>
        <w:t>中期</w:t>
      </w:r>
      <w:proofErr w:type="gramEnd"/>
      <w:r w:rsidR="005B13B1" w:rsidRPr="006D6DFA">
        <w:rPr>
          <w:rFonts w:ascii="新宋体" w:eastAsia="新宋体" w:hAnsi="新宋体" w:cs="Arial"/>
          <w:color w:val="796A4F"/>
          <w:sz w:val="21"/>
          <w:szCs w:val="21"/>
        </w:rPr>
        <w:t>走势依然谨慎。</w:t>
      </w:r>
      <w:r w:rsidR="005B13B1" w:rsidRPr="006D6DFA">
        <w:rPr>
          <w:rFonts w:ascii="新宋体" w:eastAsia="新宋体" w:hAnsi="新宋体" w:cs="Arial" w:hint="eastAsia"/>
          <w:color w:val="796A4F"/>
          <w:sz w:val="21"/>
          <w:szCs w:val="21"/>
        </w:rPr>
        <w:t>操作上看依然建议保持逢高</w:t>
      </w:r>
      <w:proofErr w:type="gramStart"/>
      <w:r w:rsidR="005B13B1" w:rsidRPr="006D6DFA">
        <w:rPr>
          <w:rFonts w:ascii="新宋体" w:eastAsia="新宋体" w:hAnsi="新宋体" w:cs="Arial" w:hint="eastAsia"/>
          <w:color w:val="796A4F"/>
          <w:sz w:val="21"/>
          <w:szCs w:val="21"/>
        </w:rPr>
        <w:t>沽</w:t>
      </w:r>
      <w:proofErr w:type="gramEnd"/>
      <w:r>
        <w:rPr>
          <w:rFonts w:ascii="新宋体" w:eastAsia="新宋体" w:hAnsi="新宋体" w:cs="Arial" w:hint="eastAsia"/>
          <w:color w:val="796A4F"/>
          <w:sz w:val="21"/>
          <w:szCs w:val="21"/>
        </w:rPr>
        <w:t>继续</w:t>
      </w:r>
      <w:r w:rsidR="005B13B1" w:rsidRPr="006D6DFA">
        <w:rPr>
          <w:rFonts w:ascii="新宋体" w:eastAsia="新宋体" w:hAnsi="新宋体" w:cs="Arial" w:hint="eastAsia"/>
          <w:color w:val="796A4F"/>
          <w:sz w:val="21"/>
          <w:szCs w:val="21"/>
        </w:rPr>
        <w:t>空</w:t>
      </w:r>
      <w:r w:rsidR="005B13B1">
        <w:rPr>
          <w:rFonts w:ascii="新宋体" w:eastAsia="新宋体" w:hAnsi="新宋体" w:cs="Arial" w:hint="eastAsia"/>
          <w:color w:val="796A4F"/>
          <w:sz w:val="21"/>
          <w:szCs w:val="21"/>
        </w:rPr>
        <w:t>主力合约，对于</w:t>
      </w:r>
      <w:r>
        <w:rPr>
          <w:rFonts w:ascii="新宋体" w:eastAsia="新宋体" w:hAnsi="新宋体" w:cs="Arial" w:hint="eastAsia"/>
          <w:color w:val="796A4F"/>
          <w:sz w:val="21"/>
          <w:szCs w:val="21"/>
        </w:rPr>
        <w:t>I1505</w:t>
      </w:r>
      <w:r w:rsidR="005B13B1">
        <w:rPr>
          <w:rFonts w:ascii="新宋体" w:eastAsia="新宋体" w:hAnsi="新宋体" w:cs="Arial" w:hint="eastAsia"/>
          <w:color w:val="796A4F"/>
          <w:sz w:val="21"/>
          <w:szCs w:val="21"/>
        </w:rPr>
        <w:t>合约可以在</w:t>
      </w:r>
      <w:r>
        <w:rPr>
          <w:rFonts w:ascii="新宋体" w:eastAsia="新宋体" w:hAnsi="新宋体" w:cs="Arial" w:hint="eastAsia"/>
          <w:color w:val="796A4F"/>
          <w:sz w:val="21"/>
          <w:szCs w:val="21"/>
        </w:rPr>
        <w:t>510-530元区间继续放空</w:t>
      </w:r>
      <w:r w:rsidR="005B13B1" w:rsidRPr="006D6DFA">
        <w:rPr>
          <w:rFonts w:ascii="新宋体" w:eastAsia="新宋体" w:hAnsi="新宋体" w:cs="Arial" w:hint="eastAsia"/>
          <w:color w:val="796A4F"/>
          <w:sz w:val="21"/>
          <w:szCs w:val="21"/>
        </w:rPr>
        <w:t>，</w:t>
      </w:r>
      <w:r>
        <w:rPr>
          <w:rFonts w:ascii="新宋体" w:eastAsia="新宋体" w:hAnsi="新宋体" w:cs="Arial" w:hint="eastAsia"/>
          <w:color w:val="796A4F"/>
          <w:sz w:val="21"/>
          <w:szCs w:val="21"/>
        </w:rPr>
        <w:t>而</w:t>
      </w:r>
      <w:r w:rsidR="005B13B1">
        <w:rPr>
          <w:rFonts w:ascii="新宋体" w:eastAsia="新宋体" w:hAnsi="新宋体" w:cs="Arial" w:hint="eastAsia"/>
          <w:color w:val="796A4F"/>
          <w:sz w:val="21"/>
          <w:szCs w:val="21"/>
        </w:rPr>
        <w:t>I1501</w:t>
      </w:r>
      <w:r>
        <w:rPr>
          <w:rFonts w:ascii="新宋体" w:eastAsia="新宋体" w:hAnsi="新宋体" w:cs="Arial" w:hint="eastAsia"/>
          <w:color w:val="796A4F"/>
          <w:sz w:val="21"/>
          <w:szCs w:val="21"/>
        </w:rPr>
        <w:t>合约可以考虑在540-560元区间继续建立空单。两个合约的资金占用可以为各35%左右。</w:t>
      </w:r>
    </w:p>
    <w:p w:rsidR="005B13B1" w:rsidRPr="005B13B1" w:rsidRDefault="005B13B1" w:rsidP="005B13B1">
      <w:pPr>
        <w:rPr>
          <w:rFonts w:hint="eastAsia"/>
        </w:rPr>
      </w:pPr>
    </w:p>
    <w:p w:rsidR="00C628E0" w:rsidRDefault="00C628E0" w:rsidP="00C628E0">
      <w:pPr>
        <w:rPr>
          <w:rFonts w:hint="eastAsia"/>
        </w:rPr>
      </w:pPr>
      <w:r>
        <w:rPr>
          <w:noProof/>
        </w:rPr>
        <w:lastRenderedPageBreak/>
        <w:drawing>
          <wp:inline distT="0" distB="0" distL="0" distR="0">
            <wp:extent cx="6273516" cy="3678865"/>
            <wp:effectExtent l="19050" t="0" r="0" b="0"/>
            <wp:docPr id="26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cstate="print"/>
                    <a:srcRect/>
                    <a:stretch>
                      <a:fillRect/>
                    </a:stretch>
                  </pic:blipFill>
                  <pic:spPr bwMode="auto">
                    <a:xfrm>
                      <a:off x="0" y="0"/>
                      <a:ext cx="6279095" cy="3682137"/>
                    </a:xfrm>
                    <a:prstGeom prst="rect">
                      <a:avLst/>
                    </a:prstGeom>
                    <a:noFill/>
                    <a:ln w="9525">
                      <a:noFill/>
                      <a:miter lim="800000"/>
                      <a:headEnd/>
                      <a:tailEnd/>
                    </a:ln>
                  </pic:spPr>
                </pic:pic>
              </a:graphicData>
            </a:graphic>
          </wp:inline>
        </w:drawing>
      </w:r>
    </w:p>
    <w:p w:rsidR="00764C72" w:rsidRPr="00AF741C" w:rsidRDefault="00764C72" w:rsidP="00764C72">
      <w:pPr>
        <w:jc w:val="center"/>
        <w:rPr>
          <w:rFonts w:ascii="宋体" w:hAnsi="宋体"/>
          <w:color w:val="796A4F"/>
          <w:sz w:val="21"/>
          <w:szCs w:val="21"/>
        </w:rPr>
      </w:pPr>
      <w:r w:rsidRPr="00AF741C">
        <w:rPr>
          <w:rFonts w:ascii="宋体" w:hAnsi="宋体" w:hint="eastAsia"/>
          <w:color w:val="796A4F"/>
          <w:sz w:val="21"/>
          <w:szCs w:val="21"/>
        </w:rPr>
        <w:t>图</w:t>
      </w:r>
      <w:r>
        <w:rPr>
          <w:rFonts w:ascii="宋体" w:hAnsi="宋体" w:hint="eastAsia"/>
          <w:color w:val="796A4F"/>
          <w:sz w:val="21"/>
          <w:szCs w:val="21"/>
        </w:rPr>
        <w:t>3-17</w:t>
      </w:r>
      <w:r w:rsidRPr="00AF741C">
        <w:rPr>
          <w:rFonts w:ascii="宋体" w:hAnsi="宋体" w:hint="eastAsia"/>
          <w:color w:val="796A4F"/>
          <w:sz w:val="21"/>
          <w:szCs w:val="21"/>
        </w:rPr>
        <w:t>：</w:t>
      </w:r>
      <w:r>
        <w:rPr>
          <w:rFonts w:ascii="宋体" w:hAnsi="宋体" w:hint="eastAsia"/>
          <w:color w:val="796A4F"/>
          <w:sz w:val="21"/>
          <w:szCs w:val="21"/>
        </w:rPr>
        <w:t>上海螺纹钢期货1505合约与大连铁矿石期货1505合约价差</w:t>
      </w:r>
      <w:r w:rsidRPr="00AF741C">
        <w:rPr>
          <w:rFonts w:ascii="宋体" w:hAnsi="宋体" w:hint="eastAsia"/>
          <w:color w:val="796A4F"/>
          <w:sz w:val="21"/>
          <w:szCs w:val="21"/>
        </w:rPr>
        <w:t>走势</w:t>
      </w:r>
    </w:p>
    <w:p w:rsidR="00764C72" w:rsidRPr="00AF741C" w:rsidRDefault="00764C72" w:rsidP="00764C72">
      <w:pPr>
        <w:jc w:val="center"/>
        <w:rPr>
          <w:rFonts w:ascii="宋体" w:hAnsi="宋体"/>
          <w:color w:val="796A4F"/>
          <w:sz w:val="21"/>
          <w:szCs w:val="21"/>
        </w:rPr>
      </w:pPr>
      <w:r w:rsidRPr="00AF741C">
        <w:rPr>
          <w:rFonts w:ascii="宋体" w:hAnsi="宋体" w:hint="eastAsia"/>
          <w:color w:val="796A4F"/>
          <w:sz w:val="21"/>
          <w:szCs w:val="21"/>
        </w:rPr>
        <w:t>数据来源：wind、方正中期研究院整理</w:t>
      </w:r>
    </w:p>
    <w:p w:rsidR="00764C72" w:rsidRPr="00764C72" w:rsidRDefault="00764C72" w:rsidP="00C628E0">
      <w:pPr>
        <w:rPr>
          <w:rFonts w:hint="eastAsia"/>
        </w:rPr>
      </w:pPr>
    </w:p>
    <w:p w:rsidR="00C628E0" w:rsidRDefault="00C628E0" w:rsidP="00C628E0">
      <w:pPr>
        <w:rPr>
          <w:rFonts w:hint="eastAsia"/>
        </w:rPr>
      </w:pPr>
    </w:p>
    <w:p w:rsidR="00C628E0" w:rsidRDefault="00C628E0" w:rsidP="00C628E0">
      <w:pPr>
        <w:rPr>
          <w:rFonts w:hint="eastAsia"/>
        </w:rPr>
      </w:pPr>
      <w:r>
        <w:rPr>
          <w:noProof/>
        </w:rPr>
        <w:lastRenderedPageBreak/>
        <w:drawing>
          <wp:inline distT="0" distB="0" distL="0" distR="0">
            <wp:extent cx="6115936" cy="3636335"/>
            <wp:effectExtent l="19050" t="0" r="0" b="0"/>
            <wp:docPr id="26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cstate="print"/>
                    <a:srcRect/>
                    <a:stretch>
                      <a:fillRect/>
                    </a:stretch>
                  </pic:blipFill>
                  <pic:spPr bwMode="auto">
                    <a:xfrm>
                      <a:off x="0" y="0"/>
                      <a:ext cx="6120130" cy="3638829"/>
                    </a:xfrm>
                    <a:prstGeom prst="rect">
                      <a:avLst/>
                    </a:prstGeom>
                    <a:noFill/>
                    <a:ln w="9525">
                      <a:noFill/>
                      <a:miter lim="800000"/>
                      <a:headEnd/>
                      <a:tailEnd/>
                    </a:ln>
                  </pic:spPr>
                </pic:pic>
              </a:graphicData>
            </a:graphic>
          </wp:inline>
        </w:drawing>
      </w:r>
    </w:p>
    <w:p w:rsidR="00764C72" w:rsidRPr="00AF741C" w:rsidRDefault="00764C72" w:rsidP="00764C72">
      <w:pPr>
        <w:jc w:val="center"/>
        <w:rPr>
          <w:rFonts w:ascii="宋体" w:hAnsi="宋体"/>
          <w:color w:val="796A4F"/>
          <w:sz w:val="21"/>
          <w:szCs w:val="21"/>
        </w:rPr>
      </w:pPr>
      <w:r w:rsidRPr="00AF741C">
        <w:rPr>
          <w:rFonts w:ascii="宋体" w:hAnsi="宋体" w:hint="eastAsia"/>
          <w:color w:val="796A4F"/>
          <w:sz w:val="21"/>
          <w:szCs w:val="21"/>
        </w:rPr>
        <w:t>图</w:t>
      </w:r>
      <w:r>
        <w:rPr>
          <w:rFonts w:ascii="宋体" w:hAnsi="宋体" w:hint="eastAsia"/>
          <w:color w:val="796A4F"/>
          <w:sz w:val="21"/>
          <w:szCs w:val="21"/>
        </w:rPr>
        <w:t>3-18</w:t>
      </w:r>
      <w:r w:rsidRPr="00AF741C">
        <w:rPr>
          <w:rFonts w:ascii="宋体" w:hAnsi="宋体" w:hint="eastAsia"/>
          <w:color w:val="796A4F"/>
          <w:sz w:val="21"/>
          <w:szCs w:val="21"/>
        </w:rPr>
        <w:t>：</w:t>
      </w:r>
      <w:r>
        <w:rPr>
          <w:rFonts w:ascii="宋体" w:hAnsi="宋体" w:hint="eastAsia"/>
          <w:color w:val="796A4F"/>
          <w:sz w:val="21"/>
          <w:szCs w:val="21"/>
        </w:rPr>
        <w:t>上海螺纹钢期货1505合约与大连铁矿石期货1505合约价差</w:t>
      </w:r>
      <w:r w:rsidRPr="00AF741C">
        <w:rPr>
          <w:rFonts w:ascii="宋体" w:hAnsi="宋体" w:hint="eastAsia"/>
          <w:color w:val="796A4F"/>
          <w:sz w:val="21"/>
          <w:szCs w:val="21"/>
        </w:rPr>
        <w:t>走势</w:t>
      </w:r>
    </w:p>
    <w:p w:rsidR="00764C72" w:rsidRPr="00AF741C" w:rsidRDefault="00764C72" w:rsidP="00764C72">
      <w:pPr>
        <w:jc w:val="center"/>
        <w:rPr>
          <w:rFonts w:ascii="宋体" w:hAnsi="宋体"/>
          <w:color w:val="796A4F"/>
          <w:sz w:val="21"/>
          <w:szCs w:val="21"/>
        </w:rPr>
      </w:pPr>
      <w:r w:rsidRPr="00AF741C">
        <w:rPr>
          <w:rFonts w:ascii="宋体" w:hAnsi="宋体" w:hint="eastAsia"/>
          <w:color w:val="796A4F"/>
          <w:sz w:val="21"/>
          <w:szCs w:val="21"/>
        </w:rPr>
        <w:t>数据来源：wind、方正中期研究院整理</w:t>
      </w:r>
    </w:p>
    <w:p w:rsidR="00764C72" w:rsidRPr="00764C72" w:rsidRDefault="00764C72" w:rsidP="00C628E0">
      <w:pPr>
        <w:rPr>
          <w:rFonts w:hint="eastAsia"/>
        </w:rPr>
      </w:pPr>
    </w:p>
    <w:p w:rsidR="00C628E0" w:rsidRDefault="00C628E0" w:rsidP="00C628E0">
      <w:pPr>
        <w:rPr>
          <w:rFonts w:hint="eastAsia"/>
        </w:rPr>
      </w:pPr>
      <w:r>
        <w:rPr>
          <w:rFonts w:hint="eastAsia"/>
          <w:noProof/>
        </w:rPr>
        <w:drawing>
          <wp:inline distT="0" distB="0" distL="0" distR="0">
            <wp:extent cx="6120130" cy="3332970"/>
            <wp:effectExtent l="19050" t="0" r="0" b="0"/>
            <wp:docPr id="27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cstate="print"/>
                    <a:srcRect/>
                    <a:stretch>
                      <a:fillRect/>
                    </a:stretch>
                  </pic:blipFill>
                  <pic:spPr bwMode="auto">
                    <a:xfrm>
                      <a:off x="0" y="0"/>
                      <a:ext cx="6120130" cy="3332970"/>
                    </a:xfrm>
                    <a:prstGeom prst="rect">
                      <a:avLst/>
                    </a:prstGeom>
                    <a:noFill/>
                    <a:ln w="9525">
                      <a:noFill/>
                      <a:miter lim="800000"/>
                      <a:headEnd/>
                      <a:tailEnd/>
                    </a:ln>
                  </pic:spPr>
                </pic:pic>
              </a:graphicData>
            </a:graphic>
          </wp:inline>
        </w:drawing>
      </w:r>
    </w:p>
    <w:p w:rsidR="00764C72" w:rsidRPr="00AF741C" w:rsidRDefault="00764C72" w:rsidP="00764C72">
      <w:pPr>
        <w:jc w:val="center"/>
        <w:rPr>
          <w:rFonts w:ascii="宋体" w:hAnsi="宋体"/>
          <w:color w:val="796A4F"/>
          <w:sz w:val="21"/>
          <w:szCs w:val="21"/>
        </w:rPr>
      </w:pPr>
      <w:r w:rsidRPr="00AF741C">
        <w:rPr>
          <w:rFonts w:ascii="宋体" w:hAnsi="宋体" w:hint="eastAsia"/>
          <w:color w:val="796A4F"/>
          <w:sz w:val="21"/>
          <w:szCs w:val="21"/>
        </w:rPr>
        <w:lastRenderedPageBreak/>
        <w:t>图</w:t>
      </w:r>
      <w:r>
        <w:rPr>
          <w:rFonts w:ascii="宋体" w:hAnsi="宋体" w:hint="eastAsia"/>
          <w:color w:val="796A4F"/>
          <w:sz w:val="21"/>
          <w:szCs w:val="21"/>
        </w:rPr>
        <w:t>3-19</w:t>
      </w:r>
      <w:r w:rsidRPr="00AF741C">
        <w:rPr>
          <w:rFonts w:ascii="宋体" w:hAnsi="宋体" w:hint="eastAsia"/>
          <w:color w:val="796A4F"/>
          <w:sz w:val="21"/>
          <w:szCs w:val="21"/>
        </w:rPr>
        <w:t>：</w:t>
      </w:r>
      <w:r>
        <w:rPr>
          <w:rFonts w:ascii="宋体" w:hAnsi="宋体" w:hint="eastAsia"/>
          <w:color w:val="796A4F"/>
          <w:sz w:val="21"/>
          <w:szCs w:val="21"/>
        </w:rPr>
        <w:t>上海螺纹钢期货1505合约与大连铁矿石期货1505合约价差</w:t>
      </w:r>
      <w:r w:rsidRPr="00AF741C">
        <w:rPr>
          <w:rFonts w:ascii="宋体" w:hAnsi="宋体" w:hint="eastAsia"/>
          <w:color w:val="796A4F"/>
          <w:sz w:val="21"/>
          <w:szCs w:val="21"/>
        </w:rPr>
        <w:t>走势</w:t>
      </w:r>
    </w:p>
    <w:p w:rsidR="00764C72" w:rsidRPr="00AF741C" w:rsidRDefault="00764C72" w:rsidP="00764C72">
      <w:pPr>
        <w:jc w:val="center"/>
        <w:rPr>
          <w:rFonts w:ascii="宋体" w:hAnsi="宋体"/>
          <w:color w:val="796A4F"/>
          <w:sz w:val="21"/>
          <w:szCs w:val="21"/>
        </w:rPr>
      </w:pPr>
      <w:r w:rsidRPr="00AF741C">
        <w:rPr>
          <w:rFonts w:ascii="宋体" w:hAnsi="宋体" w:hint="eastAsia"/>
          <w:color w:val="796A4F"/>
          <w:sz w:val="21"/>
          <w:szCs w:val="21"/>
        </w:rPr>
        <w:t>数据来源：wind、方正中期研究院整理</w:t>
      </w:r>
    </w:p>
    <w:p w:rsidR="00764C72" w:rsidRPr="00764C72" w:rsidRDefault="00764C72" w:rsidP="00C628E0">
      <w:pPr>
        <w:rPr>
          <w:rFonts w:hint="eastAsia"/>
        </w:rPr>
      </w:pPr>
    </w:p>
    <w:p w:rsidR="00B7766D" w:rsidRDefault="00B7766D" w:rsidP="00B40A7D">
      <w:pPr>
        <w:autoSpaceDE w:val="0"/>
        <w:autoSpaceDN w:val="0"/>
        <w:adjustRightInd w:val="0"/>
        <w:spacing w:before="100" w:beforeAutospacing="1" w:after="100" w:afterAutospacing="1" w:line="360" w:lineRule="auto"/>
        <w:ind w:leftChars="-129" w:left="-284" w:rightChars="-194" w:right="-427" w:firstLineChars="200" w:firstLine="480"/>
        <w:rPr>
          <w:rFonts w:ascii="楷体_GB2312" w:eastAsia="楷体_GB2312" w:hAnsi="宋体"/>
          <w:sz w:val="24"/>
          <w:szCs w:val="24"/>
        </w:rPr>
      </w:pPr>
      <w:r>
        <w:rPr>
          <w:rFonts w:ascii="楷体_GB2312" w:eastAsia="楷体_GB2312" w:hAnsi="宋体"/>
          <w:sz w:val="24"/>
          <w:szCs w:val="24"/>
        </w:rPr>
        <w:br w:type="page"/>
      </w:r>
    </w:p>
    <w:p w:rsidR="006E5FFF" w:rsidRDefault="006E5FFF" w:rsidP="00980312">
      <w:pPr>
        <w:rPr>
          <w:rFonts w:ascii="楷体_GB2312" w:eastAsia="楷体_GB2312" w:hAnsi="宋体"/>
          <w:sz w:val="24"/>
          <w:szCs w:val="24"/>
        </w:rPr>
      </w:pPr>
    </w:p>
    <w:p w:rsidR="00980312" w:rsidRDefault="00586C4C" w:rsidP="00980312">
      <w:pPr>
        <w:rPr>
          <w:rFonts w:ascii="楷体_GB2312" w:eastAsia="楷体_GB2312" w:hAnsi="宋体"/>
          <w:sz w:val="24"/>
          <w:szCs w:val="24"/>
        </w:rPr>
      </w:pPr>
      <w:r>
        <w:rPr>
          <w:rFonts w:ascii="楷体_GB2312" w:eastAsia="楷体_GB2312" w:hAnsi="宋体"/>
          <w:sz w:val="24"/>
          <w:szCs w:val="24"/>
        </w:rPr>
        <w:pict>
          <v:shape id="_x0000_s1050" type="#_x0000_t202" style="position:absolute;margin-left:1in;margin-top:19.85pt;width:324pt;height:39pt;z-index:251662336" filled="f" stroked="f">
            <v:textbox style="mso-next-textbox:#_x0000_s1050">
              <w:txbxContent>
                <w:p w:rsidR="0096157B" w:rsidRPr="00AB5670" w:rsidRDefault="0096157B" w:rsidP="00980312">
                  <w:pPr>
                    <w:jc w:val="center"/>
                    <w:rPr>
                      <w:rFonts w:ascii="黑体" w:eastAsia="黑体"/>
                      <w:color w:val="C70B14"/>
                      <w:sz w:val="48"/>
                      <w:szCs w:val="48"/>
                    </w:rPr>
                  </w:pPr>
                  <w:r w:rsidRPr="00AB5670">
                    <w:rPr>
                      <w:rFonts w:ascii="黑体" w:eastAsia="黑体" w:hint="eastAsia"/>
                      <w:color w:val="C70B14"/>
                      <w:sz w:val="48"/>
                      <w:szCs w:val="48"/>
                    </w:rPr>
                    <w:t xml:space="preserve"> 方正金融，正在你身边。</w:t>
                  </w:r>
                </w:p>
              </w:txbxContent>
            </v:textbox>
          </v:shape>
        </w:pict>
      </w:r>
      <w:r>
        <w:rPr>
          <w:rFonts w:ascii="楷体_GB2312" w:eastAsia="楷体_GB2312" w:hAnsi="宋体"/>
          <w:sz w:val="24"/>
          <w:szCs w:val="24"/>
        </w:rPr>
        <w:pict>
          <v:rect id="_x0000_s1049" style="position:absolute;margin-left:63pt;margin-top:4.25pt;width:342pt;height:70.2pt;z-index:251661312" fillcolor="#d0b786" strokecolor="#c70b14" strokeweight="1pt">
            <v:textbox style="mso-next-textbox:#_x0000_s1049">
              <w:txbxContent>
                <w:p w:rsidR="0096157B" w:rsidRDefault="0096157B" w:rsidP="00980312"/>
              </w:txbxContent>
            </v:textbox>
          </v:rect>
        </w:pict>
      </w:r>
    </w:p>
    <w:p w:rsidR="00980312" w:rsidRDefault="00980312" w:rsidP="00980312">
      <w:pPr>
        <w:rPr>
          <w:rFonts w:ascii="楷体_GB2312" w:eastAsia="楷体_GB2312" w:hAnsi="宋体"/>
          <w:sz w:val="24"/>
          <w:szCs w:val="24"/>
        </w:rPr>
      </w:pPr>
    </w:p>
    <w:p w:rsidR="006E5FFF" w:rsidRDefault="006E5FFF" w:rsidP="00980312">
      <w:pPr>
        <w:rPr>
          <w:rFonts w:ascii="楷体_GB2312" w:eastAsia="楷体_GB2312" w:hAnsi="宋体"/>
          <w:sz w:val="24"/>
          <w:szCs w:val="24"/>
        </w:rPr>
      </w:pPr>
    </w:p>
    <w:p w:rsidR="004D578E" w:rsidRDefault="004D578E" w:rsidP="00980312">
      <w:pPr>
        <w:rPr>
          <w:rFonts w:ascii="楷体_GB2312" w:eastAsia="楷体_GB2312" w:hAnsi="宋体"/>
          <w:sz w:val="24"/>
          <w:szCs w:val="24"/>
        </w:rPr>
      </w:pPr>
    </w:p>
    <w:p w:rsidR="00F45B17" w:rsidRDefault="00F45B17" w:rsidP="00980312">
      <w:pPr>
        <w:rPr>
          <w:rFonts w:ascii="楷体_GB2312" w:eastAsia="楷体_GB2312" w:hAnsi="宋体"/>
          <w:sz w:val="24"/>
          <w:szCs w:val="24"/>
        </w:rPr>
      </w:pPr>
    </w:p>
    <w:p w:rsidR="00011905" w:rsidRDefault="00011905" w:rsidP="00980312">
      <w:pPr>
        <w:rPr>
          <w:rFonts w:ascii="楷体_GB2312" w:eastAsia="楷体_GB2312" w:hAnsi="宋体"/>
          <w:sz w:val="24"/>
          <w:szCs w:val="24"/>
        </w:rPr>
      </w:pPr>
    </w:p>
    <w:tbl>
      <w:tblPr>
        <w:tblW w:w="0" w:type="auto"/>
        <w:tblBorders>
          <w:top w:val="single" w:sz="18" w:space="0" w:color="800000"/>
          <w:bottom w:val="single" w:sz="18" w:space="0" w:color="800000"/>
          <w:insideH w:val="single" w:sz="2" w:space="0" w:color="943634"/>
          <w:insideV w:val="single" w:sz="2" w:space="0" w:color="595959"/>
        </w:tblBorders>
        <w:tblLook w:val="0000"/>
      </w:tblPr>
      <w:tblGrid>
        <w:gridCol w:w="9854"/>
      </w:tblGrid>
      <w:tr w:rsidR="00C13B6A" w:rsidRPr="00A040B2" w:rsidTr="008E1812">
        <w:trPr>
          <w:trHeight w:val="2447"/>
        </w:trPr>
        <w:tc>
          <w:tcPr>
            <w:tcW w:w="0" w:type="auto"/>
            <w:vAlign w:val="center"/>
          </w:tcPr>
          <w:p w:rsidR="00C13B6A" w:rsidRPr="00AB5670" w:rsidRDefault="00C13B6A" w:rsidP="00C13B6A">
            <w:pPr>
              <w:spacing w:after="0" w:line="240" w:lineRule="atLeast"/>
              <w:jc w:val="both"/>
              <w:rPr>
                <w:rFonts w:ascii="新宋体" w:eastAsia="新宋体" w:hAnsi="新宋体"/>
                <w:b/>
                <w:color w:val="796A4F"/>
                <w:sz w:val="21"/>
                <w:szCs w:val="21"/>
              </w:rPr>
            </w:pPr>
            <w:r w:rsidRPr="00AB5670">
              <w:rPr>
                <w:rFonts w:ascii="新宋体" w:eastAsia="新宋体" w:hAnsi="新宋体" w:hint="eastAsia"/>
                <w:b/>
                <w:color w:val="796A4F"/>
                <w:sz w:val="21"/>
                <w:szCs w:val="21"/>
              </w:rPr>
              <w:t>重要事项:</w:t>
            </w:r>
          </w:p>
          <w:p w:rsidR="00C13B6A" w:rsidRPr="00AB5670" w:rsidRDefault="00C13B6A" w:rsidP="008E72BA">
            <w:pPr>
              <w:spacing w:after="0" w:line="240" w:lineRule="atLeast"/>
              <w:rPr>
                <w:rFonts w:ascii="新宋体" w:eastAsia="新宋体" w:hAnsi="新宋体"/>
                <w:b/>
                <w:color w:val="796A4F"/>
                <w:sz w:val="21"/>
                <w:szCs w:val="21"/>
              </w:rPr>
            </w:pPr>
            <w:r w:rsidRPr="00A040B2">
              <w:rPr>
                <w:rFonts w:ascii="新宋体" w:eastAsia="新宋体" w:hAnsi="新宋体" w:cs="Arial" w:hint="eastAsia"/>
                <w:iCs/>
                <w:color w:val="796A4F"/>
                <w:sz w:val="21"/>
                <w:szCs w:val="21"/>
              </w:rPr>
              <w:t>本报告中的信息均源于公开资料，仅作参考之用。方正</w:t>
            </w:r>
            <w:r w:rsidR="008E72BA">
              <w:rPr>
                <w:rFonts w:ascii="新宋体" w:eastAsia="新宋体" w:hAnsi="新宋体" w:cs="Arial" w:hint="eastAsia"/>
                <w:iCs/>
                <w:color w:val="796A4F"/>
                <w:sz w:val="21"/>
                <w:szCs w:val="21"/>
              </w:rPr>
              <w:t>中期研究院</w:t>
            </w:r>
            <w:r w:rsidRPr="00A040B2">
              <w:rPr>
                <w:rFonts w:ascii="新宋体" w:eastAsia="新宋体" w:hAnsi="新宋体" w:cs="Arial" w:hint="eastAsia"/>
                <w:iCs/>
                <w:color w:val="796A4F"/>
                <w:sz w:val="21"/>
                <w:szCs w:val="21"/>
              </w:rPr>
              <w:t>力求准确可靠，但对于信息的准确性及完备性不作任何保证，不管在何种情况下，本报告不构成个人投资建议，也没有考虑到个别客户特殊的投资目的、财务状况或需要，不能当作购买或出售报告中所提及的商品的依据。本报告未经方正</w:t>
            </w:r>
            <w:r w:rsidR="008E72BA">
              <w:rPr>
                <w:rFonts w:ascii="新宋体" w:eastAsia="新宋体" w:hAnsi="新宋体" w:cs="Arial" w:hint="eastAsia"/>
                <w:iCs/>
                <w:color w:val="796A4F"/>
                <w:sz w:val="21"/>
                <w:szCs w:val="21"/>
              </w:rPr>
              <w:t>中期</w:t>
            </w:r>
            <w:r w:rsidRPr="00A040B2">
              <w:rPr>
                <w:rFonts w:ascii="新宋体" w:eastAsia="新宋体" w:hAnsi="新宋体" w:cs="Arial" w:hint="eastAsia"/>
                <w:iCs/>
                <w:color w:val="796A4F"/>
                <w:sz w:val="21"/>
                <w:szCs w:val="21"/>
              </w:rPr>
              <w:t>研究</w:t>
            </w:r>
            <w:r w:rsidR="008E72BA">
              <w:rPr>
                <w:rFonts w:ascii="新宋体" w:eastAsia="新宋体" w:hAnsi="新宋体" w:cs="Arial" w:hint="eastAsia"/>
                <w:iCs/>
                <w:color w:val="796A4F"/>
                <w:sz w:val="21"/>
                <w:szCs w:val="21"/>
              </w:rPr>
              <w:t>院</w:t>
            </w:r>
            <w:r w:rsidRPr="00A040B2">
              <w:rPr>
                <w:rFonts w:ascii="新宋体" w:eastAsia="新宋体" w:hAnsi="新宋体" w:cs="Arial" w:hint="eastAsia"/>
                <w:iCs/>
                <w:color w:val="796A4F"/>
                <w:sz w:val="21"/>
                <w:szCs w:val="21"/>
              </w:rPr>
              <w:t>许可，不得转给其他人员，且任何引用、转载以及向第三方传播的行为均可能承担法律责任，方正</w:t>
            </w:r>
            <w:r w:rsidR="008E72BA">
              <w:rPr>
                <w:rFonts w:ascii="新宋体" w:eastAsia="新宋体" w:hAnsi="新宋体" w:cs="Arial" w:hint="eastAsia"/>
                <w:iCs/>
                <w:color w:val="796A4F"/>
                <w:sz w:val="21"/>
                <w:szCs w:val="21"/>
              </w:rPr>
              <w:t>中期</w:t>
            </w:r>
            <w:r w:rsidRPr="00A040B2">
              <w:rPr>
                <w:rFonts w:ascii="新宋体" w:eastAsia="新宋体" w:hAnsi="新宋体" w:cs="Arial" w:hint="eastAsia"/>
                <w:iCs/>
                <w:color w:val="796A4F"/>
                <w:sz w:val="21"/>
                <w:szCs w:val="21"/>
              </w:rPr>
              <w:t>期货有限公司不承担因根据本报告操作而导致的损失，敬请投资者注意可能存在的交易风险。本报告版权归方正</w:t>
            </w:r>
            <w:r w:rsidR="008E72BA">
              <w:rPr>
                <w:rFonts w:ascii="新宋体" w:eastAsia="新宋体" w:hAnsi="新宋体" w:cs="Arial" w:hint="eastAsia"/>
                <w:iCs/>
                <w:color w:val="796A4F"/>
                <w:sz w:val="21"/>
                <w:szCs w:val="21"/>
              </w:rPr>
              <w:t>中期</w:t>
            </w:r>
            <w:r w:rsidRPr="00A040B2">
              <w:rPr>
                <w:rFonts w:ascii="新宋体" w:eastAsia="新宋体" w:hAnsi="新宋体" w:cs="Arial" w:hint="eastAsia"/>
                <w:iCs/>
                <w:color w:val="796A4F"/>
                <w:sz w:val="21"/>
                <w:szCs w:val="21"/>
              </w:rPr>
              <w:t>所有。</w:t>
            </w:r>
          </w:p>
        </w:tc>
      </w:tr>
      <w:tr w:rsidR="00980312" w:rsidRPr="00A040B2" w:rsidTr="00980312">
        <w:trPr>
          <w:trHeight w:val="2278"/>
        </w:trPr>
        <w:tc>
          <w:tcPr>
            <w:tcW w:w="0" w:type="auto"/>
          </w:tcPr>
          <w:p w:rsidR="00884CBA" w:rsidRDefault="00884CBA" w:rsidP="00884CBA">
            <w:pPr>
              <w:spacing w:after="0"/>
              <w:rPr>
                <w:rFonts w:ascii="新宋体" w:eastAsia="新宋体" w:hAnsi="新宋体" w:cs="Arial"/>
                <w:b/>
                <w:iCs/>
                <w:color w:val="796A4F"/>
                <w:sz w:val="21"/>
                <w:szCs w:val="21"/>
              </w:rPr>
            </w:pPr>
            <w:r>
              <w:rPr>
                <w:rFonts w:ascii="新宋体" w:eastAsia="新宋体" w:hAnsi="新宋体" w:cs="Arial" w:hint="eastAsia"/>
                <w:b/>
                <w:iCs/>
                <w:color w:val="796A4F"/>
                <w:sz w:val="21"/>
                <w:szCs w:val="21"/>
              </w:rPr>
              <w:t>联系方式：</w:t>
            </w:r>
          </w:p>
          <w:p w:rsidR="00F45B17" w:rsidRDefault="00F45B17" w:rsidP="00F45B17">
            <w:pPr>
              <w:spacing w:after="0"/>
              <w:rPr>
                <w:rFonts w:ascii="新宋体" w:eastAsia="新宋体" w:hAnsi="新宋体" w:cs="Arial"/>
                <w:iCs/>
                <w:color w:val="796A4F"/>
                <w:sz w:val="21"/>
                <w:szCs w:val="21"/>
              </w:rPr>
            </w:pPr>
            <w:r>
              <w:rPr>
                <w:rFonts w:ascii="新宋体" w:eastAsia="新宋体" w:hAnsi="新宋体" w:cs="Arial" w:hint="eastAsia"/>
                <w:iCs/>
                <w:color w:val="796A4F"/>
                <w:sz w:val="21"/>
                <w:szCs w:val="21"/>
              </w:rPr>
              <w:t>方正中期期货研究院</w:t>
            </w:r>
          </w:p>
          <w:p w:rsidR="00F45B17" w:rsidRDefault="00F45B17" w:rsidP="00F45B17">
            <w:pPr>
              <w:spacing w:after="0"/>
              <w:rPr>
                <w:rFonts w:ascii="新宋体" w:eastAsia="新宋体" w:hAnsi="新宋体" w:cs="Arial"/>
                <w:iCs/>
                <w:color w:val="796A4F"/>
                <w:sz w:val="21"/>
                <w:szCs w:val="21"/>
              </w:rPr>
            </w:pPr>
            <w:r>
              <w:rPr>
                <w:rFonts w:ascii="新宋体" w:eastAsia="新宋体" w:hAnsi="新宋体" w:cs="Arial" w:hint="eastAsia"/>
                <w:iCs/>
                <w:color w:val="796A4F"/>
                <w:sz w:val="21"/>
                <w:szCs w:val="21"/>
              </w:rPr>
              <w:t>地址：北京市西城区</w:t>
            </w:r>
            <w:proofErr w:type="gramStart"/>
            <w:r>
              <w:rPr>
                <w:rFonts w:ascii="新宋体" w:eastAsia="新宋体" w:hAnsi="新宋体" w:cs="Arial" w:hint="eastAsia"/>
                <w:iCs/>
                <w:color w:val="796A4F"/>
                <w:sz w:val="21"/>
                <w:szCs w:val="21"/>
              </w:rPr>
              <w:t>阜</w:t>
            </w:r>
            <w:proofErr w:type="gramEnd"/>
            <w:r>
              <w:rPr>
                <w:rFonts w:ascii="新宋体" w:eastAsia="新宋体" w:hAnsi="新宋体" w:cs="Arial" w:hint="eastAsia"/>
                <w:iCs/>
                <w:color w:val="796A4F"/>
                <w:sz w:val="21"/>
                <w:szCs w:val="21"/>
              </w:rPr>
              <w:t>外大街甲34号方正证券大厦2楼东侧</w:t>
            </w:r>
          </w:p>
          <w:p w:rsidR="00F45B17" w:rsidRDefault="00F45B17" w:rsidP="00F45B17">
            <w:pPr>
              <w:spacing w:after="0"/>
              <w:ind w:firstLineChars="300" w:firstLine="630"/>
              <w:rPr>
                <w:rFonts w:ascii="新宋体" w:eastAsia="新宋体" w:hAnsi="新宋体" w:cs="Arial"/>
                <w:iCs/>
                <w:color w:val="796A4F"/>
                <w:sz w:val="21"/>
                <w:szCs w:val="21"/>
              </w:rPr>
            </w:pPr>
            <w:r>
              <w:rPr>
                <w:rFonts w:ascii="新宋体" w:eastAsia="新宋体" w:hAnsi="新宋体" w:cs="Arial" w:hint="eastAsia"/>
                <w:iCs/>
                <w:color w:val="796A4F"/>
                <w:sz w:val="21"/>
                <w:szCs w:val="21"/>
              </w:rPr>
              <w:t>北京市朝阳区东三环北路38号院1号楼泰康金融大厦22层</w:t>
            </w:r>
          </w:p>
          <w:p w:rsidR="00F45B17" w:rsidRDefault="00F45B17" w:rsidP="00F45B17">
            <w:pPr>
              <w:spacing w:after="0"/>
              <w:rPr>
                <w:rFonts w:ascii="新宋体" w:eastAsia="新宋体" w:hAnsi="新宋体" w:cs="Arial"/>
                <w:iCs/>
                <w:color w:val="796A4F"/>
                <w:sz w:val="21"/>
                <w:szCs w:val="21"/>
              </w:rPr>
            </w:pPr>
            <w:r>
              <w:rPr>
                <w:rFonts w:ascii="新宋体" w:eastAsia="新宋体" w:hAnsi="新宋体" w:cs="Arial" w:hint="eastAsia"/>
                <w:iCs/>
                <w:color w:val="796A4F"/>
                <w:sz w:val="21"/>
                <w:szCs w:val="21"/>
              </w:rPr>
              <w:t>电话：010-68578867、85881117</w:t>
            </w:r>
          </w:p>
          <w:p w:rsidR="00F45B17" w:rsidRDefault="00F45B17" w:rsidP="00F45B17">
            <w:pPr>
              <w:spacing w:after="0"/>
              <w:rPr>
                <w:rFonts w:ascii="新宋体" w:eastAsia="新宋体" w:hAnsi="新宋体" w:cs="Arial"/>
                <w:iCs/>
                <w:color w:val="796A4F"/>
                <w:sz w:val="21"/>
                <w:szCs w:val="21"/>
              </w:rPr>
            </w:pPr>
            <w:r>
              <w:rPr>
                <w:rFonts w:ascii="新宋体" w:eastAsia="新宋体" w:hAnsi="新宋体" w:cs="Arial" w:hint="eastAsia"/>
                <w:iCs/>
                <w:color w:val="796A4F"/>
                <w:sz w:val="21"/>
                <w:szCs w:val="21"/>
              </w:rPr>
              <w:t>传真：010-68578010</w:t>
            </w:r>
          </w:p>
          <w:p w:rsidR="00F45B17" w:rsidRDefault="00F45B17" w:rsidP="00F45B17">
            <w:pPr>
              <w:spacing w:after="0"/>
              <w:rPr>
                <w:rFonts w:ascii="新宋体" w:eastAsia="新宋体" w:hAnsi="新宋体" w:cs="Arial"/>
                <w:iCs/>
                <w:color w:val="796A4F"/>
                <w:sz w:val="21"/>
                <w:szCs w:val="21"/>
              </w:rPr>
            </w:pPr>
            <w:r>
              <w:rPr>
                <w:rFonts w:ascii="新宋体" w:eastAsia="新宋体" w:hAnsi="新宋体" w:cs="Arial" w:hint="eastAsia"/>
                <w:iCs/>
                <w:color w:val="796A4F"/>
                <w:sz w:val="21"/>
                <w:szCs w:val="21"/>
              </w:rPr>
              <w:t>邮编：100037</w:t>
            </w:r>
          </w:p>
          <w:p w:rsidR="00884CBA" w:rsidRDefault="00884CBA" w:rsidP="00884CBA">
            <w:pPr>
              <w:spacing w:after="0"/>
              <w:rPr>
                <w:rFonts w:ascii="新宋体" w:eastAsia="新宋体" w:hAnsi="新宋体" w:cs="Arial"/>
                <w:iCs/>
                <w:color w:val="796A4F"/>
                <w:sz w:val="21"/>
                <w:szCs w:val="21"/>
              </w:rPr>
            </w:pPr>
            <w:r>
              <w:rPr>
                <w:rFonts w:ascii="新宋体" w:eastAsia="新宋体" w:hAnsi="新宋体" w:cs="Arial" w:hint="eastAsia"/>
                <w:iCs/>
                <w:color w:val="796A4F"/>
                <w:sz w:val="21"/>
                <w:szCs w:val="21"/>
              </w:rPr>
              <w:t xml:space="preserve">地址：长沙市芙蓉中路一段372号方正证券大厦四楼 </w:t>
            </w:r>
          </w:p>
          <w:p w:rsidR="00884CBA" w:rsidRDefault="00884CBA" w:rsidP="00884CBA">
            <w:pPr>
              <w:spacing w:after="0"/>
              <w:rPr>
                <w:rFonts w:ascii="新宋体" w:eastAsia="新宋体" w:hAnsi="新宋体" w:cs="Arial"/>
                <w:iCs/>
                <w:color w:val="796A4F"/>
                <w:sz w:val="21"/>
                <w:szCs w:val="21"/>
              </w:rPr>
            </w:pPr>
            <w:r>
              <w:rPr>
                <w:rFonts w:ascii="新宋体" w:eastAsia="新宋体" w:hAnsi="新宋体" w:cs="Arial" w:hint="eastAsia"/>
                <w:iCs/>
                <w:color w:val="796A4F"/>
                <w:sz w:val="21"/>
                <w:szCs w:val="21"/>
              </w:rPr>
              <w:t>电话：073</w:t>
            </w:r>
            <w:r w:rsidR="00A0506C">
              <w:rPr>
                <w:rFonts w:ascii="新宋体" w:eastAsia="新宋体" w:hAnsi="新宋体" w:cs="Arial" w:hint="eastAsia"/>
                <w:iCs/>
                <w:color w:val="796A4F"/>
                <w:sz w:val="21"/>
                <w:szCs w:val="21"/>
              </w:rPr>
              <w:t>2-</w:t>
            </w:r>
            <w:r>
              <w:rPr>
                <w:rFonts w:ascii="新宋体" w:eastAsia="新宋体" w:hAnsi="新宋体" w:cs="Arial" w:hint="eastAsia"/>
                <w:iCs/>
                <w:color w:val="796A4F"/>
                <w:sz w:val="21"/>
                <w:szCs w:val="21"/>
              </w:rPr>
              <w:t>84319306</w:t>
            </w:r>
          </w:p>
          <w:p w:rsidR="00884CBA" w:rsidRDefault="00884CBA" w:rsidP="00884CBA">
            <w:pPr>
              <w:spacing w:after="0"/>
              <w:rPr>
                <w:rFonts w:ascii="新宋体" w:eastAsia="新宋体" w:hAnsi="新宋体" w:cs="Arial"/>
                <w:iCs/>
                <w:color w:val="796A4F"/>
                <w:sz w:val="21"/>
                <w:szCs w:val="21"/>
              </w:rPr>
            </w:pPr>
            <w:r>
              <w:rPr>
                <w:rFonts w:ascii="新宋体" w:eastAsia="新宋体" w:hAnsi="新宋体" w:cs="Arial" w:hint="eastAsia"/>
                <w:iCs/>
                <w:color w:val="796A4F"/>
                <w:sz w:val="21"/>
                <w:szCs w:val="21"/>
              </w:rPr>
              <w:t>传真：073</w:t>
            </w:r>
            <w:r w:rsidR="00A0506C">
              <w:rPr>
                <w:rFonts w:ascii="新宋体" w:eastAsia="新宋体" w:hAnsi="新宋体" w:cs="Arial" w:hint="eastAsia"/>
                <w:iCs/>
                <w:color w:val="796A4F"/>
                <w:sz w:val="21"/>
                <w:szCs w:val="21"/>
              </w:rPr>
              <w:t>2-</w:t>
            </w:r>
            <w:r>
              <w:rPr>
                <w:rFonts w:ascii="新宋体" w:eastAsia="新宋体" w:hAnsi="新宋体" w:cs="Arial" w:hint="eastAsia"/>
                <w:iCs/>
                <w:color w:val="796A4F"/>
                <w:sz w:val="21"/>
                <w:szCs w:val="21"/>
              </w:rPr>
              <w:t>85864807</w:t>
            </w:r>
          </w:p>
          <w:p w:rsidR="00980312" w:rsidRPr="006A621A" w:rsidRDefault="00884CBA" w:rsidP="00884CBA">
            <w:pPr>
              <w:spacing w:after="0"/>
              <w:rPr>
                <w:rFonts w:ascii="新宋体" w:eastAsia="新宋体" w:hAnsi="新宋体" w:cs="Arial"/>
                <w:b/>
                <w:iCs/>
                <w:color w:val="796A4F"/>
                <w:sz w:val="21"/>
                <w:szCs w:val="21"/>
              </w:rPr>
            </w:pPr>
            <w:r>
              <w:rPr>
                <w:rFonts w:ascii="新宋体" w:eastAsia="新宋体" w:hAnsi="新宋体" w:cs="Arial" w:hint="eastAsia"/>
                <w:iCs/>
                <w:color w:val="796A4F"/>
                <w:sz w:val="21"/>
                <w:szCs w:val="21"/>
              </w:rPr>
              <w:t>邮编：410008</w:t>
            </w:r>
          </w:p>
        </w:tc>
      </w:tr>
    </w:tbl>
    <w:p w:rsidR="00980312" w:rsidRDefault="00586C4C" w:rsidP="00980312">
      <w:pPr>
        <w:rPr>
          <w:rFonts w:ascii="宋体" w:hAnsi="宋体" w:cs="Arial"/>
          <w:bCs/>
          <w:color w:val="000000"/>
          <w:sz w:val="24"/>
          <w:szCs w:val="24"/>
        </w:rPr>
      </w:pPr>
      <w:r>
        <w:rPr>
          <w:rFonts w:ascii="宋体" w:hAnsi="宋体" w:cs="Arial"/>
          <w:bCs/>
          <w:noProof/>
          <w:color w:val="000000"/>
          <w:sz w:val="24"/>
          <w:szCs w:val="24"/>
        </w:rPr>
        <w:pict>
          <v:rect id="_x0000_s1053" style="position:absolute;margin-left:-60pt;margin-top:33.2pt;width:594pt;height:63.15pt;z-index:251664384;mso-position-horizontal-relative:text;mso-position-vertical-relative:text" stroked="f"/>
        </w:pict>
      </w:r>
      <w:r>
        <w:rPr>
          <w:rFonts w:ascii="宋体" w:hAnsi="宋体" w:cs="Arial"/>
          <w:bCs/>
          <w:color w:val="000000"/>
          <w:sz w:val="24"/>
          <w:szCs w:val="24"/>
        </w:rPr>
        <w:pict>
          <v:rect id="_x0000_s1051" style="position:absolute;margin-left:-90pt;margin-top:57.85pt;width:594pt;height:101.4pt;z-index:251663360;mso-position-horizontal-relative:text;mso-position-vertical-relative:text" stroked="f"/>
        </w:pict>
      </w:r>
    </w:p>
    <w:sectPr w:rsidR="00980312" w:rsidSect="002C2459">
      <w:headerReference w:type="default" r:id="rId79"/>
      <w:footerReference w:type="default" r:id="rId80"/>
      <w:pgSz w:w="11906" w:h="16838"/>
      <w:pgMar w:top="1091" w:right="1134" w:bottom="1418" w:left="1134" w:header="624" w:footer="992" w:gutter="0"/>
      <w:pgNumType w:start="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9EF" w:rsidRDefault="004C59EF">
      <w:r>
        <w:separator/>
      </w:r>
    </w:p>
  </w:endnote>
  <w:endnote w:type="continuationSeparator" w:id="0">
    <w:p w:rsidR="004C59EF" w:rsidRDefault="004C59E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楷体_GB2312">
    <w:altName w:val="Arial Unicode MS"/>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3634"/>
      <w:docPartObj>
        <w:docPartGallery w:val="Page Numbers (Bottom of Page)"/>
        <w:docPartUnique/>
      </w:docPartObj>
    </w:sdtPr>
    <w:sdtContent>
      <w:sdt>
        <w:sdtPr>
          <w:id w:val="171357283"/>
          <w:docPartObj>
            <w:docPartGallery w:val="Page Numbers (Top of Page)"/>
            <w:docPartUnique/>
          </w:docPartObj>
        </w:sdtPr>
        <w:sdtContent>
          <w:p w:rsidR="0096157B" w:rsidRDefault="0096157B">
            <w:pPr>
              <w:pStyle w:val="af7"/>
              <w:jc w:val="right"/>
            </w:pPr>
            <w:r>
              <w:rPr>
                <w:lang w:val="zh-CN"/>
              </w:rPr>
              <w:t xml:space="preserve"> </w:t>
            </w:r>
            <w:r>
              <w:rPr>
                <w:b/>
                <w:sz w:val="24"/>
                <w:szCs w:val="24"/>
              </w:rPr>
              <w:fldChar w:fldCharType="begin"/>
            </w:r>
            <w:r>
              <w:rPr>
                <w:b/>
              </w:rPr>
              <w:instrText>PAGE</w:instrText>
            </w:r>
            <w:r>
              <w:rPr>
                <w:b/>
                <w:sz w:val="24"/>
                <w:szCs w:val="24"/>
              </w:rPr>
              <w:fldChar w:fldCharType="separate"/>
            </w:r>
            <w:r w:rsidR="000F5370">
              <w:rPr>
                <w:b/>
                <w:noProof/>
              </w:rPr>
              <w:t>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0F5370">
              <w:rPr>
                <w:b/>
                <w:noProof/>
              </w:rPr>
              <w:t>67</w:t>
            </w:r>
            <w:r>
              <w:rPr>
                <w:b/>
                <w:sz w:val="24"/>
                <w:szCs w:val="24"/>
              </w:rPr>
              <w:fldChar w:fldCharType="end"/>
            </w:r>
          </w:p>
        </w:sdtContent>
      </w:sdt>
    </w:sdtContent>
  </w:sdt>
  <w:p w:rsidR="0096157B" w:rsidRDefault="0096157B">
    <w:pPr>
      <w:pStyle w:val="af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9EF" w:rsidRDefault="004C59EF">
      <w:r>
        <w:separator/>
      </w:r>
    </w:p>
  </w:footnote>
  <w:footnote w:type="continuationSeparator" w:id="0">
    <w:p w:rsidR="004C59EF" w:rsidRDefault="004C59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57B" w:rsidRPr="00A24AB5" w:rsidRDefault="0096157B" w:rsidP="006213FB">
    <w:pPr>
      <w:pStyle w:val="af5"/>
      <w:ind w:right="-285"/>
      <w:jc w:val="left"/>
      <w:rPr>
        <w:rFonts w:ascii="黑体" w:eastAsia="黑体"/>
        <w:color w:val="FF0000"/>
        <w:sz w:val="24"/>
        <w:szCs w:val="24"/>
      </w:rPr>
    </w:pPr>
    <w:r w:rsidRPr="00586C4C">
      <w:rPr>
        <w:color w:val="FF0000"/>
        <w:sz w:val="24"/>
        <w:szCs w:val="24"/>
      </w:rPr>
      <w:pict>
        <v:line id="_x0000_s2049" style="position:absolute;z-index:251657216" from="-9pt,39.3pt" to="495pt,39.3pt" strokecolor="red" strokeweight="3pt"/>
      </w:pict>
    </w:r>
    <w:r>
      <w:rPr>
        <w:rFonts w:ascii="黑体" w:eastAsia="黑体" w:hint="eastAsia"/>
        <w:noProof/>
        <w:color w:val="FF0000"/>
        <w:sz w:val="24"/>
        <w:szCs w:val="24"/>
      </w:rPr>
      <w:drawing>
        <wp:inline distT="0" distB="0" distL="0" distR="0">
          <wp:extent cx="1752600" cy="409575"/>
          <wp:effectExtent l="0" t="0" r="0" b="0"/>
          <wp:docPr id="10" name="图片 10" descr="C:\Documents and Settings\Administrator\桌面\方正中期VI和模板201312\方正中期VI和模板201312\3常用LOGO文件\透明标红组合\简称横式组合-标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方正中期VI和模板201312\方正中期VI和模板201312\3常用LOGO文件\透明标红组合\简称横式组合-标红.png"/>
                  <pic:cNvPicPr>
                    <a:picLocks noChangeAspect="1" noChangeArrowheads="1"/>
                  </pic:cNvPicPr>
                </pic:nvPicPr>
                <pic:blipFill>
                  <a:blip r:embed="rId1"/>
                  <a:srcRect/>
                  <a:stretch>
                    <a:fillRect/>
                  </a:stretch>
                </pic:blipFill>
                <pic:spPr bwMode="auto">
                  <a:xfrm>
                    <a:off x="0" y="0"/>
                    <a:ext cx="1752600" cy="409575"/>
                  </a:xfrm>
                  <a:prstGeom prst="rect">
                    <a:avLst/>
                  </a:prstGeom>
                  <a:noFill/>
                  <a:ln w="9525">
                    <a:noFill/>
                    <a:miter lim="800000"/>
                    <a:headEnd/>
                    <a:tailEnd/>
                  </a:ln>
                </pic:spPr>
              </pic:pic>
            </a:graphicData>
          </a:graphic>
        </wp:inline>
      </w:drawing>
    </w:r>
    <w:r>
      <w:rPr>
        <w:rFonts w:ascii="黑体" w:eastAsia="黑体" w:hint="eastAsia"/>
        <w:color w:val="FF0000"/>
        <w:sz w:val="24"/>
        <w:szCs w:val="24"/>
      </w:rPr>
      <w:t xml:space="preserve">                                    </w:t>
    </w:r>
    <w:r>
      <w:rPr>
        <w:rFonts w:ascii="黑体" w:eastAsia="黑体" w:hint="eastAsia"/>
        <w:b/>
        <w:color w:val="FF0000"/>
        <w:sz w:val="28"/>
        <w:szCs w:val="28"/>
      </w:rPr>
      <w:t>铁矿石研究员评选报告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683034A"/>
    <w:multiLevelType w:val="hybridMultilevel"/>
    <w:tmpl w:val="4BFED850"/>
    <w:lvl w:ilvl="0" w:tplc="8E9EDF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F7073F6"/>
    <w:multiLevelType w:val="hybridMultilevel"/>
    <w:tmpl w:val="4760B1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0152830"/>
    <w:multiLevelType w:val="hybridMultilevel"/>
    <w:tmpl w:val="A7A4EC5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2736B4C"/>
    <w:multiLevelType w:val="hybridMultilevel"/>
    <w:tmpl w:val="19120DDC"/>
    <w:lvl w:ilvl="0" w:tplc="04090003">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40835F7"/>
    <w:multiLevelType w:val="hybridMultilevel"/>
    <w:tmpl w:val="2AA0A09A"/>
    <w:lvl w:ilvl="0" w:tplc="CC3817F6">
      <w:start w:val="1"/>
      <w:numFmt w:val="bullet"/>
      <w:lvlText w:val=""/>
      <w:lvlJc w:val="left"/>
      <w:pPr>
        <w:tabs>
          <w:tab w:val="num" w:pos="720"/>
        </w:tabs>
        <w:ind w:left="720" w:hanging="360"/>
      </w:pPr>
      <w:rPr>
        <w:rFonts w:ascii="Wingdings" w:hAnsi="Wingdings" w:hint="default"/>
      </w:rPr>
    </w:lvl>
    <w:lvl w:ilvl="1" w:tplc="BFF0DF6C" w:tentative="1">
      <w:start w:val="1"/>
      <w:numFmt w:val="bullet"/>
      <w:lvlText w:val=""/>
      <w:lvlJc w:val="left"/>
      <w:pPr>
        <w:tabs>
          <w:tab w:val="num" w:pos="1440"/>
        </w:tabs>
        <w:ind w:left="1440" w:hanging="360"/>
      </w:pPr>
      <w:rPr>
        <w:rFonts w:ascii="Wingdings" w:hAnsi="Wingdings" w:hint="default"/>
      </w:rPr>
    </w:lvl>
    <w:lvl w:ilvl="2" w:tplc="D400AA0C" w:tentative="1">
      <w:start w:val="1"/>
      <w:numFmt w:val="bullet"/>
      <w:lvlText w:val=""/>
      <w:lvlJc w:val="left"/>
      <w:pPr>
        <w:tabs>
          <w:tab w:val="num" w:pos="2160"/>
        </w:tabs>
        <w:ind w:left="2160" w:hanging="360"/>
      </w:pPr>
      <w:rPr>
        <w:rFonts w:ascii="Wingdings" w:hAnsi="Wingdings" w:hint="default"/>
      </w:rPr>
    </w:lvl>
    <w:lvl w:ilvl="3" w:tplc="1CF2BFBE" w:tentative="1">
      <w:start w:val="1"/>
      <w:numFmt w:val="bullet"/>
      <w:lvlText w:val=""/>
      <w:lvlJc w:val="left"/>
      <w:pPr>
        <w:tabs>
          <w:tab w:val="num" w:pos="2880"/>
        </w:tabs>
        <w:ind w:left="2880" w:hanging="360"/>
      </w:pPr>
      <w:rPr>
        <w:rFonts w:ascii="Wingdings" w:hAnsi="Wingdings" w:hint="default"/>
      </w:rPr>
    </w:lvl>
    <w:lvl w:ilvl="4" w:tplc="87F69244" w:tentative="1">
      <w:start w:val="1"/>
      <w:numFmt w:val="bullet"/>
      <w:lvlText w:val=""/>
      <w:lvlJc w:val="left"/>
      <w:pPr>
        <w:tabs>
          <w:tab w:val="num" w:pos="3600"/>
        </w:tabs>
        <w:ind w:left="3600" w:hanging="360"/>
      </w:pPr>
      <w:rPr>
        <w:rFonts w:ascii="Wingdings" w:hAnsi="Wingdings" w:hint="default"/>
      </w:rPr>
    </w:lvl>
    <w:lvl w:ilvl="5" w:tplc="A62A05D2" w:tentative="1">
      <w:start w:val="1"/>
      <w:numFmt w:val="bullet"/>
      <w:lvlText w:val=""/>
      <w:lvlJc w:val="left"/>
      <w:pPr>
        <w:tabs>
          <w:tab w:val="num" w:pos="4320"/>
        </w:tabs>
        <w:ind w:left="4320" w:hanging="360"/>
      </w:pPr>
      <w:rPr>
        <w:rFonts w:ascii="Wingdings" w:hAnsi="Wingdings" w:hint="default"/>
      </w:rPr>
    </w:lvl>
    <w:lvl w:ilvl="6" w:tplc="A30A1E6A" w:tentative="1">
      <w:start w:val="1"/>
      <w:numFmt w:val="bullet"/>
      <w:lvlText w:val=""/>
      <w:lvlJc w:val="left"/>
      <w:pPr>
        <w:tabs>
          <w:tab w:val="num" w:pos="5040"/>
        </w:tabs>
        <w:ind w:left="5040" w:hanging="360"/>
      </w:pPr>
      <w:rPr>
        <w:rFonts w:ascii="Wingdings" w:hAnsi="Wingdings" w:hint="default"/>
      </w:rPr>
    </w:lvl>
    <w:lvl w:ilvl="7" w:tplc="0A663ABA" w:tentative="1">
      <w:start w:val="1"/>
      <w:numFmt w:val="bullet"/>
      <w:lvlText w:val=""/>
      <w:lvlJc w:val="left"/>
      <w:pPr>
        <w:tabs>
          <w:tab w:val="num" w:pos="5760"/>
        </w:tabs>
        <w:ind w:left="5760" w:hanging="360"/>
      </w:pPr>
      <w:rPr>
        <w:rFonts w:ascii="Wingdings" w:hAnsi="Wingdings" w:hint="default"/>
      </w:rPr>
    </w:lvl>
    <w:lvl w:ilvl="8" w:tplc="3BAC86D6" w:tentative="1">
      <w:start w:val="1"/>
      <w:numFmt w:val="bullet"/>
      <w:lvlText w:val=""/>
      <w:lvlJc w:val="left"/>
      <w:pPr>
        <w:tabs>
          <w:tab w:val="num" w:pos="6480"/>
        </w:tabs>
        <w:ind w:left="6480" w:hanging="360"/>
      </w:pPr>
      <w:rPr>
        <w:rFonts w:ascii="Wingdings" w:hAnsi="Wingdings" w:hint="default"/>
      </w:rPr>
    </w:lvl>
  </w:abstractNum>
  <w:abstractNum w:abstractNumId="6">
    <w:nsid w:val="16991348"/>
    <w:multiLevelType w:val="hybridMultilevel"/>
    <w:tmpl w:val="B468665E"/>
    <w:lvl w:ilvl="0" w:tplc="BBBE1734">
      <w:start w:val="1"/>
      <w:numFmt w:val="bullet"/>
      <w:lvlText w:val="•"/>
      <w:lvlJc w:val="left"/>
      <w:pPr>
        <w:tabs>
          <w:tab w:val="num" w:pos="720"/>
        </w:tabs>
        <w:ind w:left="720" w:hanging="360"/>
      </w:pPr>
      <w:rPr>
        <w:rFonts w:ascii="Arial" w:hAnsi="Arial" w:hint="default"/>
      </w:rPr>
    </w:lvl>
    <w:lvl w:ilvl="1" w:tplc="ADF64FB2" w:tentative="1">
      <w:start w:val="1"/>
      <w:numFmt w:val="bullet"/>
      <w:lvlText w:val="•"/>
      <w:lvlJc w:val="left"/>
      <w:pPr>
        <w:tabs>
          <w:tab w:val="num" w:pos="1440"/>
        </w:tabs>
        <w:ind w:left="1440" w:hanging="360"/>
      </w:pPr>
      <w:rPr>
        <w:rFonts w:ascii="Arial" w:hAnsi="Arial" w:hint="default"/>
      </w:rPr>
    </w:lvl>
    <w:lvl w:ilvl="2" w:tplc="D7F42F06" w:tentative="1">
      <w:start w:val="1"/>
      <w:numFmt w:val="bullet"/>
      <w:lvlText w:val="•"/>
      <w:lvlJc w:val="left"/>
      <w:pPr>
        <w:tabs>
          <w:tab w:val="num" w:pos="2160"/>
        </w:tabs>
        <w:ind w:left="2160" w:hanging="360"/>
      </w:pPr>
      <w:rPr>
        <w:rFonts w:ascii="Arial" w:hAnsi="Arial" w:hint="default"/>
      </w:rPr>
    </w:lvl>
    <w:lvl w:ilvl="3" w:tplc="5E9E300E" w:tentative="1">
      <w:start w:val="1"/>
      <w:numFmt w:val="bullet"/>
      <w:lvlText w:val="•"/>
      <w:lvlJc w:val="left"/>
      <w:pPr>
        <w:tabs>
          <w:tab w:val="num" w:pos="2880"/>
        </w:tabs>
        <w:ind w:left="2880" w:hanging="360"/>
      </w:pPr>
      <w:rPr>
        <w:rFonts w:ascii="Arial" w:hAnsi="Arial" w:hint="default"/>
      </w:rPr>
    </w:lvl>
    <w:lvl w:ilvl="4" w:tplc="074A1794" w:tentative="1">
      <w:start w:val="1"/>
      <w:numFmt w:val="bullet"/>
      <w:lvlText w:val="•"/>
      <w:lvlJc w:val="left"/>
      <w:pPr>
        <w:tabs>
          <w:tab w:val="num" w:pos="3600"/>
        </w:tabs>
        <w:ind w:left="3600" w:hanging="360"/>
      </w:pPr>
      <w:rPr>
        <w:rFonts w:ascii="Arial" w:hAnsi="Arial" w:hint="default"/>
      </w:rPr>
    </w:lvl>
    <w:lvl w:ilvl="5" w:tplc="F6360340" w:tentative="1">
      <w:start w:val="1"/>
      <w:numFmt w:val="bullet"/>
      <w:lvlText w:val="•"/>
      <w:lvlJc w:val="left"/>
      <w:pPr>
        <w:tabs>
          <w:tab w:val="num" w:pos="4320"/>
        </w:tabs>
        <w:ind w:left="4320" w:hanging="360"/>
      </w:pPr>
      <w:rPr>
        <w:rFonts w:ascii="Arial" w:hAnsi="Arial" w:hint="default"/>
      </w:rPr>
    </w:lvl>
    <w:lvl w:ilvl="6" w:tplc="F32696BA" w:tentative="1">
      <w:start w:val="1"/>
      <w:numFmt w:val="bullet"/>
      <w:lvlText w:val="•"/>
      <w:lvlJc w:val="left"/>
      <w:pPr>
        <w:tabs>
          <w:tab w:val="num" w:pos="5040"/>
        </w:tabs>
        <w:ind w:left="5040" w:hanging="360"/>
      </w:pPr>
      <w:rPr>
        <w:rFonts w:ascii="Arial" w:hAnsi="Arial" w:hint="default"/>
      </w:rPr>
    </w:lvl>
    <w:lvl w:ilvl="7" w:tplc="062625B4" w:tentative="1">
      <w:start w:val="1"/>
      <w:numFmt w:val="bullet"/>
      <w:lvlText w:val="•"/>
      <w:lvlJc w:val="left"/>
      <w:pPr>
        <w:tabs>
          <w:tab w:val="num" w:pos="5760"/>
        </w:tabs>
        <w:ind w:left="5760" w:hanging="360"/>
      </w:pPr>
      <w:rPr>
        <w:rFonts w:ascii="Arial" w:hAnsi="Arial" w:hint="default"/>
      </w:rPr>
    </w:lvl>
    <w:lvl w:ilvl="8" w:tplc="ED0ECC24" w:tentative="1">
      <w:start w:val="1"/>
      <w:numFmt w:val="bullet"/>
      <w:lvlText w:val="•"/>
      <w:lvlJc w:val="left"/>
      <w:pPr>
        <w:tabs>
          <w:tab w:val="num" w:pos="6480"/>
        </w:tabs>
        <w:ind w:left="6480" w:hanging="360"/>
      </w:pPr>
      <w:rPr>
        <w:rFonts w:ascii="Arial" w:hAnsi="Arial" w:hint="default"/>
      </w:rPr>
    </w:lvl>
  </w:abstractNum>
  <w:abstractNum w:abstractNumId="7">
    <w:nsid w:val="1AF01CF8"/>
    <w:multiLevelType w:val="hybridMultilevel"/>
    <w:tmpl w:val="3F18F4D8"/>
    <w:lvl w:ilvl="0" w:tplc="04090001">
      <w:start w:val="1"/>
      <w:numFmt w:val="bullet"/>
      <w:lvlText w:val=""/>
      <w:lvlJc w:val="left"/>
      <w:pPr>
        <w:ind w:left="821" w:hanging="420"/>
      </w:pPr>
      <w:rPr>
        <w:rFonts w:ascii="Wingdings" w:hAnsi="Wingdings" w:hint="default"/>
      </w:rPr>
    </w:lvl>
    <w:lvl w:ilvl="1" w:tplc="04090003" w:tentative="1">
      <w:start w:val="1"/>
      <w:numFmt w:val="bullet"/>
      <w:lvlText w:val=""/>
      <w:lvlJc w:val="left"/>
      <w:pPr>
        <w:ind w:left="1241" w:hanging="420"/>
      </w:pPr>
      <w:rPr>
        <w:rFonts w:ascii="Wingdings" w:hAnsi="Wingdings" w:hint="default"/>
      </w:rPr>
    </w:lvl>
    <w:lvl w:ilvl="2" w:tplc="04090005" w:tentative="1">
      <w:start w:val="1"/>
      <w:numFmt w:val="bullet"/>
      <w:lvlText w:val=""/>
      <w:lvlJc w:val="left"/>
      <w:pPr>
        <w:ind w:left="1661" w:hanging="420"/>
      </w:pPr>
      <w:rPr>
        <w:rFonts w:ascii="Wingdings" w:hAnsi="Wingdings" w:hint="default"/>
      </w:rPr>
    </w:lvl>
    <w:lvl w:ilvl="3" w:tplc="04090001" w:tentative="1">
      <w:start w:val="1"/>
      <w:numFmt w:val="bullet"/>
      <w:lvlText w:val=""/>
      <w:lvlJc w:val="left"/>
      <w:pPr>
        <w:ind w:left="2081" w:hanging="420"/>
      </w:pPr>
      <w:rPr>
        <w:rFonts w:ascii="Wingdings" w:hAnsi="Wingdings" w:hint="default"/>
      </w:rPr>
    </w:lvl>
    <w:lvl w:ilvl="4" w:tplc="04090003" w:tentative="1">
      <w:start w:val="1"/>
      <w:numFmt w:val="bullet"/>
      <w:lvlText w:val=""/>
      <w:lvlJc w:val="left"/>
      <w:pPr>
        <w:ind w:left="2501" w:hanging="420"/>
      </w:pPr>
      <w:rPr>
        <w:rFonts w:ascii="Wingdings" w:hAnsi="Wingdings" w:hint="default"/>
      </w:rPr>
    </w:lvl>
    <w:lvl w:ilvl="5" w:tplc="04090005" w:tentative="1">
      <w:start w:val="1"/>
      <w:numFmt w:val="bullet"/>
      <w:lvlText w:val=""/>
      <w:lvlJc w:val="left"/>
      <w:pPr>
        <w:ind w:left="2921" w:hanging="420"/>
      </w:pPr>
      <w:rPr>
        <w:rFonts w:ascii="Wingdings" w:hAnsi="Wingdings" w:hint="default"/>
      </w:rPr>
    </w:lvl>
    <w:lvl w:ilvl="6" w:tplc="04090001" w:tentative="1">
      <w:start w:val="1"/>
      <w:numFmt w:val="bullet"/>
      <w:lvlText w:val=""/>
      <w:lvlJc w:val="left"/>
      <w:pPr>
        <w:ind w:left="3341" w:hanging="420"/>
      </w:pPr>
      <w:rPr>
        <w:rFonts w:ascii="Wingdings" w:hAnsi="Wingdings" w:hint="default"/>
      </w:rPr>
    </w:lvl>
    <w:lvl w:ilvl="7" w:tplc="04090003" w:tentative="1">
      <w:start w:val="1"/>
      <w:numFmt w:val="bullet"/>
      <w:lvlText w:val=""/>
      <w:lvlJc w:val="left"/>
      <w:pPr>
        <w:ind w:left="3761" w:hanging="420"/>
      </w:pPr>
      <w:rPr>
        <w:rFonts w:ascii="Wingdings" w:hAnsi="Wingdings" w:hint="default"/>
      </w:rPr>
    </w:lvl>
    <w:lvl w:ilvl="8" w:tplc="04090005" w:tentative="1">
      <w:start w:val="1"/>
      <w:numFmt w:val="bullet"/>
      <w:lvlText w:val=""/>
      <w:lvlJc w:val="left"/>
      <w:pPr>
        <w:ind w:left="4181" w:hanging="420"/>
      </w:pPr>
      <w:rPr>
        <w:rFonts w:ascii="Wingdings" w:hAnsi="Wingdings" w:hint="default"/>
      </w:rPr>
    </w:lvl>
  </w:abstractNum>
  <w:abstractNum w:abstractNumId="8">
    <w:nsid w:val="321875E7"/>
    <w:multiLevelType w:val="multilevel"/>
    <w:tmpl w:val="C7DE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594334"/>
    <w:multiLevelType w:val="hybridMultilevel"/>
    <w:tmpl w:val="2C981C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D791814"/>
    <w:multiLevelType w:val="hybridMultilevel"/>
    <w:tmpl w:val="EA2AFC78"/>
    <w:lvl w:ilvl="0" w:tplc="0409000F">
      <w:start w:val="1"/>
      <w:numFmt w:val="decimal"/>
      <w:lvlText w:val="%1."/>
      <w:lvlJc w:val="left"/>
      <w:pPr>
        <w:ind w:left="347" w:hanging="420"/>
      </w:pPr>
    </w:lvl>
    <w:lvl w:ilvl="1" w:tplc="04090019" w:tentative="1">
      <w:start w:val="1"/>
      <w:numFmt w:val="lowerLetter"/>
      <w:lvlText w:val="%2)"/>
      <w:lvlJc w:val="left"/>
      <w:pPr>
        <w:ind w:left="767" w:hanging="420"/>
      </w:pPr>
    </w:lvl>
    <w:lvl w:ilvl="2" w:tplc="0409001B" w:tentative="1">
      <w:start w:val="1"/>
      <w:numFmt w:val="lowerRoman"/>
      <w:lvlText w:val="%3."/>
      <w:lvlJc w:val="right"/>
      <w:pPr>
        <w:ind w:left="1187" w:hanging="420"/>
      </w:pPr>
    </w:lvl>
    <w:lvl w:ilvl="3" w:tplc="0409000F" w:tentative="1">
      <w:start w:val="1"/>
      <w:numFmt w:val="decimal"/>
      <w:lvlText w:val="%4."/>
      <w:lvlJc w:val="left"/>
      <w:pPr>
        <w:ind w:left="1607" w:hanging="420"/>
      </w:pPr>
    </w:lvl>
    <w:lvl w:ilvl="4" w:tplc="04090019" w:tentative="1">
      <w:start w:val="1"/>
      <w:numFmt w:val="lowerLetter"/>
      <w:lvlText w:val="%5)"/>
      <w:lvlJc w:val="left"/>
      <w:pPr>
        <w:ind w:left="2027" w:hanging="420"/>
      </w:pPr>
    </w:lvl>
    <w:lvl w:ilvl="5" w:tplc="0409001B" w:tentative="1">
      <w:start w:val="1"/>
      <w:numFmt w:val="lowerRoman"/>
      <w:lvlText w:val="%6."/>
      <w:lvlJc w:val="right"/>
      <w:pPr>
        <w:ind w:left="2447" w:hanging="420"/>
      </w:pPr>
    </w:lvl>
    <w:lvl w:ilvl="6" w:tplc="0409000F" w:tentative="1">
      <w:start w:val="1"/>
      <w:numFmt w:val="decimal"/>
      <w:lvlText w:val="%7."/>
      <w:lvlJc w:val="left"/>
      <w:pPr>
        <w:ind w:left="2867" w:hanging="420"/>
      </w:pPr>
    </w:lvl>
    <w:lvl w:ilvl="7" w:tplc="04090019" w:tentative="1">
      <w:start w:val="1"/>
      <w:numFmt w:val="lowerLetter"/>
      <w:lvlText w:val="%8)"/>
      <w:lvlJc w:val="left"/>
      <w:pPr>
        <w:ind w:left="3287" w:hanging="420"/>
      </w:pPr>
    </w:lvl>
    <w:lvl w:ilvl="8" w:tplc="0409001B" w:tentative="1">
      <w:start w:val="1"/>
      <w:numFmt w:val="lowerRoman"/>
      <w:lvlText w:val="%9."/>
      <w:lvlJc w:val="right"/>
      <w:pPr>
        <w:ind w:left="3707" w:hanging="420"/>
      </w:pPr>
    </w:lvl>
  </w:abstractNum>
  <w:abstractNum w:abstractNumId="11">
    <w:nsid w:val="44AF368C"/>
    <w:multiLevelType w:val="multilevel"/>
    <w:tmpl w:val="8D1C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230977"/>
    <w:multiLevelType w:val="multilevel"/>
    <w:tmpl w:val="AC02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3424FC"/>
    <w:multiLevelType w:val="hybridMultilevel"/>
    <w:tmpl w:val="329858E6"/>
    <w:lvl w:ilvl="0" w:tplc="FDEA7E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74B2F9D"/>
    <w:multiLevelType w:val="hybridMultilevel"/>
    <w:tmpl w:val="0A746EC4"/>
    <w:lvl w:ilvl="0" w:tplc="0409000F">
      <w:start w:val="1"/>
      <w:numFmt w:val="decimal"/>
      <w:lvlText w:val="%1."/>
      <w:lvlJc w:val="left"/>
      <w:pPr>
        <w:ind w:left="242" w:hanging="420"/>
      </w:pPr>
    </w:lvl>
    <w:lvl w:ilvl="1" w:tplc="04090019" w:tentative="1">
      <w:start w:val="1"/>
      <w:numFmt w:val="lowerLetter"/>
      <w:lvlText w:val="%2)"/>
      <w:lvlJc w:val="left"/>
      <w:pPr>
        <w:ind w:left="662" w:hanging="420"/>
      </w:pPr>
    </w:lvl>
    <w:lvl w:ilvl="2" w:tplc="0409001B" w:tentative="1">
      <w:start w:val="1"/>
      <w:numFmt w:val="lowerRoman"/>
      <w:lvlText w:val="%3."/>
      <w:lvlJc w:val="right"/>
      <w:pPr>
        <w:ind w:left="1082" w:hanging="420"/>
      </w:pPr>
    </w:lvl>
    <w:lvl w:ilvl="3" w:tplc="0409000F" w:tentative="1">
      <w:start w:val="1"/>
      <w:numFmt w:val="decimal"/>
      <w:lvlText w:val="%4."/>
      <w:lvlJc w:val="left"/>
      <w:pPr>
        <w:ind w:left="1502" w:hanging="420"/>
      </w:pPr>
    </w:lvl>
    <w:lvl w:ilvl="4" w:tplc="04090019" w:tentative="1">
      <w:start w:val="1"/>
      <w:numFmt w:val="lowerLetter"/>
      <w:lvlText w:val="%5)"/>
      <w:lvlJc w:val="left"/>
      <w:pPr>
        <w:ind w:left="1922" w:hanging="420"/>
      </w:pPr>
    </w:lvl>
    <w:lvl w:ilvl="5" w:tplc="0409001B" w:tentative="1">
      <w:start w:val="1"/>
      <w:numFmt w:val="lowerRoman"/>
      <w:lvlText w:val="%6."/>
      <w:lvlJc w:val="right"/>
      <w:pPr>
        <w:ind w:left="2342" w:hanging="420"/>
      </w:pPr>
    </w:lvl>
    <w:lvl w:ilvl="6" w:tplc="0409000F" w:tentative="1">
      <w:start w:val="1"/>
      <w:numFmt w:val="decimal"/>
      <w:lvlText w:val="%7."/>
      <w:lvlJc w:val="left"/>
      <w:pPr>
        <w:ind w:left="2762" w:hanging="420"/>
      </w:pPr>
    </w:lvl>
    <w:lvl w:ilvl="7" w:tplc="04090019" w:tentative="1">
      <w:start w:val="1"/>
      <w:numFmt w:val="lowerLetter"/>
      <w:lvlText w:val="%8)"/>
      <w:lvlJc w:val="left"/>
      <w:pPr>
        <w:ind w:left="3182" w:hanging="420"/>
      </w:pPr>
    </w:lvl>
    <w:lvl w:ilvl="8" w:tplc="0409001B" w:tentative="1">
      <w:start w:val="1"/>
      <w:numFmt w:val="lowerRoman"/>
      <w:lvlText w:val="%9."/>
      <w:lvlJc w:val="right"/>
      <w:pPr>
        <w:ind w:left="3602" w:hanging="420"/>
      </w:pPr>
    </w:lvl>
  </w:abstractNum>
  <w:abstractNum w:abstractNumId="15">
    <w:nsid w:val="58A464F6"/>
    <w:multiLevelType w:val="hybridMultilevel"/>
    <w:tmpl w:val="1EE0DE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BAA4E1C"/>
    <w:multiLevelType w:val="multilevel"/>
    <w:tmpl w:val="9B96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E02BA4"/>
    <w:multiLevelType w:val="multilevel"/>
    <w:tmpl w:val="C654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98505B"/>
    <w:multiLevelType w:val="hybridMultilevel"/>
    <w:tmpl w:val="166C9DBA"/>
    <w:lvl w:ilvl="0" w:tplc="8E9EDF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CAC4324"/>
    <w:multiLevelType w:val="hybridMultilevel"/>
    <w:tmpl w:val="ED6027D6"/>
    <w:lvl w:ilvl="0" w:tplc="A45A8100">
      <w:start w:val="1"/>
      <w:numFmt w:val="bullet"/>
      <w:lvlText w:val=""/>
      <w:lvlJc w:val="left"/>
      <w:pPr>
        <w:tabs>
          <w:tab w:val="num" w:pos="720"/>
        </w:tabs>
        <w:ind w:left="720" w:hanging="360"/>
      </w:pPr>
      <w:rPr>
        <w:rFonts w:ascii="Wingdings" w:hAnsi="Wingdings" w:hint="default"/>
      </w:rPr>
    </w:lvl>
    <w:lvl w:ilvl="1" w:tplc="8020C47A" w:tentative="1">
      <w:start w:val="1"/>
      <w:numFmt w:val="bullet"/>
      <w:lvlText w:val=""/>
      <w:lvlJc w:val="left"/>
      <w:pPr>
        <w:tabs>
          <w:tab w:val="num" w:pos="1440"/>
        </w:tabs>
        <w:ind w:left="1440" w:hanging="360"/>
      </w:pPr>
      <w:rPr>
        <w:rFonts w:ascii="Wingdings" w:hAnsi="Wingdings" w:hint="default"/>
      </w:rPr>
    </w:lvl>
    <w:lvl w:ilvl="2" w:tplc="19BA51CA" w:tentative="1">
      <w:start w:val="1"/>
      <w:numFmt w:val="bullet"/>
      <w:lvlText w:val=""/>
      <w:lvlJc w:val="left"/>
      <w:pPr>
        <w:tabs>
          <w:tab w:val="num" w:pos="2160"/>
        </w:tabs>
        <w:ind w:left="2160" w:hanging="360"/>
      </w:pPr>
      <w:rPr>
        <w:rFonts w:ascii="Wingdings" w:hAnsi="Wingdings" w:hint="default"/>
      </w:rPr>
    </w:lvl>
    <w:lvl w:ilvl="3" w:tplc="40764782" w:tentative="1">
      <w:start w:val="1"/>
      <w:numFmt w:val="bullet"/>
      <w:lvlText w:val=""/>
      <w:lvlJc w:val="left"/>
      <w:pPr>
        <w:tabs>
          <w:tab w:val="num" w:pos="2880"/>
        </w:tabs>
        <w:ind w:left="2880" w:hanging="360"/>
      </w:pPr>
      <w:rPr>
        <w:rFonts w:ascii="Wingdings" w:hAnsi="Wingdings" w:hint="default"/>
      </w:rPr>
    </w:lvl>
    <w:lvl w:ilvl="4" w:tplc="9B36E320" w:tentative="1">
      <w:start w:val="1"/>
      <w:numFmt w:val="bullet"/>
      <w:lvlText w:val=""/>
      <w:lvlJc w:val="left"/>
      <w:pPr>
        <w:tabs>
          <w:tab w:val="num" w:pos="3600"/>
        </w:tabs>
        <w:ind w:left="3600" w:hanging="360"/>
      </w:pPr>
      <w:rPr>
        <w:rFonts w:ascii="Wingdings" w:hAnsi="Wingdings" w:hint="default"/>
      </w:rPr>
    </w:lvl>
    <w:lvl w:ilvl="5" w:tplc="BF4201E6" w:tentative="1">
      <w:start w:val="1"/>
      <w:numFmt w:val="bullet"/>
      <w:lvlText w:val=""/>
      <w:lvlJc w:val="left"/>
      <w:pPr>
        <w:tabs>
          <w:tab w:val="num" w:pos="4320"/>
        </w:tabs>
        <w:ind w:left="4320" w:hanging="360"/>
      </w:pPr>
      <w:rPr>
        <w:rFonts w:ascii="Wingdings" w:hAnsi="Wingdings" w:hint="default"/>
      </w:rPr>
    </w:lvl>
    <w:lvl w:ilvl="6" w:tplc="4B1002A0" w:tentative="1">
      <w:start w:val="1"/>
      <w:numFmt w:val="bullet"/>
      <w:lvlText w:val=""/>
      <w:lvlJc w:val="left"/>
      <w:pPr>
        <w:tabs>
          <w:tab w:val="num" w:pos="5040"/>
        </w:tabs>
        <w:ind w:left="5040" w:hanging="360"/>
      </w:pPr>
      <w:rPr>
        <w:rFonts w:ascii="Wingdings" w:hAnsi="Wingdings" w:hint="default"/>
      </w:rPr>
    </w:lvl>
    <w:lvl w:ilvl="7" w:tplc="FC90DD82" w:tentative="1">
      <w:start w:val="1"/>
      <w:numFmt w:val="bullet"/>
      <w:lvlText w:val=""/>
      <w:lvlJc w:val="left"/>
      <w:pPr>
        <w:tabs>
          <w:tab w:val="num" w:pos="5760"/>
        </w:tabs>
        <w:ind w:left="5760" w:hanging="360"/>
      </w:pPr>
      <w:rPr>
        <w:rFonts w:ascii="Wingdings" w:hAnsi="Wingdings" w:hint="default"/>
      </w:rPr>
    </w:lvl>
    <w:lvl w:ilvl="8" w:tplc="61EACF36" w:tentative="1">
      <w:start w:val="1"/>
      <w:numFmt w:val="bullet"/>
      <w:lvlText w:val=""/>
      <w:lvlJc w:val="left"/>
      <w:pPr>
        <w:tabs>
          <w:tab w:val="num" w:pos="6480"/>
        </w:tabs>
        <w:ind w:left="6480" w:hanging="360"/>
      </w:pPr>
      <w:rPr>
        <w:rFonts w:ascii="Wingdings" w:hAnsi="Wingdings" w:hint="default"/>
      </w:rPr>
    </w:lvl>
  </w:abstractNum>
  <w:abstractNum w:abstractNumId="20">
    <w:nsid w:val="75035514"/>
    <w:multiLevelType w:val="hybridMultilevel"/>
    <w:tmpl w:val="44106EB0"/>
    <w:lvl w:ilvl="0" w:tplc="04090001">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82D2CAD"/>
    <w:multiLevelType w:val="hybridMultilevel"/>
    <w:tmpl w:val="8954EA3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DEB000D"/>
    <w:multiLevelType w:val="hybridMultilevel"/>
    <w:tmpl w:val="149C0218"/>
    <w:lvl w:ilvl="0" w:tplc="48D6A60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22"/>
  </w:num>
  <w:num w:numId="3">
    <w:abstractNumId w:val="9"/>
  </w:num>
  <w:num w:numId="4">
    <w:abstractNumId w:val="11"/>
  </w:num>
  <w:num w:numId="5">
    <w:abstractNumId w:val="16"/>
  </w:num>
  <w:num w:numId="6">
    <w:abstractNumId w:val="12"/>
  </w:num>
  <w:num w:numId="7">
    <w:abstractNumId w:val="8"/>
  </w:num>
  <w:num w:numId="8">
    <w:abstractNumId w:val="17"/>
  </w:num>
  <w:num w:numId="9">
    <w:abstractNumId w:val="2"/>
  </w:num>
  <w:num w:numId="10">
    <w:abstractNumId w:val="13"/>
  </w:num>
  <w:num w:numId="11">
    <w:abstractNumId w:val="1"/>
  </w:num>
  <w:num w:numId="12">
    <w:abstractNumId w:val="21"/>
  </w:num>
  <w:num w:numId="13">
    <w:abstractNumId w:val="10"/>
  </w:num>
  <w:num w:numId="14">
    <w:abstractNumId w:val="15"/>
  </w:num>
  <w:num w:numId="15">
    <w:abstractNumId w:val="14"/>
  </w:num>
  <w:num w:numId="16">
    <w:abstractNumId w:val="18"/>
  </w:num>
  <w:num w:numId="17">
    <w:abstractNumId w:val="20"/>
  </w:num>
  <w:num w:numId="18">
    <w:abstractNumId w:val="4"/>
  </w:num>
  <w:num w:numId="19">
    <w:abstractNumId w:val="7"/>
  </w:num>
  <w:num w:numId="20">
    <w:abstractNumId w:val="5"/>
  </w:num>
  <w:num w:numId="21">
    <w:abstractNumId w:val="6"/>
  </w:num>
  <w:num w:numId="22">
    <w:abstractNumId w:val="19"/>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attachedTemplate r:id="rId1"/>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61442">
      <o:colormru v:ext="edit" colors="#b18d36,#d0b786,#c70b14,#ebdec7,#ece4ca,#ece4d4"/>
      <o:colormenu v:ext="edit" strokecolor="#00b050"/>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198"/>
    <w:rsid w:val="000005D6"/>
    <w:rsid w:val="000025F0"/>
    <w:rsid w:val="00002BA7"/>
    <w:rsid w:val="00002C9C"/>
    <w:rsid w:val="00003CEF"/>
    <w:rsid w:val="00004538"/>
    <w:rsid w:val="00004C03"/>
    <w:rsid w:val="00005410"/>
    <w:rsid w:val="0000763D"/>
    <w:rsid w:val="00011905"/>
    <w:rsid w:val="00011C66"/>
    <w:rsid w:val="00011C93"/>
    <w:rsid w:val="00011E11"/>
    <w:rsid w:val="00014175"/>
    <w:rsid w:val="000171E0"/>
    <w:rsid w:val="000200D5"/>
    <w:rsid w:val="0002131E"/>
    <w:rsid w:val="00022958"/>
    <w:rsid w:val="00024A5D"/>
    <w:rsid w:val="00025309"/>
    <w:rsid w:val="00025460"/>
    <w:rsid w:val="00025AE9"/>
    <w:rsid w:val="00025C72"/>
    <w:rsid w:val="00026AE8"/>
    <w:rsid w:val="000270AD"/>
    <w:rsid w:val="00027785"/>
    <w:rsid w:val="000313D7"/>
    <w:rsid w:val="00031437"/>
    <w:rsid w:val="000316E4"/>
    <w:rsid w:val="00033F09"/>
    <w:rsid w:val="00034695"/>
    <w:rsid w:val="00034B61"/>
    <w:rsid w:val="0003500E"/>
    <w:rsid w:val="00036702"/>
    <w:rsid w:val="00042159"/>
    <w:rsid w:val="00043ED0"/>
    <w:rsid w:val="00043EF9"/>
    <w:rsid w:val="00045E93"/>
    <w:rsid w:val="000468CC"/>
    <w:rsid w:val="0004747A"/>
    <w:rsid w:val="000479AD"/>
    <w:rsid w:val="00047CAD"/>
    <w:rsid w:val="00050C50"/>
    <w:rsid w:val="00051627"/>
    <w:rsid w:val="00051C81"/>
    <w:rsid w:val="00051DA3"/>
    <w:rsid w:val="0005293B"/>
    <w:rsid w:val="00052CB9"/>
    <w:rsid w:val="000560CD"/>
    <w:rsid w:val="00056601"/>
    <w:rsid w:val="00056ABA"/>
    <w:rsid w:val="00056E68"/>
    <w:rsid w:val="00056EE4"/>
    <w:rsid w:val="00056FE5"/>
    <w:rsid w:val="00060C65"/>
    <w:rsid w:val="00062603"/>
    <w:rsid w:val="00062AAE"/>
    <w:rsid w:val="0006334F"/>
    <w:rsid w:val="00064E30"/>
    <w:rsid w:val="00067810"/>
    <w:rsid w:val="0007002E"/>
    <w:rsid w:val="00070856"/>
    <w:rsid w:val="00070E54"/>
    <w:rsid w:val="0007194B"/>
    <w:rsid w:val="00071CA3"/>
    <w:rsid w:val="00072476"/>
    <w:rsid w:val="0007333D"/>
    <w:rsid w:val="00073A6D"/>
    <w:rsid w:val="00075303"/>
    <w:rsid w:val="000753C5"/>
    <w:rsid w:val="00075EBC"/>
    <w:rsid w:val="000764B5"/>
    <w:rsid w:val="00076C0F"/>
    <w:rsid w:val="000772F8"/>
    <w:rsid w:val="00077FAD"/>
    <w:rsid w:val="00080464"/>
    <w:rsid w:val="00080745"/>
    <w:rsid w:val="00081D60"/>
    <w:rsid w:val="00081E3B"/>
    <w:rsid w:val="0008272B"/>
    <w:rsid w:val="00082DED"/>
    <w:rsid w:val="00083087"/>
    <w:rsid w:val="00085C36"/>
    <w:rsid w:val="000868C0"/>
    <w:rsid w:val="00086AD1"/>
    <w:rsid w:val="00087385"/>
    <w:rsid w:val="000879C6"/>
    <w:rsid w:val="00090001"/>
    <w:rsid w:val="0009002F"/>
    <w:rsid w:val="000908E0"/>
    <w:rsid w:val="00090C5A"/>
    <w:rsid w:val="0009180A"/>
    <w:rsid w:val="00091967"/>
    <w:rsid w:val="000924D4"/>
    <w:rsid w:val="000933EC"/>
    <w:rsid w:val="00093D21"/>
    <w:rsid w:val="00094242"/>
    <w:rsid w:val="00094A76"/>
    <w:rsid w:val="00095A33"/>
    <w:rsid w:val="000974A1"/>
    <w:rsid w:val="000A0AAF"/>
    <w:rsid w:val="000A138D"/>
    <w:rsid w:val="000A3094"/>
    <w:rsid w:val="000A30DD"/>
    <w:rsid w:val="000A3790"/>
    <w:rsid w:val="000A3C5E"/>
    <w:rsid w:val="000A4F0D"/>
    <w:rsid w:val="000A5753"/>
    <w:rsid w:val="000A60BE"/>
    <w:rsid w:val="000A6855"/>
    <w:rsid w:val="000A7475"/>
    <w:rsid w:val="000B3255"/>
    <w:rsid w:val="000B4FE1"/>
    <w:rsid w:val="000B55C0"/>
    <w:rsid w:val="000B5905"/>
    <w:rsid w:val="000B6518"/>
    <w:rsid w:val="000B714B"/>
    <w:rsid w:val="000B74BD"/>
    <w:rsid w:val="000B7D38"/>
    <w:rsid w:val="000C05E8"/>
    <w:rsid w:val="000C1002"/>
    <w:rsid w:val="000C118B"/>
    <w:rsid w:val="000C257A"/>
    <w:rsid w:val="000C328A"/>
    <w:rsid w:val="000C4004"/>
    <w:rsid w:val="000C6B35"/>
    <w:rsid w:val="000C6BCA"/>
    <w:rsid w:val="000C740E"/>
    <w:rsid w:val="000C7629"/>
    <w:rsid w:val="000C76AC"/>
    <w:rsid w:val="000D1470"/>
    <w:rsid w:val="000D29C0"/>
    <w:rsid w:val="000D2CD1"/>
    <w:rsid w:val="000D3958"/>
    <w:rsid w:val="000D4718"/>
    <w:rsid w:val="000D5BB6"/>
    <w:rsid w:val="000D5D5F"/>
    <w:rsid w:val="000D6919"/>
    <w:rsid w:val="000D6DD1"/>
    <w:rsid w:val="000E357D"/>
    <w:rsid w:val="000E4303"/>
    <w:rsid w:val="000E43C9"/>
    <w:rsid w:val="000E443E"/>
    <w:rsid w:val="000E5235"/>
    <w:rsid w:val="000E5A20"/>
    <w:rsid w:val="000E5E9F"/>
    <w:rsid w:val="000E695E"/>
    <w:rsid w:val="000E6C9D"/>
    <w:rsid w:val="000F4A08"/>
    <w:rsid w:val="000F4D75"/>
    <w:rsid w:val="000F5370"/>
    <w:rsid w:val="000F5745"/>
    <w:rsid w:val="000F5959"/>
    <w:rsid w:val="000F600A"/>
    <w:rsid w:val="000F7420"/>
    <w:rsid w:val="00103AC0"/>
    <w:rsid w:val="001040E3"/>
    <w:rsid w:val="0010442B"/>
    <w:rsid w:val="001046E6"/>
    <w:rsid w:val="00105426"/>
    <w:rsid w:val="001060B7"/>
    <w:rsid w:val="00106F86"/>
    <w:rsid w:val="0011034C"/>
    <w:rsid w:val="00110E4E"/>
    <w:rsid w:val="00111C74"/>
    <w:rsid w:val="00112DC2"/>
    <w:rsid w:val="0011317F"/>
    <w:rsid w:val="001138CB"/>
    <w:rsid w:val="001145DF"/>
    <w:rsid w:val="00114F70"/>
    <w:rsid w:val="00115C58"/>
    <w:rsid w:val="001176AC"/>
    <w:rsid w:val="00117B36"/>
    <w:rsid w:val="0012039F"/>
    <w:rsid w:val="0012081C"/>
    <w:rsid w:val="00121CD5"/>
    <w:rsid w:val="00122E06"/>
    <w:rsid w:val="0012503B"/>
    <w:rsid w:val="001251FD"/>
    <w:rsid w:val="0012620B"/>
    <w:rsid w:val="00127E70"/>
    <w:rsid w:val="00127EFB"/>
    <w:rsid w:val="001302F4"/>
    <w:rsid w:val="00130A49"/>
    <w:rsid w:val="00131FDA"/>
    <w:rsid w:val="001330DC"/>
    <w:rsid w:val="00135B13"/>
    <w:rsid w:val="00136D5C"/>
    <w:rsid w:val="0013786A"/>
    <w:rsid w:val="001378EA"/>
    <w:rsid w:val="00140A4A"/>
    <w:rsid w:val="00141601"/>
    <w:rsid w:val="00143560"/>
    <w:rsid w:val="001437FF"/>
    <w:rsid w:val="001453E6"/>
    <w:rsid w:val="0014613B"/>
    <w:rsid w:val="00146D4A"/>
    <w:rsid w:val="00146DE5"/>
    <w:rsid w:val="00147DEE"/>
    <w:rsid w:val="0015002F"/>
    <w:rsid w:val="001507AC"/>
    <w:rsid w:val="00150A0F"/>
    <w:rsid w:val="00150AEE"/>
    <w:rsid w:val="0015130C"/>
    <w:rsid w:val="001516E7"/>
    <w:rsid w:val="0015255F"/>
    <w:rsid w:val="00154C91"/>
    <w:rsid w:val="00154F9E"/>
    <w:rsid w:val="00155ECC"/>
    <w:rsid w:val="001565FA"/>
    <w:rsid w:val="00157742"/>
    <w:rsid w:val="00157AF2"/>
    <w:rsid w:val="00161A1A"/>
    <w:rsid w:val="00161F4A"/>
    <w:rsid w:val="001623ED"/>
    <w:rsid w:val="00163A50"/>
    <w:rsid w:val="001641E8"/>
    <w:rsid w:val="0016484B"/>
    <w:rsid w:val="00165C46"/>
    <w:rsid w:val="00167857"/>
    <w:rsid w:val="00167FB6"/>
    <w:rsid w:val="0017081C"/>
    <w:rsid w:val="00170992"/>
    <w:rsid w:val="001715CE"/>
    <w:rsid w:val="001716BB"/>
    <w:rsid w:val="00171C01"/>
    <w:rsid w:val="00172A08"/>
    <w:rsid w:val="00172A27"/>
    <w:rsid w:val="001748E9"/>
    <w:rsid w:val="00175076"/>
    <w:rsid w:val="001753BF"/>
    <w:rsid w:val="00176D6A"/>
    <w:rsid w:val="00181859"/>
    <w:rsid w:val="0018193B"/>
    <w:rsid w:val="00183C47"/>
    <w:rsid w:val="00183EA1"/>
    <w:rsid w:val="0018431D"/>
    <w:rsid w:val="00187CF9"/>
    <w:rsid w:val="001904D1"/>
    <w:rsid w:val="0019205E"/>
    <w:rsid w:val="00192F80"/>
    <w:rsid w:val="001930BE"/>
    <w:rsid w:val="001979F6"/>
    <w:rsid w:val="001A11AE"/>
    <w:rsid w:val="001A1B14"/>
    <w:rsid w:val="001A1F04"/>
    <w:rsid w:val="001A1F7C"/>
    <w:rsid w:val="001A22E0"/>
    <w:rsid w:val="001A52C1"/>
    <w:rsid w:val="001A602A"/>
    <w:rsid w:val="001A75D0"/>
    <w:rsid w:val="001B099D"/>
    <w:rsid w:val="001B2157"/>
    <w:rsid w:val="001B291E"/>
    <w:rsid w:val="001B36AF"/>
    <w:rsid w:val="001B3F60"/>
    <w:rsid w:val="001B7302"/>
    <w:rsid w:val="001B7970"/>
    <w:rsid w:val="001B7A2D"/>
    <w:rsid w:val="001C1009"/>
    <w:rsid w:val="001C111A"/>
    <w:rsid w:val="001C21A5"/>
    <w:rsid w:val="001C285F"/>
    <w:rsid w:val="001C28C0"/>
    <w:rsid w:val="001C32C5"/>
    <w:rsid w:val="001C3D20"/>
    <w:rsid w:val="001C4D03"/>
    <w:rsid w:val="001C4F94"/>
    <w:rsid w:val="001C63EF"/>
    <w:rsid w:val="001C64BB"/>
    <w:rsid w:val="001C6DD4"/>
    <w:rsid w:val="001C6FF0"/>
    <w:rsid w:val="001D01BD"/>
    <w:rsid w:val="001D082F"/>
    <w:rsid w:val="001D0C3B"/>
    <w:rsid w:val="001D25E6"/>
    <w:rsid w:val="001D2CEE"/>
    <w:rsid w:val="001D33B4"/>
    <w:rsid w:val="001D4E5D"/>
    <w:rsid w:val="001D5E98"/>
    <w:rsid w:val="001D71D9"/>
    <w:rsid w:val="001D768D"/>
    <w:rsid w:val="001D799F"/>
    <w:rsid w:val="001E02BD"/>
    <w:rsid w:val="001E1188"/>
    <w:rsid w:val="001E2907"/>
    <w:rsid w:val="001E2C87"/>
    <w:rsid w:val="001E3743"/>
    <w:rsid w:val="001E392D"/>
    <w:rsid w:val="001E4BC9"/>
    <w:rsid w:val="001E52D3"/>
    <w:rsid w:val="001E5320"/>
    <w:rsid w:val="001E5C30"/>
    <w:rsid w:val="001F0F7C"/>
    <w:rsid w:val="001F2B22"/>
    <w:rsid w:val="001F3127"/>
    <w:rsid w:val="001F4A52"/>
    <w:rsid w:val="001F52AF"/>
    <w:rsid w:val="001F7312"/>
    <w:rsid w:val="001F731F"/>
    <w:rsid w:val="001F7536"/>
    <w:rsid w:val="001F75D5"/>
    <w:rsid w:val="001F7D1C"/>
    <w:rsid w:val="00200CAC"/>
    <w:rsid w:val="002015BE"/>
    <w:rsid w:val="002034FA"/>
    <w:rsid w:val="0020382F"/>
    <w:rsid w:val="00204FD9"/>
    <w:rsid w:val="00205EE3"/>
    <w:rsid w:val="00206B4B"/>
    <w:rsid w:val="00206BCD"/>
    <w:rsid w:val="00207D96"/>
    <w:rsid w:val="002102DD"/>
    <w:rsid w:val="0021091B"/>
    <w:rsid w:val="00210D67"/>
    <w:rsid w:val="00211173"/>
    <w:rsid w:val="002126D9"/>
    <w:rsid w:val="002139A6"/>
    <w:rsid w:val="002147D0"/>
    <w:rsid w:val="00215AFF"/>
    <w:rsid w:val="00216672"/>
    <w:rsid w:val="00216FEE"/>
    <w:rsid w:val="002179C3"/>
    <w:rsid w:val="00217C10"/>
    <w:rsid w:val="00220011"/>
    <w:rsid w:val="00220B84"/>
    <w:rsid w:val="0022294E"/>
    <w:rsid w:val="00222AA5"/>
    <w:rsid w:val="0022301F"/>
    <w:rsid w:val="00223901"/>
    <w:rsid w:val="00223BAF"/>
    <w:rsid w:val="00224421"/>
    <w:rsid w:val="00224A81"/>
    <w:rsid w:val="002250FB"/>
    <w:rsid w:val="00225606"/>
    <w:rsid w:val="00225698"/>
    <w:rsid w:val="00225BEA"/>
    <w:rsid w:val="00226D1D"/>
    <w:rsid w:val="00227813"/>
    <w:rsid w:val="002307EA"/>
    <w:rsid w:val="00230DBB"/>
    <w:rsid w:val="002314D0"/>
    <w:rsid w:val="00231A3C"/>
    <w:rsid w:val="002320A9"/>
    <w:rsid w:val="00232BD8"/>
    <w:rsid w:val="002343ED"/>
    <w:rsid w:val="00235376"/>
    <w:rsid w:val="00235803"/>
    <w:rsid w:val="00236622"/>
    <w:rsid w:val="00236755"/>
    <w:rsid w:val="00237E68"/>
    <w:rsid w:val="002403D3"/>
    <w:rsid w:val="00241096"/>
    <w:rsid w:val="002410D7"/>
    <w:rsid w:val="00243E96"/>
    <w:rsid w:val="00244FA5"/>
    <w:rsid w:val="0024724E"/>
    <w:rsid w:val="00247761"/>
    <w:rsid w:val="002479B3"/>
    <w:rsid w:val="00251534"/>
    <w:rsid w:val="00251DC1"/>
    <w:rsid w:val="00253030"/>
    <w:rsid w:val="002548C0"/>
    <w:rsid w:val="00256619"/>
    <w:rsid w:val="00256D42"/>
    <w:rsid w:val="00257630"/>
    <w:rsid w:val="00257C3A"/>
    <w:rsid w:val="002605A1"/>
    <w:rsid w:val="00260782"/>
    <w:rsid w:val="002609BD"/>
    <w:rsid w:val="00262116"/>
    <w:rsid w:val="002631ED"/>
    <w:rsid w:val="00266AE5"/>
    <w:rsid w:val="00266ED1"/>
    <w:rsid w:val="00266F69"/>
    <w:rsid w:val="00266FE4"/>
    <w:rsid w:val="00267481"/>
    <w:rsid w:val="00267792"/>
    <w:rsid w:val="002706D8"/>
    <w:rsid w:val="0027077B"/>
    <w:rsid w:val="002714D9"/>
    <w:rsid w:val="0027311E"/>
    <w:rsid w:val="0027459D"/>
    <w:rsid w:val="002750CA"/>
    <w:rsid w:val="0027511F"/>
    <w:rsid w:val="0027692C"/>
    <w:rsid w:val="00276F75"/>
    <w:rsid w:val="00277659"/>
    <w:rsid w:val="00277BD3"/>
    <w:rsid w:val="0028044D"/>
    <w:rsid w:val="00280647"/>
    <w:rsid w:val="00280C3A"/>
    <w:rsid w:val="0028115F"/>
    <w:rsid w:val="00281E95"/>
    <w:rsid w:val="00281EA8"/>
    <w:rsid w:val="00282383"/>
    <w:rsid w:val="00287242"/>
    <w:rsid w:val="002905B5"/>
    <w:rsid w:val="0029102D"/>
    <w:rsid w:val="002919C2"/>
    <w:rsid w:val="00291BE7"/>
    <w:rsid w:val="00296126"/>
    <w:rsid w:val="0029649A"/>
    <w:rsid w:val="0029659B"/>
    <w:rsid w:val="00297452"/>
    <w:rsid w:val="002A08E1"/>
    <w:rsid w:val="002A1E15"/>
    <w:rsid w:val="002A1E64"/>
    <w:rsid w:val="002A3E65"/>
    <w:rsid w:val="002A458E"/>
    <w:rsid w:val="002A4892"/>
    <w:rsid w:val="002A498B"/>
    <w:rsid w:val="002A6854"/>
    <w:rsid w:val="002A6DF0"/>
    <w:rsid w:val="002B01EE"/>
    <w:rsid w:val="002B2CCA"/>
    <w:rsid w:val="002B56FB"/>
    <w:rsid w:val="002B62A0"/>
    <w:rsid w:val="002B6983"/>
    <w:rsid w:val="002C2459"/>
    <w:rsid w:val="002C33A9"/>
    <w:rsid w:val="002C41C8"/>
    <w:rsid w:val="002C6585"/>
    <w:rsid w:val="002D0AFC"/>
    <w:rsid w:val="002D1181"/>
    <w:rsid w:val="002D1FFB"/>
    <w:rsid w:val="002D30BA"/>
    <w:rsid w:val="002D496B"/>
    <w:rsid w:val="002D5154"/>
    <w:rsid w:val="002D7C15"/>
    <w:rsid w:val="002E058E"/>
    <w:rsid w:val="002E12E7"/>
    <w:rsid w:val="002E1A5B"/>
    <w:rsid w:val="002E1AB5"/>
    <w:rsid w:val="002E2B5F"/>
    <w:rsid w:val="002E373C"/>
    <w:rsid w:val="002E4763"/>
    <w:rsid w:val="002E5E9A"/>
    <w:rsid w:val="002E6235"/>
    <w:rsid w:val="002F0633"/>
    <w:rsid w:val="002F06E8"/>
    <w:rsid w:val="002F0C7F"/>
    <w:rsid w:val="002F0FE5"/>
    <w:rsid w:val="002F1593"/>
    <w:rsid w:val="002F1CBB"/>
    <w:rsid w:val="002F1CF1"/>
    <w:rsid w:val="002F21D4"/>
    <w:rsid w:val="002F2BC1"/>
    <w:rsid w:val="002F5413"/>
    <w:rsid w:val="002F5758"/>
    <w:rsid w:val="002F5B68"/>
    <w:rsid w:val="002F6EB6"/>
    <w:rsid w:val="002F7366"/>
    <w:rsid w:val="003021B8"/>
    <w:rsid w:val="003026A6"/>
    <w:rsid w:val="00302C87"/>
    <w:rsid w:val="00303E31"/>
    <w:rsid w:val="00304DD2"/>
    <w:rsid w:val="00305803"/>
    <w:rsid w:val="00305ECC"/>
    <w:rsid w:val="00306736"/>
    <w:rsid w:val="00306D2F"/>
    <w:rsid w:val="0030728E"/>
    <w:rsid w:val="00307C84"/>
    <w:rsid w:val="00310638"/>
    <w:rsid w:val="003108F4"/>
    <w:rsid w:val="00310D2F"/>
    <w:rsid w:val="00311A77"/>
    <w:rsid w:val="003130B9"/>
    <w:rsid w:val="00315FC8"/>
    <w:rsid w:val="0031635E"/>
    <w:rsid w:val="0031723B"/>
    <w:rsid w:val="00320FED"/>
    <w:rsid w:val="0032117F"/>
    <w:rsid w:val="003226EF"/>
    <w:rsid w:val="003229A1"/>
    <w:rsid w:val="00322C56"/>
    <w:rsid w:val="00322CA3"/>
    <w:rsid w:val="003243AC"/>
    <w:rsid w:val="0032567D"/>
    <w:rsid w:val="00326529"/>
    <w:rsid w:val="00326AE4"/>
    <w:rsid w:val="00326F23"/>
    <w:rsid w:val="00327DAF"/>
    <w:rsid w:val="003307DD"/>
    <w:rsid w:val="00332FA2"/>
    <w:rsid w:val="003331A8"/>
    <w:rsid w:val="00334652"/>
    <w:rsid w:val="00335192"/>
    <w:rsid w:val="0033630A"/>
    <w:rsid w:val="00337708"/>
    <w:rsid w:val="003378C0"/>
    <w:rsid w:val="00337A70"/>
    <w:rsid w:val="00340AEC"/>
    <w:rsid w:val="00340C1A"/>
    <w:rsid w:val="00340E28"/>
    <w:rsid w:val="00341243"/>
    <w:rsid w:val="003414EF"/>
    <w:rsid w:val="00341797"/>
    <w:rsid w:val="003418EA"/>
    <w:rsid w:val="00343A0A"/>
    <w:rsid w:val="00343AAE"/>
    <w:rsid w:val="00344C15"/>
    <w:rsid w:val="0034514F"/>
    <w:rsid w:val="00345CBB"/>
    <w:rsid w:val="00345CED"/>
    <w:rsid w:val="003461A0"/>
    <w:rsid w:val="00346D51"/>
    <w:rsid w:val="0035177E"/>
    <w:rsid w:val="00353EFD"/>
    <w:rsid w:val="00355268"/>
    <w:rsid w:val="00355891"/>
    <w:rsid w:val="0035670B"/>
    <w:rsid w:val="003569A3"/>
    <w:rsid w:val="00357821"/>
    <w:rsid w:val="0036162E"/>
    <w:rsid w:val="00361E2B"/>
    <w:rsid w:val="00362242"/>
    <w:rsid w:val="00363417"/>
    <w:rsid w:val="00364375"/>
    <w:rsid w:val="00364AA6"/>
    <w:rsid w:val="003662ED"/>
    <w:rsid w:val="00366B3A"/>
    <w:rsid w:val="00367B12"/>
    <w:rsid w:val="003711A2"/>
    <w:rsid w:val="00374636"/>
    <w:rsid w:val="003752BB"/>
    <w:rsid w:val="00376942"/>
    <w:rsid w:val="00380ACE"/>
    <w:rsid w:val="00381E90"/>
    <w:rsid w:val="00382702"/>
    <w:rsid w:val="00382A53"/>
    <w:rsid w:val="00382F81"/>
    <w:rsid w:val="003835DD"/>
    <w:rsid w:val="00384019"/>
    <w:rsid w:val="00384466"/>
    <w:rsid w:val="0038467D"/>
    <w:rsid w:val="00384F04"/>
    <w:rsid w:val="00385368"/>
    <w:rsid w:val="0038598B"/>
    <w:rsid w:val="00386624"/>
    <w:rsid w:val="00387F73"/>
    <w:rsid w:val="00390CC1"/>
    <w:rsid w:val="003933CB"/>
    <w:rsid w:val="00393905"/>
    <w:rsid w:val="003942A9"/>
    <w:rsid w:val="003A369B"/>
    <w:rsid w:val="003A3ECC"/>
    <w:rsid w:val="003A4EB6"/>
    <w:rsid w:val="003A5EA1"/>
    <w:rsid w:val="003A6300"/>
    <w:rsid w:val="003A7105"/>
    <w:rsid w:val="003A71CA"/>
    <w:rsid w:val="003A7A63"/>
    <w:rsid w:val="003B000D"/>
    <w:rsid w:val="003B0787"/>
    <w:rsid w:val="003B1C05"/>
    <w:rsid w:val="003B3B99"/>
    <w:rsid w:val="003B46A6"/>
    <w:rsid w:val="003B572E"/>
    <w:rsid w:val="003B73EF"/>
    <w:rsid w:val="003C0B01"/>
    <w:rsid w:val="003C181E"/>
    <w:rsid w:val="003C1831"/>
    <w:rsid w:val="003C23AA"/>
    <w:rsid w:val="003C4E0F"/>
    <w:rsid w:val="003C504B"/>
    <w:rsid w:val="003C6E2A"/>
    <w:rsid w:val="003C785C"/>
    <w:rsid w:val="003C7BBC"/>
    <w:rsid w:val="003D04A1"/>
    <w:rsid w:val="003D0E82"/>
    <w:rsid w:val="003D2066"/>
    <w:rsid w:val="003D3835"/>
    <w:rsid w:val="003D3CCC"/>
    <w:rsid w:val="003D40B1"/>
    <w:rsid w:val="003D4ACB"/>
    <w:rsid w:val="003D5492"/>
    <w:rsid w:val="003D6F6C"/>
    <w:rsid w:val="003D7FBA"/>
    <w:rsid w:val="003E10EA"/>
    <w:rsid w:val="003E3848"/>
    <w:rsid w:val="003E48F1"/>
    <w:rsid w:val="003E650F"/>
    <w:rsid w:val="003E6A1A"/>
    <w:rsid w:val="003E72A2"/>
    <w:rsid w:val="003E7305"/>
    <w:rsid w:val="003E75BA"/>
    <w:rsid w:val="003E7E4F"/>
    <w:rsid w:val="003F0530"/>
    <w:rsid w:val="003F171A"/>
    <w:rsid w:val="003F2395"/>
    <w:rsid w:val="003F782E"/>
    <w:rsid w:val="003F7AE4"/>
    <w:rsid w:val="00401DE5"/>
    <w:rsid w:val="0040226A"/>
    <w:rsid w:val="0040303E"/>
    <w:rsid w:val="00403B9B"/>
    <w:rsid w:val="004050E9"/>
    <w:rsid w:val="004051EF"/>
    <w:rsid w:val="00405B8C"/>
    <w:rsid w:val="00405BE3"/>
    <w:rsid w:val="00406421"/>
    <w:rsid w:val="00406479"/>
    <w:rsid w:val="00406F6A"/>
    <w:rsid w:val="00407ADE"/>
    <w:rsid w:val="00407E48"/>
    <w:rsid w:val="004112ED"/>
    <w:rsid w:val="00412220"/>
    <w:rsid w:val="00412F36"/>
    <w:rsid w:val="0041425D"/>
    <w:rsid w:val="00414D34"/>
    <w:rsid w:val="00415632"/>
    <w:rsid w:val="00415F59"/>
    <w:rsid w:val="00421976"/>
    <w:rsid w:val="004232C7"/>
    <w:rsid w:val="0042373E"/>
    <w:rsid w:val="00423DF8"/>
    <w:rsid w:val="00424EEB"/>
    <w:rsid w:val="004257DE"/>
    <w:rsid w:val="00427333"/>
    <w:rsid w:val="00427D71"/>
    <w:rsid w:val="0043262D"/>
    <w:rsid w:val="00432FAA"/>
    <w:rsid w:val="00433C08"/>
    <w:rsid w:val="00434412"/>
    <w:rsid w:val="004359D9"/>
    <w:rsid w:val="00435A1D"/>
    <w:rsid w:val="0044024C"/>
    <w:rsid w:val="0044136B"/>
    <w:rsid w:val="00442C88"/>
    <w:rsid w:val="00443067"/>
    <w:rsid w:val="00444A61"/>
    <w:rsid w:val="0044525B"/>
    <w:rsid w:val="00445C64"/>
    <w:rsid w:val="00445C66"/>
    <w:rsid w:val="00446A47"/>
    <w:rsid w:val="00447DA3"/>
    <w:rsid w:val="00450692"/>
    <w:rsid w:val="00452A00"/>
    <w:rsid w:val="004540F9"/>
    <w:rsid w:val="00455188"/>
    <w:rsid w:val="00455401"/>
    <w:rsid w:val="004557BD"/>
    <w:rsid w:val="00456965"/>
    <w:rsid w:val="00457B61"/>
    <w:rsid w:val="00461988"/>
    <w:rsid w:val="0046344A"/>
    <w:rsid w:val="00463E99"/>
    <w:rsid w:val="00464284"/>
    <w:rsid w:val="00465628"/>
    <w:rsid w:val="0046599D"/>
    <w:rsid w:val="004665E6"/>
    <w:rsid w:val="00466D63"/>
    <w:rsid w:val="004702C6"/>
    <w:rsid w:val="00472DE3"/>
    <w:rsid w:val="004733B7"/>
    <w:rsid w:val="0047498D"/>
    <w:rsid w:val="00475E65"/>
    <w:rsid w:val="0047756D"/>
    <w:rsid w:val="004807D2"/>
    <w:rsid w:val="004812E8"/>
    <w:rsid w:val="00485368"/>
    <w:rsid w:val="00486CBC"/>
    <w:rsid w:val="00491471"/>
    <w:rsid w:val="00492224"/>
    <w:rsid w:val="00493008"/>
    <w:rsid w:val="004934A4"/>
    <w:rsid w:val="00494254"/>
    <w:rsid w:val="00494622"/>
    <w:rsid w:val="004A05C9"/>
    <w:rsid w:val="004A0B03"/>
    <w:rsid w:val="004A0E80"/>
    <w:rsid w:val="004A20B0"/>
    <w:rsid w:val="004A20F8"/>
    <w:rsid w:val="004A30C8"/>
    <w:rsid w:val="004A33D2"/>
    <w:rsid w:val="004A376E"/>
    <w:rsid w:val="004A467E"/>
    <w:rsid w:val="004A5E47"/>
    <w:rsid w:val="004B0D3F"/>
    <w:rsid w:val="004B16A5"/>
    <w:rsid w:val="004B1D54"/>
    <w:rsid w:val="004B4824"/>
    <w:rsid w:val="004B5C2C"/>
    <w:rsid w:val="004B67FB"/>
    <w:rsid w:val="004B6FC9"/>
    <w:rsid w:val="004B7732"/>
    <w:rsid w:val="004C039A"/>
    <w:rsid w:val="004C04B0"/>
    <w:rsid w:val="004C1D7D"/>
    <w:rsid w:val="004C38FA"/>
    <w:rsid w:val="004C39C2"/>
    <w:rsid w:val="004C59EF"/>
    <w:rsid w:val="004C6C3F"/>
    <w:rsid w:val="004C740C"/>
    <w:rsid w:val="004D032F"/>
    <w:rsid w:val="004D11CA"/>
    <w:rsid w:val="004D3663"/>
    <w:rsid w:val="004D4CDD"/>
    <w:rsid w:val="004D578E"/>
    <w:rsid w:val="004D5988"/>
    <w:rsid w:val="004D65D7"/>
    <w:rsid w:val="004D743D"/>
    <w:rsid w:val="004D74CA"/>
    <w:rsid w:val="004E1554"/>
    <w:rsid w:val="004E18D7"/>
    <w:rsid w:val="004E5DF3"/>
    <w:rsid w:val="004E76D6"/>
    <w:rsid w:val="004E78B6"/>
    <w:rsid w:val="004F12A4"/>
    <w:rsid w:val="004F1B05"/>
    <w:rsid w:val="004F2647"/>
    <w:rsid w:val="004F40CA"/>
    <w:rsid w:val="004F4794"/>
    <w:rsid w:val="004F659E"/>
    <w:rsid w:val="004F6944"/>
    <w:rsid w:val="00500905"/>
    <w:rsid w:val="00500FB8"/>
    <w:rsid w:val="00501888"/>
    <w:rsid w:val="00501C45"/>
    <w:rsid w:val="00502B3F"/>
    <w:rsid w:val="00502B4C"/>
    <w:rsid w:val="005044AB"/>
    <w:rsid w:val="00504A6F"/>
    <w:rsid w:val="00504F93"/>
    <w:rsid w:val="00505840"/>
    <w:rsid w:val="00506CE7"/>
    <w:rsid w:val="00507920"/>
    <w:rsid w:val="00507C90"/>
    <w:rsid w:val="005100B2"/>
    <w:rsid w:val="005108AE"/>
    <w:rsid w:val="00511E1F"/>
    <w:rsid w:val="00512877"/>
    <w:rsid w:val="00512D7D"/>
    <w:rsid w:val="00512F42"/>
    <w:rsid w:val="00512F67"/>
    <w:rsid w:val="00513BA9"/>
    <w:rsid w:val="00514BCF"/>
    <w:rsid w:val="00515A88"/>
    <w:rsid w:val="00516062"/>
    <w:rsid w:val="005160C0"/>
    <w:rsid w:val="00517ACD"/>
    <w:rsid w:val="00517FAE"/>
    <w:rsid w:val="00520D6E"/>
    <w:rsid w:val="00522A23"/>
    <w:rsid w:val="00525C4B"/>
    <w:rsid w:val="00527084"/>
    <w:rsid w:val="005274BC"/>
    <w:rsid w:val="005301BB"/>
    <w:rsid w:val="005302B3"/>
    <w:rsid w:val="00530833"/>
    <w:rsid w:val="005315F2"/>
    <w:rsid w:val="0053230A"/>
    <w:rsid w:val="005346B1"/>
    <w:rsid w:val="0053522E"/>
    <w:rsid w:val="00535FDE"/>
    <w:rsid w:val="00536EAD"/>
    <w:rsid w:val="00537933"/>
    <w:rsid w:val="00540B12"/>
    <w:rsid w:val="005410E8"/>
    <w:rsid w:val="005418F0"/>
    <w:rsid w:val="00541B9E"/>
    <w:rsid w:val="00544446"/>
    <w:rsid w:val="005452FF"/>
    <w:rsid w:val="0054593F"/>
    <w:rsid w:val="005469C0"/>
    <w:rsid w:val="00546E2C"/>
    <w:rsid w:val="00550345"/>
    <w:rsid w:val="00550B45"/>
    <w:rsid w:val="005519F6"/>
    <w:rsid w:val="005525BA"/>
    <w:rsid w:val="00552BDE"/>
    <w:rsid w:val="005544BC"/>
    <w:rsid w:val="00555561"/>
    <w:rsid w:val="00556F84"/>
    <w:rsid w:val="00557A9C"/>
    <w:rsid w:val="00561866"/>
    <w:rsid w:val="00561CD6"/>
    <w:rsid w:val="00561DBA"/>
    <w:rsid w:val="005658D8"/>
    <w:rsid w:val="005661F0"/>
    <w:rsid w:val="00567BC8"/>
    <w:rsid w:val="00571323"/>
    <w:rsid w:val="00571EC8"/>
    <w:rsid w:val="0057330A"/>
    <w:rsid w:val="00573FC7"/>
    <w:rsid w:val="005747AB"/>
    <w:rsid w:val="00575E1D"/>
    <w:rsid w:val="00576B7D"/>
    <w:rsid w:val="00581370"/>
    <w:rsid w:val="00581372"/>
    <w:rsid w:val="005817E1"/>
    <w:rsid w:val="00583EB8"/>
    <w:rsid w:val="00584CEF"/>
    <w:rsid w:val="00586015"/>
    <w:rsid w:val="00586C4C"/>
    <w:rsid w:val="00586E53"/>
    <w:rsid w:val="0058725E"/>
    <w:rsid w:val="005877AF"/>
    <w:rsid w:val="00590195"/>
    <w:rsid w:val="005902FD"/>
    <w:rsid w:val="00590F74"/>
    <w:rsid w:val="00591D04"/>
    <w:rsid w:val="005935F9"/>
    <w:rsid w:val="005936B3"/>
    <w:rsid w:val="00594052"/>
    <w:rsid w:val="00594C81"/>
    <w:rsid w:val="005956A4"/>
    <w:rsid w:val="00596222"/>
    <w:rsid w:val="005976CA"/>
    <w:rsid w:val="005A0EE4"/>
    <w:rsid w:val="005A23A8"/>
    <w:rsid w:val="005A2520"/>
    <w:rsid w:val="005A259C"/>
    <w:rsid w:val="005A32BC"/>
    <w:rsid w:val="005A35A5"/>
    <w:rsid w:val="005A45C4"/>
    <w:rsid w:val="005A4667"/>
    <w:rsid w:val="005A60A2"/>
    <w:rsid w:val="005A66B8"/>
    <w:rsid w:val="005A7A80"/>
    <w:rsid w:val="005B0335"/>
    <w:rsid w:val="005B13B1"/>
    <w:rsid w:val="005B2E32"/>
    <w:rsid w:val="005B3DA7"/>
    <w:rsid w:val="005B3E06"/>
    <w:rsid w:val="005B4159"/>
    <w:rsid w:val="005B41A9"/>
    <w:rsid w:val="005B478A"/>
    <w:rsid w:val="005B628F"/>
    <w:rsid w:val="005B7407"/>
    <w:rsid w:val="005B7AEA"/>
    <w:rsid w:val="005C0053"/>
    <w:rsid w:val="005C00A4"/>
    <w:rsid w:val="005C0245"/>
    <w:rsid w:val="005C0D55"/>
    <w:rsid w:val="005C1105"/>
    <w:rsid w:val="005C361E"/>
    <w:rsid w:val="005C38BB"/>
    <w:rsid w:val="005C6ED2"/>
    <w:rsid w:val="005D09AA"/>
    <w:rsid w:val="005D3570"/>
    <w:rsid w:val="005D57FC"/>
    <w:rsid w:val="005D667F"/>
    <w:rsid w:val="005D7F35"/>
    <w:rsid w:val="005E09F1"/>
    <w:rsid w:val="005E26C7"/>
    <w:rsid w:val="005E2D98"/>
    <w:rsid w:val="005E36FF"/>
    <w:rsid w:val="005E4036"/>
    <w:rsid w:val="005E41B0"/>
    <w:rsid w:val="005E6179"/>
    <w:rsid w:val="005E63CA"/>
    <w:rsid w:val="005E7F78"/>
    <w:rsid w:val="005F0045"/>
    <w:rsid w:val="005F0FF6"/>
    <w:rsid w:val="005F1B04"/>
    <w:rsid w:val="005F1B4A"/>
    <w:rsid w:val="005F2D38"/>
    <w:rsid w:val="005F31B5"/>
    <w:rsid w:val="005F3DB3"/>
    <w:rsid w:val="005F59F0"/>
    <w:rsid w:val="005F5C57"/>
    <w:rsid w:val="005F605E"/>
    <w:rsid w:val="005F6817"/>
    <w:rsid w:val="005F7437"/>
    <w:rsid w:val="005F7795"/>
    <w:rsid w:val="005F7B76"/>
    <w:rsid w:val="00600B43"/>
    <w:rsid w:val="00600FB6"/>
    <w:rsid w:val="00601AEE"/>
    <w:rsid w:val="00606096"/>
    <w:rsid w:val="0060667B"/>
    <w:rsid w:val="006116E4"/>
    <w:rsid w:val="006118ED"/>
    <w:rsid w:val="00614438"/>
    <w:rsid w:val="00615A51"/>
    <w:rsid w:val="00616B42"/>
    <w:rsid w:val="00620FC1"/>
    <w:rsid w:val="006213FB"/>
    <w:rsid w:val="00621679"/>
    <w:rsid w:val="00621CD9"/>
    <w:rsid w:val="00623AAD"/>
    <w:rsid w:val="0062425E"/>
    <w:rsid w:val="006243BA"/>
    <w:rsid w:val="00624AA2"/>
    <w:rsid w:val="00624BBA"/>
    <w:rsid w:val="00624E02"/>
    <w:rsid w:val="00626217"/>
    <w:rsid w:val="00626451"/>
    <w:rsid w:val="00626BB4"/>
    <w:rsid w:val="00626CEC"/>
    <w:rsid w:val="006277C6"/>
    <w:rsid w:val="00627B03"/>
    <w:rsid w:val="00630A27"/>
    <w:rsid w:val="00630C01"/>
    <w:rsid w:val="00630EE5"/>
    <w:rsid w:val="00632287"/>
    <w:rsid w:val="0063244B"/>
    <w:rsid w:val="00632742"/>
    <w:rsid w:val="00634126"/>
    <w:rsid w:val="00635917"/>
    <w:rsid w:val="00635D87"/>
    <w:rsid w:val="006368D6"/>
    <w:rsid w:val="00636961"/>
    <w:rsid w:val="00636AA4"/>
    <w:rsid w:val="0064177A"/>
    <w:rsid w:val="00644716"/>
    <w:rsid w:val="00644948"/>
    <w:rsid w:val="00644CDC"/>
    <w:rsid w:val="00645F71"/>
    <w:rsid w:val="00646091"/>
    <w:rsid w:val="00646527"/>
    <w:rsid w:val="0064680C"/>
    <w:rsid w:val="00647793"/>
    <w:rsid w:val="00647AB2"/>
    <w:rsid w:val="00647FEA"/>
    <w:rsid w:val="00650573"/>
    <w:rsid w:val="00650718"/>
    <w:rsid w:val="00650CBF"/>
    <w:rsid w:val="00650FF1"/>
    <w:rsid w:val="00651A16"/>
    <w:rsid w:val="00651F26"/>
    <w:rsid w:val="006546B7"/>
    <w:rsid w:val="0065614C"/>
    <w:rsid w:val="0066011A"/>
    <w:rsid w:val="00660668"/>
    <w:rsid w:val="00661DA1"/>
    <w:rsid w:val="00662796"/>
    <w:rsid w:val="00662FB7"/>
    <w:rsid w:val="0066336F"/>
    <w:rsid w:val="00664DC7"/>
    <w:rsid w:val="00665CBE"/>
    <w:rsid w:val="00670332"/>
    <w:rsid w:val="00670E84"/>
    <w:rsid w:val="00671523"/>
    <w:rsid w:val="0067176C"/>
    <w:rsid w:val="00672285"/>
    <w:rsid w:val="0067228F"/>
    <w:rsid w:val="00672D27"/>
    <w:rsid w:val="00673861"/>
    <w:rsid w:val="0067561C"/>
    <w:rsid w:val="00675720"/>
    <w:rsid w:val="006757EB"/>
    <w:rsid w:val="00676DAF"/>
    <w:rsid w:val="00677A18"/>
    <w:rsid w:val="006810B4"/>
    <w:rsid w:val="006813F9"/>
    <w:rsid w:val="00681DD9"/>
    <w:rsid w:val="00682602"/>
    <w:rsid w:val="006832F9"/>
    <w:rsid w:val="00684607"/>
    <w:rsid w:val="00686DDA"/>
    <w:rsid w:val="00690991"/>
    <w:rsid w:val="00693654"/>
    <w:rsid w:val="0069546F"/>
    <w:rsid w:val="00696057"/>
    <w:rsid w:val="00697B88"/>
    <w:rsid w:val="006A1D49"/>
    <w:rsid w:val="006A3040"/>
    <w:rsid w:val="006A47CC"/>
    <w:rsid w:val="006A5E08"/>
    <w:rsid w:val="006A5F0E"/>
    <w:rsid w:val="006A65CB"/>
    <w:rsid w:val="006B04E5"/>
    <w:rsid w:val="006B0A9D"/>
    <w:rsid w:val="006B1816"/>
    <w:rsid w:val="006B28C6"/>
    <w:rsid w:val="006B36D9"/>
    <w:rsid w:val="006B3948"/>
    <w:rsid w:val="006B3D27"/>
    <w:rsid w:val="006B47C7"/>
    <w:rsid w:val="006B4993"/>
    <w:rsid w:val="006B70DA"/>
    <w:rsid w:val="006B71E7"/>
    <w:rsid w:val="006C18DC"/>
    <w:rsid w:val="006C2028"/>
    <w:rsid w:val="006C2475"/>
    <w:rsid w:val="006C3F53"/>
    <w:rsid w:val="006C4256"/>
    <w:rsid w:val="006C4A47"/>
    <w:rsid w:val="006C6957"/>
    <w:rsid w:val="006D02B7"/>
    <w:rsid w:val="006D04E0"/>
    <w:rsid w:val="006D07E1"/>
    <w:rsid w:val="006D2E62"/>
    <w:rsid w:val="006D4EE3"/>
    <w:rsid w:val="006D5339"/>
    <w:rsid w:val="006D5A1B"/>
    <w:rsid w:val="006D6893"/>
    <w:rsid w:val="006D69FC"/>
    <w:rsid w:val="006D6A5B"/>
    <w:rsid w:val="006D6DFA"/>
    <w:rsid w:val="006E3E64"/>
    <w:rsid w:val="006E495A"/>
    <w:rsid w:val="006E542C"/>
    <w:rsid w:val="006E5A78"/>
    <w:rsid w:val="006E5FFF"/>
    <w:rsid w:val="006E64D5"/>
    <w:rsid w:val="006E663D"/>
    <w:rsid w:val="006E7A7B"/>
    <w:rsid w:val="006F3F40"/>
    <w:rsid w:val="006F4241"/>
    <w:rsid w:val="006F4635"/>
    <w:rsid w:val="006F6C4A"/>
    <w:rsid w:val="006F71AA"/>
    <w:rsid w:val="006F7358"/>
    <w:rsid w:val="0070172B"/>
    <w:rsid w:val="00704DB1"/>
    <w:rsid w:val="007066DB"/>
    <w:rsid w:val="007108D3"/>
    <w:rsid w:val="00710D6E"/>
    <w:rsid w:val="00711A50"/>
    <w:rsid w:val="00717E5E"/>
    <w:rsid w:val="0072008C"/>
    <w:rsid w:val="00721250"/>
    <w:rsid w:val="00722A5C"/>
    <w:rsid w:val="007230BA"/>
    <w:rsid w:val="007246B7"/>
    <w:rsid w:val="0072565F"/>
    <w:rsid w:val="007260EB"/>
    <w:rsid w:val="00727889"/>
    <w:rsid w:val="00727BD8"/>
    <w:rsid w:val="00727E79"/>
    <w:rsid w:val="00730057"/>
    <w:rsid w:val="0073121E"/>
    <w:rsid w:val="007340D5"/>
    <w:rsid w:val="00734A37"/>
    <w:rsid w:val="00734B34"/>
    <w:rsid w:val="00735B23"/>
    <w:rsid w:val="00735D6C"/>
    <w:rsid w:val="007366AE"/>
    <w:rsid w:val="0073671F"/>
    <w:rsid w:val="0073689E"/>
    <w:rsid w:val="00737467"/>
    <w:rsid w:val="00737CB2"/>
    <w:rsid w:val="0074241D"/>
    <w:rsid w:val="00742866"/>
    <w:rsid w:val="00742A3A"/>
    <w:rsid w:val="00743301"/>
    <w:rsid w:val="00743806"/>
    <w:rsid w:val="00744CCF"/>
    <w:rsid w:val="00745143"/>
    <w:rsid w:val="0074535F"/>
    <w:rsid w:val="007456A2"/>
    <w:rsid w:val="00745792"/>
    <w:rsid w:val="007463E4"/>
    <w:rsid w:val="00747A0A"/>
    <w:rsid w:val="00747C49"/>
    <w:rsid w:val="00750B0B"/>
    <w:rsid w:val="007512F9"/>
    <w:rsid w:val="00751885"/>
    <w:rsid w:val="007518A5"/>
    <w:rsid w:val="00752C37"/>
    <w:rsid w:val="0075582C"/>
    <w:rsid w:val="00755CD4"/>
    <w:rsid w:val="0075788C"/>
    <w:rsid w:val="00757DA1"/>
    <w:rsid w:val="00757DFA"/>
    <w:rsid w:val="00761680"/>
    <w:rsid w:val="007649B1"/>
    <w:rsid w:val="00764C72"/>
    <w:rsid w:val="00765788"/>
    <w:rsid w:val="00766A28"/>
    <w:rsid w:val="00767A8E"/>
    <w:rsid w:val="00767B22"/>
    <w:rsid w:val="00767D54"/>
    <w:rsid w:val="0077140E"/>
    <w:rsid w:val="00774160"/>
    <w:rsid w:val="0077665A"/>
    <w:rsid w:val="007767CC"/>
    <w:rsid w:val="00780D04"/>
    <w:rsid w:val="007817D3"/>
    <w:rsid w:val="0078214D"/>
    <w:rsid w:val="00784CCA"/>
    <w:rsid w:val="00785E6A"/>
    <w:rsid w:val="00786570"/>
    <w:rsid w:val="00786DAD"/>
    <w:rsid w:val="0079387C"/>
    <w:rsid w:val="00794322"/>
    <w:rsid w:val="00794FDF"/>
    <w:rsid w:val="007956FC"/>
    <w:rsid w:val="00795911"/>
    <w:rsid w:val="0079734A"/>
    <w:rsid w:val="00797724"/>
    <w:rsid w:val="007A0F90"/>
    <w:rsid w:val="007A4953"/>
    <w:rsid w:val="007A61F1"/>
    <w:rsid w:val="007A7CD6"/>
    <w:rsid w:val="007B02EB"/>
    <w:rsid w:val="007B0CA0"/>
    <w:rsid w:val="007B1EC0"/>
    <w:rsid w:val="007B3DC4"/>
    <w:rsid w:val="007B3E77"/>
    <w:rsid w:val="007B532B"/>
    <w:rsid w:val="007B5472"/>
    <w:rsid w:val="007B563F"/>
    <w:rsid w:val="007B79BD"/>
    <w:rsid w:val="007C04B7"/>
    <w:rsid w:val="007C0614"/>
    <w:rsid w:val="007C09F5"/>
    <w:rsid w:val="007C3111"/>
    <w:rsid w:val="007C35ED"/>
    <w:rsid w:val="007C62B1"/>
    <w:rsid w:val="007C6B41"/>
    <w:rsid w:val="007C7D20"/>
    <w:rsid w:val="007D2F64"/>
    <w:rsid w:val="007D3760"/>
    <w:rsid w:val="007D473A"/>
    <w:rsid w:val="007D50FD"/>
    <w:rsid w:val="007D5FB4"/>
    <w:rsid w:val="007D68E1"/>
    <w:rsid w:val="007D72B2"/>
    <w:rsid w:val="007D7E7A"/>
    <w:rsid w:val="007E0A9C"/>
    <w:rsid w:val="007E42DE"/>
    <w:rsid w:val="007E45D9"/>
    <w:rsid w:val="007E5056"/>
    <w:rsid w:val="007E5964"/>
    <w:rsid w:val="007E5ADE"/>
    <w:rsid w:val="007E6267"/>
    <w:rsid w:val="007F09B2"/>
    <w:rsid w:val="007F0AA1"/>
    <w:rsid w:val="007F0C9A"/>
    <w:rsid w:val="007F14DE"/>
    <w:rsid w:val="007F1655"/>
    <w:rsid w:val="007F258E"/>
    <w:rsid w:val="007F2712"/>
    <w:rsid w:val="007F2FFF"/>
    <w:rsid w:val="007F3C49"/>
    <w:rsid w:val="007F5CC5"/>
    <w:rsid w:val="007F68B9"/>
    <w:rsid w:val="00800678"/>
    <w:rsid w:val="00801D58"/>
    <w:rsid w:val="0080212E"/>
    <w:rsid w:val="008027E8"/>
    <w:rsid w:val="0080282B"/>
    <w:rsid w:val="008036B5"/>
    <w:rsid w:val="00803D12"/>
    <w:rsid w:val="00803DDA"/>
    <w:rsid w:val="008043FC"/>
    <w:rsid w:val="008053BE"/>
    <w:rsid w:val="00805820"/>
    <w:rsid w:val="00805915"/>
    <w:rsid w:val="00806EC7"/>
    <w:rsid w:val="008073CF"/>
    <w:rsid w:val="00810119"/>
    <w:rsid w:val="00810E92"/>
    <w:rsid w:val="00812F43"/>
    <w:rsid w:val="00813050"/>
    <w:rsid w:val="00813DEF"/>
    <w:rsid w:val="00813F9E"/>
    <w:rsid w:val="008168E9"/>
    <w:rsid w:val="00817BFD"/>
    <w:rsid w:val="00821365"/>
    <w:rsid w:val="00822377"/>
    <w:rsid w:val="0082577B"/>
    <w:rsid w:val="008262D6"/>
    <w:rsid w:val="00826ACF"/>
    <w:rsid w:val="008278AE"/>
    <w:rsid w:val="00830339"/>
    <w:rsid w:val="0083108F"/>
    <w:rsid w:val="00832127"/>
    <w:rsid w:val="00832167"/>
    <w:rsid w:val="0083225D"/>
    <w:rsid w:val="00832AEB"/>
    <w:rsid w:val="00832F2C"/>
    <w:rsid w:val="0083387A"/>
    <w:rsid w:val="00833D18"/>
    <w:rsid w:val="00834CD5"/>
    <w:rsid w:val="0083577D"/>
    <w:rsid w:val="00837673"/>
    <w:rsid w:val="00837BA1"/>
    <w:rsid w:val="00840B22"/>
    <w:rsid w:val="00840E8E"/>
    <w:rsid w:val="00841DDA"/>
    <w:rsid w:val="00842782"/>
    <w:rsid w:val="008427D1"/>
    <w:rsid w:val="00843418"/>
    <w:rsid w:val="00843ADD"/>
    <w:rsid w:val="00844326"/>
    <w:rsid w:val="0084451B"/>
    <w:rsid w:val="008452F0"/>
    <w:rsid w:val="00847512"/>
    <w:rsid w:val="0085033D"/>
    <w:rsid w:val="00850CCB"/>
    <w:rsid w:val="00850FC2"/>
    <w:rsid w:val="00851023"/>
    <w:rsid w:val="008510BD"/>
    <w:rsid w:val="00852C0C"/>
    <w:rsid w:val="00853159"/>
    <w:rsid w:val="00853845"/>
    <w:rsid w:val="00853979"/>
    <w:rsid w:val="00855BC8"/>
    <w:rsid w:val="008562EA"/>
    <w:rsid w:val="00856855"/>
    <w:rsid w:val="00856EF9"/>
    <w:rsid w:val="008573A5"/>
    <w:rsid w:val="00861B3D"/>
    <w:rsid w:val="0086321C"/>
    <w:rsid w:val="00863EB5"/>
    <w:rsid w:val="00864A1D"/>
    <w:rsid w:val="00867985"/>
    <w:rsid w:val="00871104"/>
    <w:rsid w:val="0087118D"/>
    <w:rsid w:val="0087138B"/>
    <w:rsid w:val="00872D6A"/>
    <w:rsid w:val="00872E74"/>
    <w:rsid w:val="00874BE5"/>
    <w:rsid w:val="0087528E"/>
    <w:rsid w:val="00875BA5"/>
    <w:rsid w:val="00876186"/>
    <w:rsid w:val="00876524"/>
    <w:rsid w:val="008766FF"/>
    <w:rsid w:val="00877390"/>
    <w:rsid w:val="0088081C"/>
    <w:rsid w:val="00880DB7"/>
    <w:rsid w:val="0088119E"/>
    <w:rsid w:val="00883582"/>
    <w:rsid w:val="00883DC0"/>
    <w:rsid w:val="00884CBA"/>
    <w:rsid w:val="008907C9"/>
    <w:rsid w:val="00890A0B"/>
    <w:rsid w:val="00890B21"/>
    <w:rsid w:val="00891825"/>
    <w:rsid w:val="008932CF"/>
    <w:rsid w:val="008936F2"/>
    <w:rsid w:val="00893E9D"/>
    <w:rsid w:val="008953A5"/>
    <w:rsid w:val="00895B34"/>
    <w:rsid w:val="00895C03"/>
    <w:rsid w:val="00895E62"/>
    <w:rsid w:val="0089621D"/>
    <w:rsid w:val="0089687E"/>
    <w:rsid w:val="00897430"/>
    <w:rsid w:val="008A0C10"/>
    <w:rsid w:val="008A1B5A"/>
    <w:rsid w:val="008A2400"/>
    <w:rsid w:val="008A29F3"/>
    <w:rsid w:val="008A336B"/>
    <w:rsid w:val="008A51F5"/>
    <w:rsid w:val="008A5612"/>
    <w:rsid w:val="008A5AE5"/>
    <w:rsid w:val="008A74DC"/>
    <w:rsid w:val="008B0FCB"/>
    <w:rsid w:val="008B2484"/>
    <w:rsid w:val="008B26F4"/>
    <w:rsid w:val="008B4B7C"/>
    <w:rsid w:val="008B5202"/>
    <w:rsid w:val="008B5A24"/>
    <w:rsid w:val="008B616C"/>
    <w:rsid w:val="008C32CA"/>
    <w:rsid w:val="008C3671"/>
    <w:rsid w:val="008C36B2"/>
    <w:rsid w:val="008C44CE"/>
    <w:rsid w:val="008C5FDD"/>
    <w:rsid w:val="008C7E42"/>
    <w:rsid w:val="008D14D7"/>
    <w:rsid w:val="008D18E9"/>
    <w:rsid w:val="008D28B4"/>
    <w:rsid w:val="008D2960"/>
    <w:rsid w:val="008D4187"/>
    <w:rsid w:val="008D4245"/>
    <w:rsid w:val="008D50A6"/>
    <w:rsid w:val="008D51DF"/>
    <w:rsid w:val="008D5A01"/>
    <w:rsid w:val="008D60D4"/>
    <w:rsid w:val="008D6F9A"/>
    <w:rsid w:val="008D7DD3"/>
    <w:rsid w:val="008D7E89"/>
    <w:rsid w:val="008E0B55"/>
    <w:rsid w:val="008E1812"/>
    <w:rsid w:val="008E2BAF"/>
    <w:rsid w:val="008E2D49"/>
    <w:rsid w:val="008E3565"/>
    <w:rsid w:val="008E36A1"/>
    <w:rsid w:val="008E440A"/>
    <w:rsid w:val="008E452B"/>
    <w:rsid w:val="008E5C8E"/>
    <w:rsid w:val="008E72BA"/>
    <w:rsid w:val="008E7DC7"/>
    <w:rsid w:val="008F0622"/>
    <w:rsid w:val="008F0BD9"/>
    <w:rsid w:val="008F0DAF"/>
    <w:rsid w:val="008F0FBE"/>
    <w:rsid w:val="008F158D"/>
    <w:rsid w:val="008F25BC"/>
    <w:rsid w:val="008F3C57"/>
    <w:rsid w:val="008F3F14"/>
    <w:rsid w:val="008F44A6"/>
    <w:rsid w:val="008F4B78"/>
    <w:rsid w:val="008F59E6"/>
    <w:rsid w:val="008F6031"/>
    <w:rsid w:val="008F6EFF"/>
    <w:rsid w:val="008F7307"/>
    <w:rsid w:val="008F755D"/>
    <w:rsid w:val="0090232C"/>
    <w:rsid w:val="00903C55"/>
    <w:rsid w:val="009043E3"/>
    <w:rsid w:val="009047EE"/>
    <w:rsid w:val="00905C6F"/>
    <w:rsid w:val="00906A8A"/>
    <w:rsid w:val="0090771B"/>
    <w:rsid w:val="00910516"/>
    <w:rsid w:val="0091168A"/>
    <w:rsid w:val="00911F65"/>
    <w:rsid w:val="00913909"/>
    <w:rsid w:val="00913D80"/>
    <w:rsid w:val="0091460E"/>
    <w:rsid w:val="00914A85"/>
    <w:rsid w:val="00915191"/>
    <w:rsid w:val="00915556"/>
    <w:rsid w:val="0091597C"/>
    <w:rsid w:val="00916372"/>
    <w:rsid w:val="00916B82"/>
    <w:rsid w:val="00917573"/>
    <w:rsid w:val="00917A20"/>
    <w:rsid w:val="00921933"/>
    <w:rsid w:val="00922DFB"/>
    <w:rsid w:val="00923619"/>
    <w:rsid w:val="00924163"/>
    <w:rsid w:val="00924982"/>
    <w:rsid w:val="00924B79"/>
    <w:rsid w:val="0092587A"/>
    <w:rsid w:val="009261AA"/>
    <w:rsid w:val="009262BE"/>
    <w:rsid w:val="00926927"/>
    <w:rsid w:val="009307E7"/>
    <w:rsid w:val="00930925"/>
    <w:rsid w:val="009319A7"/>
    <w:rsid w:val="00931DF5"/>
    <w:rsid w:val="00934326"/>
    <w:rsid w:val="009375A7"/>
    <w:rsid w:val="009417E0"/>
    <w:rsid w:val="00941EF7"/>
    <w:rsid w:val="00942433"/>
    <w:rsid w:val="00942712"/>
    <w:rsid w:val="00942C11"/>
    <w:rsid w:val="009433A2"/>
    <w:rsid w:val="00943449"/>
    <w:rsid w:val="00946546"/>
    <w:rsid w:val="00951EA6"/>
    <w:rsid w:val="009523CD"/>
    <w:rsid w:val="00952670"/>
    <w:rsid w:val="00953C56"/>
    <w:rsid w:val="009541B9"/>
    <w:rsid w:val="009576BA"/>
    <w:rsid w:val="009578B3"/>
    <w:rsid w:val="0096008B"/>
    <w:rsid w:val="00960539"/>
    <w:rsid w:val="009607FD"/>
    <w:rsid w:val="0096157B"/>
    <w:rsid w:val="009615DA"/>
    <w:rsid w:val="00962389"/>
    <w:rsid w:val="00963009"/>
    <w:rsid w:val="009643A9"/>
    <w:rsid w:val="00964F4E"/>
    <w:rsid w:val="00966CA8"/>
    <w:rsid w:val="0096774C"/>
    <w:rsid w:val="00971BD2"/>
    <w:rsid w:val="00973534"/>
    <w:rsid w:val="00975138"/>
    <w:rsid w:val="009753A7"/>
    <w:rsid w:val="00976BC0"/>
    <w:rsid w:val="00976F41"/>
    <w:rsid w:val="009776C3"/>
    <w:rsid w:val="00977805"/>
    <w:rsid w:val="00977B2C"/>
    <w:rsid w:val="00977E87"/>
    <w:rsid w:val="00980312"/>
    <w:rsid w:val="00980F92"/>
    <w:rsid w:val="00981009"/>
    <w:rsid w:val="00981AC1"/>
    <w:rsid w:val="00982730"/>
    <w:rsid w:val="0098375C"/>
    <w:rsid w:val="0098486F"/>
    <w:rsid w:val="0098505A"/>
    <w:rsid w:val="00985669"/>
    <w:rsid w:val="00986C36"/>
    <w:rsid w:val="0098779B"/>
    <w:rsid w:val="00987E49"/>
    <w:rsid w:val="00990226"/>
    <w:rsid w:val="00991978"/>
    <w:rsid w:val="0099201B"/>
    <w:rsid w:val="0099265A"/>
    <w:rsid w:val="0099360D"/>
    <w:rsid w:val="00993991"/>
    <w:rsid w:val="00995D10"/>
    <w:rsid w:val="00995E26"/>
    <w:rsid w:val="009A081C"/>
    <w:rsid w:val="009A084E"/>
    <w:rsid w:val="009A0C61"/>
    <w:rsid w:val="009A1401"/>
    <w:rsid w:val="009A189B"/>
    <w:rsid w:val="009A1CFA"/>
    <w:rsid w:val="009A288C"/>
    <w:rsid w:val="009A2C83"/>
    <w:rsid w:val="009A44D0"/>
    <w:rsid w:val="009A54B9"/>
    <w:rsid w:val="009A5D54"/>
    <w:rsid w:val="009A6727"/>
    <w:rsid w:val="009A73D9"/>
    <w:rsid w:val="009A75D5"/>
    <w:rsid w:val="009B0BA3"/>
    <w:rsid w:val="009B0CBB"/>
    <w:rsid w:val="009B557C"/>
    <w:rsid w:val="009B6625"/>
    <w:rsid w:val="009B7397"/>
    <w:rsid w:val="009B754B"/>
    <w:rsid w:val="009C0A79"/>
    <w:rsid w:val="009C0C22"/>
    <w:rsid w:val="009C22B5"/>
    <w:rsid w:val="009C2ED3"/>
    <w:rsid w:val="009C3219"/>
    <w:rsid w:val="009C67EB"/>
    <w:rsid w:val="009D0F75"/>
    <w:rsid w:val="009D23FF"/>
    <w:rsid w:val="009D3C58"/>
    <w:rsid w:val="009D56CC"/>
    <w:rsid w:val="009D5877"/>
    <w:rsid w:val="009D73EF"/>
    <w:rsid w:val="009D76E1"/>
    <w:rsid w:val="009E0A55"/>
    <w:rsid w:val="009E1150"/>
    <w:rsid w:val="009E2034"/>
    <w:rsid w:val="009E289A"/>
    <w:rsid w:val="009E3718"/>
    <w:rsid w:val="009E3BC4"/>
    <w:rsid w:val="009E4CA9"/>
    <w:rsid w:val="009E778F"/>
    <w:rsid w:val="009E7D35"/>
    <w:rsid w:val="009F0341"/>
    <w:rsid w:val="009F0C33"/>
    <w:rsid w:val="009F1A14"/>
    <w:rsid w:val="009F1E4C"/>
    <w:rsid w:val="009F46DC"/>
    <w:rsid w:val="009F500C"/>
    <w:rsid w:val="009F5EF5"/>
    <w:rsid w:val="009F616A"/>
    <w:rsid w:val="009F70AB"/>
    <w:rsid w:val="009F7208"/>
    <w:rsid w:val="009F7873"/>
    <w:rsid w:val="00A003B9"/>
    <w:rsid w:val="00A00710"/>
    <w:rsid w:val="00A00788"/>
    <w:rsid w:val="00A03342"/>
    <w:rsid w:val="00A040B2"/>
    <w:rsid w:val="00A045B9"/>
    <w:rsid w:val="00A0506C"/>
    <w:rsid w:val="00A05B43"/>
    <w:rsid w:val="00A07439"/>
    <w:rsid w:val="00A07F87"/>
    <w:rsid w:val="00A10A70"/>
    <w:rsid w:val="00A112EA"/>
    <w:rsid w:val="00A12CB7"/>
    <w:rsid w:val="00A140C5"/>
    <w:rsid w:val="00A17B60"/>
    <w:rsid w:val="00A2055F"/>
    <w:rsid w:val="00A21E4C"/>
    <w:rsid w:val="00A22994"/>
    <w:rsid w:val="00A24752"/>
    <w:rsid w:val="00A24AB5"/>
    <w:rsid w:val="00A26512"/>
    <w:rsid w:val="00A31262"/>
    <w:rsid w:val="00A31C98"/>
    <w:rsid w:val="00A31DBE"/>
    <w:rsid w:val="00A320AD"/>
    <w:rsid w:val="00A334CF"/>
    <w:rsid w:val="00A34F4B"/>
    <w:rsid w:val="00A350C0"/>
    <w:rsid w:val="00A36A99"/>
    <w:rsid w:val="00A40BE1"/>
    <w:rsid w:val="00A41BB8"/>
    <w:rsid w:val="00A421DF"/>
    <w:rsid w:val="00A42517"/>
    <w:rsid w:val="00A4393B"/>
    <w:rsid w:val="00A44567"/>
    <w:rsid w:val="00A5058A"/>
    <w:rsid w:val="00A5120C"/>
    <w:rsid w:val="00A51734"/>
    <w:rsid w:val="00A522EA"/>
    <w:rsid w:val="00A529CD"/>
    <w:rsid w:val="00A5315E"/>
    <w:rsid w:val="00A563B8"/>
    <w:rsid w:val="00A56879"/>
    <w:rsid w:val="00A57322"/>
    <w:rsid w:val="00A60084"/>
    <w:rsid w:val="00A605B3"/>
    <w:rsid w:val="00A60D66"/>
    <w:rsid w:val="00A61DF2"/>
    <w:rsid w:val="00A63004"/>
    <w:rsid w:val="00A637FA"/>
    <w:rsid w:val="00A65511"/>
    <w:rsid w:val="00A6554B"/>
    <w:rsid w:val="00A65B90"/>
    <w:rsid w:val="00A660E5"/>
    <w:rsid w:val="00A66C49"/>
    <w:rsid w:val="00A673B7"/>
    <w:rsid w:val="00A70FF9"/>
    <w:rsid w:val="00A725F9"/>
    <w:rsid w:val="00A76868"/>
    <w:rsid w:val="00A774F3"/>
    <w:rsid w:val="00A77FE2"/>
    <w:rsid w:val="00A8086A"/>
    <w:rsid w:val="00A80D4C"/>
    <w:rsid w:val="00A8107B"/>
    <w:rsid w:val="00A823BB"/>
    <w:rsid w:val="00A83BF7"/>
    <w:rsid w:val="00A84857"/>
    <w:rsid w:val="00A84DAE"/>
    <w:rsid w:val="00A86691"/>
    <w:rsid w:val="00A87C42"/>
    <w:rsid w:val="00A90036"/>
    <w:rsid w:val="00A915BD"/>
    <w:rsid w:val="00A93910"/>
    <w:rsid w:val="00A93A64"/>
    <w:rsid w:val="00A94CF3"/>
    <w:rsid w:val="00A95599"/>
    <w:rsid w:val="00A95DBA"/>
    <w:rsid w:val="00A96177"/>
    <w:rsid w:val="00A961C5"/>
    <w:rsid w:val="00A96AF4"/>
    <w:rsid w:val="00AA10CD"/>
    <w:rsid w:val="00AA1CD4"/>
    <w:rsid w:val="00AA3020"/>
    <w:rsid w:val="00AA3A4B"/>
    <w:rsid w:val="00AA5496"/>
    <w:rsid w:val="00AA5585"/>
    <w:rsid w:val="00AA5ED4"/>
    <w:rsid w:val="00AB00FE"/>
    <w:rsid w:val="00AB0876"/>
    <w:rsid w:val="00AB15B9"/>
    <w:rsid w:val="00AB1CF1"/>
    <w:rsid w:val="00AB2389"/>
    <w:rsid w:val="00AB3B78"/>
    <w:rsid w:val="00AB48ED"/>
    <w:rsid w:val="00AB4F21"/>
    <w:rsid w:val="00AB50FB"/>
    <w:rsid w:val="00AB5670"/>
    <w:rsid w:val="00AB7241"/>
    <w:rsid w:val="00AB7D8C"/>
    <w:rsid w:val="00AC03D9"/>
    <w:rsid w:val="00AC07D5"/>
    <w:rsid w:val="00AC1894"/>
    <w:rsid w:val="00AC2171"/>
    <w:rsid w:val="00AC36D6"/>
    <w:rsid w:val="00AC50A0"/>
    <w:rsid w:val="00AC614D"/>
    <w:rsid w:val="00AC6D61"/>
    <w:rsid w:val="00AC6EA0"/>
    <w:rsid w:val="00AD23A6"/>
    <w:rsid w:val="00AD41A4"/>
    <w:rsid w:val="00AD4F31"/>
    <w:rsid w:val="00AD567E"/>
    <w:rsid w:val="00AD7E70"/>
    <w:rsid w:val="00AE039B"/>
    <w:rsid w:val="00AE1789"/>
    <w:rsid w:val="00AE18DB"/>
    <w:rsid w:val="00AE368F"/>
    <w:rsid w:val="00AE4000"/>
    <w:rsid w:val="00AE40CE"/>
    <w:rsid w:val="00AE4DCA"/>
    <w:rsid w:val="00AE594B"/>
    <w:rsid w:val="00AE5A0C"/>
    <w:rsid w:val="00AE631B"/>
    <w:rsid w:val="00AE6A84"/>
    <w:rsid w:val="00AE6EA6"/>
    <w:rsid w:val="00AF0F6D"/>
    <w:rsid w:val="00AF18EA"/>
    <w:rsid w:val="00AF223D"/>
    <w:rsid w:val="00AF250A"/>
    <w:rsid w:val="00AF2C40"/>
    <w:rsid w:val="00AF741C"/>
    <w:rsid w:val="00AF7F0B"/>
    <w:rsid w:val="00B0057C"/>
    <w:rsid w:val="00B0106B"/>
    <w:rsid w:val="00B01401"/>
    <w:rsid w:val="00B02570"/>
    <w:rsid w:val="00B02D5E"/>
    <w:rsid w:val="00B02F83"/>
    <w:rsid w:val="00B050C7"/>
    <w:rsid w:val="00B0522A"/>
    <w:rsid w:val="00B054A3"/>
    <w:rsid w:val="00B06DD2"/>
    <w:rsid w:val="00B077D6"/>
    <w:rsid w:val="00B07AD4"/>
    <w:rsid w:val="00B07B7D"/>
    <w:rsid w:val="00B07F1B"/>
    <w:rsid w:val="00B10043"/>
    <w:rsid w:val="00B10196"/>
    <w:rsid w:val="00B10694"/>
    <w:rsid w:val="00B11EEF"/>
    <w:rsid w:val="00B130E6"/>
    <w:rsid w:val="00B13821"/>
    <w:rsid w:val="00B14C6A"/>
    <w:rsid w:val="00B15DB6"/>
    <w:rsid w:val="00B161B0"/>
    <w:rsid w:val="00B169CA"/>
    <w:rsid w:val="00B17022"/>
    <w:rsid w:val="00B171BB"/>
    <w:rsid w:val="00B17BDB"/>
    <w:rsid w:val="00B2215C"/>
    <w:rsid w:val="00B24016"/>
    <w:rsid w:val="00B24416"/>
    <w:rsid w:val="00B25283"/>
    <w:rsid w:val="00B25ABC"/>
    <w:rsid w:val="00B25C43"/>
    <w:rsid w:val="00B26A47"/>
    <w:rsid w:val="00B2707D"/>
    <w:rsid w:val="00B31F6F"/>
    <w:rsid w:val="00B34760"/>
    <w:rsid w:val="00B34A23"/>
    <w:rsid w:val="00B36101"/>
    <w:rsid w:val="00B37C21"/>
    <w:rsid w:val="00B4069E"/>
    <w:rsid w:val="00B409CF"/>
    <w:rsid w:val="00B40A7D"/>
    <w:rsid w:val="00B40DCD"/>
    <w:rsid w:val="00B413CC"/>
    <w:rsid w:val="00B4259E"/>
    <w:rsid w:val="00B44C17"/>
    <w:rsid w:val="00B45AFF"/>
    <w:rsid w:val="00B50219"/>
    <w:rsid w:val="00B52F8E"/>
    <w:rsid w:val="00B5327B"/>
    <w:rsid w:val="00B53772"/>
    <w:rsid w:val="00B54A91"/>
    <w:rsid w:val="00B55DEF"/>
    <w:rsid w:val="00B55E67"/>
    <w:rsid w:val="00B569E8"/>
    <w:rsid w:val="00B56CC7"/>
    <w:rsid w:val="00B61905"/>
    <w:rsid w:val="00B63FDB"/>
    <w:rsid w:val="00B6494A"/>
    <w:rsid w:val="00B64BF9"/>
    <w:rsid w:val="00B66350"/>
    <w:rsid w:val="00B6650F"/>
    <w:rsid w:val="00B66B49"/>
    <w:rsid w:val="00B678AA"/>
    <w:rsid w:val="00B67AF5"/>
    <w:rsid w:val="00B71DE6"/>
    <w:rsid w:val="00B71E98"/>
    <w:rsid w:val="00B72463"/>
    <w:rsid w:val="00B732E8"/>
    <w:rsid w:val="00B743D5"/>
    <w:rsid w:val="00B74679"/>
    <w:rsid w:val="00B76541"/>
    <w:rsid w:val="00B771B4"/>
    <w:rsid w:val="00B7766D"/>
    <w:rsid w:val="00B77A32"/>
    <w:rsid w:val="00B80C76"/>
    <w:rsid w:val="00B8171C"/>
    <w:rsid w:val="00B81FEC"/>
    <w:rsid w:val="00B82A35"/>
    <w:rsid w:val="00B8327D"/>
    <w:rsid w:val="00B83788"/>
    <w:rsid w:val="00B83940"/>
    <w:rsid w:val="00B840EB"/>
    <w:rsid w:val="00B842FB"/>
    <w:rsid w:val="00B84533"/>
    <w:rsid w:val="00B85ACA"/>
    <w:rsid w:val="00B85D8C"/>
    <w:rsid w:val="00B8734B"/>
    <w:rsid w:val="00B877DC"/>
    <w:rsid w:val="00B907A4"/>
    <w:rsid w:val="00B90FD0"/>
    <w:rsid w:val="00B92189"/>
    <w:rsid w:val="00B926A2"/>
    <w:rsid w:val="00B934C4"/>
    <w:rsid w:val="00B93522"/>
    <w:rsid w:val="00B9511A"/>
    <w:rsid w:val="00B958B0"/>
    <w:rsid w:val="00B97B9E"/>
    <w:rsid w:val="00BA0D24"/>
    <w:rsid w:val="00BA2632"/>
    <w:rsid w:val="00BA4696"/>
    <w:rsid w:val="00BA4939"/>
    <w:rsid w:val="00BA552F"/>
    <w:rsid w:val="00BA5D08"/>
    <w:rsid w:val="00BA60E7"/>
    <w:rsid w:val="00BA6D05"/>
    <w:rsid w:val="00BB003F"/>
    <w:rsid w:val="00BB1457"/>
    <w:rsid w:val="00BB19E8"/>
    <w:rsid w:val="00BB1D31"/>
    <w:rsid w:val="00BB2E8A"/>
    <w:rsid w:val="00BB32EE"/>
    <w:rsid w:val="00BB3781"/>
    <w:rsid w:val="00BB3835"/>
    <w:rsid w:val="00BB46D9"/>
    <w:rsid w:val="00BB69F9"/>
    <w:rsid w:val="00BB6CFF"/>
    <w:rsid w:val="00BB74F9"/>
    <w:rsid w:val="00BB7B07"/>
    <w:rsid w:val="00BC1955"/>
    <w:rsid w:val="00BC3E3F"/>
    <w:rsid w:val="00BD0A17"/>
    <w:rsid w:val="00BD117E"/>
    <w:rsid w:val="00BD1D26"/>
    <w:rsid w:val="00BD1E82"/>
    <w:rsid w:val="00BD2BDD"/>
    <w:rsid w:val="00BD30E9"/>
    <w:rsid w:val="00BD3892"/>
    <w:rsid w:val="00BD3ADE"/>
    <w:rsid w:val="00BD6854"/>
    <w:rsid w:val="00BD712E"/>
    <w:rsid w:val="00BD722A"/>
    <w:rsid w:val="00BE0187"/>
    <w:rsid w:val="00BE0B8A"/>
    <w:rsid w:val="00BE7B2D"/>
    <w:rsid w:val="00BF2B8A"/>
    <w:rsid w:val="00BF3487"/>
    <w:rsid w:val="00BF3A89"/>
    <w:rsid w:val="00BF6EF4"/>
    <w:rsid w:val="00C00AF9"/>
    <w:rsid w:val="00C00DBF"/>
    <w:rsid w:val="00C019B1"/>
    <w:rsid w:val="00C01BFA"/>
    <w:rsid w:val="00C01DFC"/>
    <w:rsid w:val="00C02A51"/>
    <w:rsid w:val="00C038F5"/>
    <w:rsid w:val="00C03F53"/>
    <w:rsid w:val="00C05CB4"/>
    <w:rsid w:val="00C06FA8"/>
    <w:rsid w:val="00C107FA"/>
    <w:rsid w:val="00C1242E"/>
    <w:rsid w:val="00C13988"/>
    <w:rsid w:val="00C13B6A"/>
    <w:rsid w:val="00C13C6E"/>
    <w:rsid w:val="00C13E4D"/>
    <w:rsid w:val="00C13F40"/>
    <w:rsid w:val="00C15415"/>
    <w:rsid w:val="00C16765"/>
    <w:rsid w:val="00C16A6A"/>
    <w:rsid w:val="00C2078B"/>
    <w:rsid w:val="00C20D85"/>
    <w:rsid w:val="00C210EA"/>
    <w:rsid w:val="00C225D8"/>
    <w:rsid w:val="00C26890"/>
    <w:rsid w:val="00C3110B"/>
    <w:rsid w:val="00C31242"/>
    <w:rsid w:val="00C314C4"/>
    <w:rsid w:val="00C31604"/>
    <w:rsid w:val="00C31DE9"/>
    <w:rsid w:val="00C31EB7"/>
    <w:rsid w:val="00C325A4"/>
    <w:rsid w:val="00C3269A"/>
    <w:rsid w:val="00C32E9E"/>
    <w:rsid w:val="00C347BA"/>
    <w:rsid w:val="00C34C86"/>
    <w:rsid w:val="00C35651"/>
    <w:rsid w:val="00C35983"/>
    <w:rsid w:val="00C36486"/>
    <w:rsid w:val="00C3734E"/>
    <w:rsid w:val="00C4242E"/>
    <w:rsid w:val="00C42D4E"/>
    <w:rsid w:val="00C43C00"/>
    <w:rsid w:val="00C4451B"/>
    <w:rsid w:val="00C44B1D"/>
    <w:rsid w:val="00C45495"/>
    <w:rsid w:val="00C45C4C"/>
    <w:rsid w:val="00C45DCC"/>
    <w:rsid w:val="00C45F01"/>
    <w:rsid w:val="00C466E5"/>
    <w:rsid w:val="00C514A3"/>
    <w:rsid w:val="00C519AF"/>
    <w:rsid w:val="00C51CFC"/>
    <w:rsid w:val="00C52A25"/>
    <w:rsid w:val="00C53340"/>
    <w:rsid w:val="00C538FE"/>
    <w:rsid w:val="00C5417B"/>
    <w:rsid w:val="00C5460B"/>
    <w:rsid w:val="00C5484F"/>
    <w:rsid w:val="00C5689A"/>
    <w:rsid w:val="00C56AE9"/>
    <w:rsid w:val="00C60894"/>
    <w:rsid w:val="00C61E0F"/>
    <w:rsid w:val="00C628E0"/>
    <w:rsid w:val="00C62E7F"/>
    <w:rsid w:val="00C63124"/>
    <w:rsid w:val="00C64059"/>
    <w:rsid w:val="00C657CE"/>
    <w:rsid w:val="00C673B9"/>
    <w:rsid w:val="00C67C69"/>
    <w:rsid w:val="00C73821"/>
    <w:rsid w:val="00C73866"/>
    <w:rsid w:val="00C7416B"/>
    <w:rsid w:val="00C744C7"/>
    <w:rsid w:val="00C75CE2"/>
    <w:rsid w:val="00C75E47"/>
    <w:rsid w:val="00C76571"/>
    <w:rsid w:val="00C77980"/>
    <w:rsid w:val="00C77B09"/>
    <w:rsid w:val="00C82174"/>
    <w:rsid w:val="00C8274E"/>
    <w:rsid w:val="00C83EB0"/>
    <w:rsid w:val="00C85531"/>
    <w:rsid w:val="00C91ED9"/>
    <w:rsid w:val="00C95E49"/>
    <w:rsid w:val="00C97611"/>
    <w:rsid w:val="00CA03F8"/>
    <w:rsid w:val="00CA05E0"/>
    <w:rsid w:val="00CA15CA"/>
    <w:rsid w:val="00CA2640"/>
    <w:rsid w:val="00CA61EE"/>
    <w:rsid w:val="00CA7689"/>
    <w:rsid w:val="00CA7762"/>
    <w:rsid w:val="00CA79A6"/>
    <w:rsid w:val="00CB0421"/>
    <w:rsid w:val="00CB04B6"/>
    <w:rsid w:val="00CB0C75"/>
    <w:rsid w:val="00CB1255"/>
    <w:rsid w:val="00CB325D"/>
    <w:rsid w:val="00CB46B7"/>
    <w:rsid w:val="00CB5087"/>
    <w:rsid w:val="00CB5B43"/>
    <w:rsid w:val="00CB67A8"/>
    <w:rsid w:val="00CB7314"/>
    <w:rsid w:val="00CC01BC"/>
    <w:rsid w:val="00CC1C94"/>
    <w:rsid w:val="00CC2043"/>
    <w:rsid w:val="00CC5924"/>
    <w:rsid w:val="00CC741D"/>
    <w:rsid w:val="00CD05A9"/>
    <w:rsid w:val="00CD0874"/>
    <w:rsid w:val="00CD0E2C"/>
    <w:rsid w:val="00CD1015"/>
    <w:rsid w:val="00CD1FBC"/>
    <w:rsid w:val="00CD2030"/>
    <w:rsid w:val="00CD245A"/>
    <w:rsid w:val="00CD4307"/>
    <w:rsid w:val="00CD45DB"/>
    <w:rsid w:val="00CD68CB"/>
    <w:rsid w:val="00CE0019"/>
    <w:rsid w:val="00CE035D"/>
    <w:rsid w:val="00CE221B"/>
    <w:rsid w:val="00CE42BC"/>
    <w:rsid w:val="00CE7825"/>
    <w:rsid w:val="00CF037F"/>
    <w:rsid w:val="00CF3500"/>
    <w:rsid w:val="00CF4E6B"/>
    <w:rsid w:val="00CF4F59"/>
    <w:rsid w:val="00CF66BE"/>
    <w:rsid w:val="00CF71EA"/>
    <w:rsid w:val="00D00031"/>
    <w:rsid w:val="00D00130"/>
    <w:rsid w:val="00D01512"/>
    <w:rsid w:val="00D02663"/>
    <w:rsid w:val="00D02A58"/>
    <w:rsid w:val="00D034BA"/>
    <w:rsid w:val="00D059B8"/>
    <w:rsid w:val="00D05F47"/>
    <w:rsid w:val="00D106A7"/>
    <w:rsid w:val="00D10AFB"/>
    <w:rsid w:val="00D10EF0"/>
    <w:rsid w:val="00D12B01"/>
    <w:rsid w:val="00D12C3E"/>
    <w:rsid w:val="00D13654"/>
    <w:rsid w:val="00D163D7"/>
    <w:rsid w:val="00D20097"/>
    <w:rsid w:val="00D21C57"/>
    <w:rsid w:val="00D22640"/>
    <w:rsid w:val="00D22CBF"/>
    <w:rsid w:val="00D2329E"/>
    <w:rsid w:val="00D237DA"/>
    <w:rsid w:val="00D2486A"/>
    <w:rsid w:val="00D257E5"/>
    <w:rsid w:val="00D25E53"/>
    <w:rsid w:val="00D2636F"/>
    <w:rsid w:val="00D263F1"/>
    <w:rsid w:val="00D2701C"/>
    <w:rsid w:val="00D27643"/>
    <w:rsid w:val="00D279DC"/>
    <w:rsid w:val="00D30A25"/>
    <w:rsid w:val="00D31491"/>
    <w:rsid w:val="00D322A7"/>
    <w:rsid w:val="00D351EF"/>
    <w:rsid w:val="00D359B1"/>
    <w:rsid w:val="00D36763"/>
    <w:rsid w:val="00D36D54"/>
    <w:rsid w:val="00D37E83"/>
    <w:rsid w:val="00D407CC"/>
    <w:rsid w:val="00D412F9"/>
    <w:rsid w:val="00D41783"/>
    <w:rsid w:val="00D41BEB"/>
    <w:rsid w:val="00D4267E"/>
    <w:rsid w:val="00D42854"/>
    <w:rsid w:val="00D443CD"/>
    <w:rsid w:val="00D44CE1"/>
    <w:rsid w:val="00D45584"/>
    <w:rsid w:val="00D4623C"/>
    <w:rsid w:val="00D46569"/>
    <w:rsid w:val="00D47A19"/>
    <w:rsid w:val="00D47AB6"/>
    <w:rsid w:val="00D51719"/>
    <w:rsid w:val="00D5178F"/>
    <w:rsid w:val="00D51F9B"/>
    <w:rsid w:val="00D52156"/>
    <w:rsid w:val="00D52431"/>
    <w:rsid w:val="00D531A9"/>
    <w:rsid w:val="00D546B7"/>
    <w:rsid w:val="00D54864"/>
    <w:rsid w:val="00D54F07"/>
    <w:rsid w:val="00D56621"/>
    <w:rsid w:val="00D5741F"/>
    <w:rsid w:val="00D57641"/>
    <w:rsid w:val="00D60212"/>
    <w:rsid w:val="00D6028E"/>
    <w:rsid w:val="00D60534"/>
    <w:rsid w:val="00D60EE5"/>
    <w:rsid w:val="00D617C8"/>
    <w:rsid w:val="00D6191D"/>
    <w:rsid w:val="00D633D0"/>
    <w:rsid w:val="00D64CDA"/>
    <w:rsid w:val="00D70883"/>
    <w:rsid w:val="00D72AFF"/>
    <w:rsid w:val="00D73309"/>
    <w:rsid w:val="00D73450"/>
    <w:rsid w:val="00D74427"/>
    <w:rsid w:val="00D74D80"/>
    <w:rsid w:val="00D7661E"/>
    <w:rsid w:val="00D766C9"/>
    <w:rsid w:val="00D81977"/>
    <w:rsid w:val="00D821DA"/>
    <w:rsid w:val="00D83E97"/>
    <w:rsid w:val="00D848C8"/>
    <w:rsid w:val="00D84EFE"/>
    <w:rsid w:val="00D85C81"/>
    <w:rsid w:val="00D8613E"/>
    <w:rsid w:val="00D86D11"/>
    <w:rsid w:val="00D876E3"/>
    <w:rsid w:val="00D91765"/>
    <w:rsid w:val="00D92AD4"/>
    <w:rsid w:val="00D92C78"/>
    <w:rsid w:val="00D938A2"/>
    <w:rsid w:val="00D94D71"/>
    <w:rsid w:val="00D95C69"/>
    <w:rsid w:val="00D97115"/>
    <w:rsid w:val="00DA06C3"/>
    <w:rsid w:val="00DA122C"/>
    <w:rsid w:val="00DA1E73"/>
    <w:rsid w:val="00DA2012"/>
    <w:rsid w:val="00DA2895"/>
    <w:rsid w:val="00DA4C7C"/>
    <w:rsid w:val="00DA4DF4"/>
    <w:rsid w:val="00DA7013"/>
    <w:rsid w:val="00DB0587"/>
    <w:rsid w:val="00DB14E5"/>
    <w:rsid w:val="00DB1801"/>
    <w:rsid w:val="00DB19E3"/>
    <w:rsid w:val="00DB2FE5"/>
    <w:rsid w:val="00DB569C"/>
    <w:rsid w:val="00DB57E7"/>
    <w:rsid w:val="00DB67AF"/>
    <w:rsid w:val="00DB6B2A"/>
    <w:rsid w:val="00DC2157"/>
    <w:rsid w:val="00DC3435"/>
    <w:rsid w:val="00DC43EB"/>
    <w:rsid w:val="00DC4623"/>
    <w:rsid w:val="00DC4BEB"/>
    <w:rsid w:val="00DC5F43"/>
    <w:rsid w:val="00DC60D2"/>
    <w:rsid w:val="00DC6CE0"/>
    <w:rsid w:val="00DC7CDA"/>
    <w:rsid w:val="00DD49B0"/>
    <w:rsid w:val="00DD5C39"/>
    <w:rsid w:val="00DD6DBF"/>
    <w:rsid w:val="00DD7FE6"/>
    <w:rsid w:val="00DE03D4"/>
    <w:rsid w:val="00DE256D"/>
    <w:rsid w:val="00DE55FF"/>
    <w:rsid w:val="00DE59D7"/>
    <w:rsid w:val="00DE6617"/>
    <w:rsid w:val="00DE66CA"/>
    <w:rsid w:val="00DE6794"/>
    <w:rsid w:val="00DE7176"/>
    <w:rsid w:val="00DE7B73"/>
    <w:rsid w:val="00DE7D3E"/>
    <w:rsid w:val="00DF08A5"/>
    <w:rsid w:val="00DF13C5"/>
    <w:rsid w:val="00DF23C8"/>
    <w:rsid w:val="00DF302A"/>
    <w:rsid w:val="00DF360F"/>
    <w:rsid w:val="00DF3C2B"/>
    <w:rsid w:val="00DF5AEA"/>
    <w:rsid w:val="00DF5F07"/>
    <w:rsid w:val="00DF6498"/>
    <w:rsid w:val="00DF713B"/>
    <w:rsid w:val="00E002FE"/>
    <w:rsid w:val="00E00758"/>
    <w:rsid w:val="00E00A82"/>
    <w:rsid w:val="00E0109C"/>
    <w:rsid w:val="00E010EB"/>
    <w:rsid w:val="00E015BE"/>
    <w:rsid w:val="00E03448"/>
    <w:rsid w:val="00E03EA8"/>
    <w:rsid w:val="00E04D75"/>
    <w:rsid w:val="00E0503C"/>
    <w:rsid w:val="00E07084"/>
    <w:rsid w:val="00E07379"/>
    <w:rsid w:val="00E07A03"/>
    <w:rsid w:val="00E07ECB"/>
    <w:rsid w:val="00E1101C"/>
    <w:rsid w:val="00E1118B"/>
    <w:rsid w:val="00E1205B"/>
    <w:rsid w:val="00E12115"/>
    <w:rsid w:val="00E12990"/>
    <w:rsid w:val="00E12F61"/>
    <w:rsid w:val="00E1334C"/>
    <w:rsid w:val="00E14DF6"/>
    <w:rsid w:val="00E154BE"/>
    <w:rsid w:val="00E15B3A"/>
    <w:rsid w:val="00E15C45"/>
    <w:rsid w:val="00E1670A"/>
    <w:rsid w:val="00E20538"/>
    <w:rsid w:val="00E20622"/>
    <w:rsid w:val="00E2668F"/>
    <w:rsid w:val="00E26ED0"/>
    <w:rsid w:val="00E27BBE"/>
    <w:rsid w:val="00E3099D"/>
    <w:rsid w:val="00E3174E"/>
    <w:rsid w:val="00E32C6C"/>
    <w:rsid w:val="00E33A83"/>
    <w:rsid w:val="00E36780"/>
    <w:rsid w:val="00E3725E"/>
    <w:rsid w:val="00E37857"/>
    <w:rsid w:val="00E37A74"/>
    <w:rsid w:val="00E41AA9"/>
    <w:rsid w:val="00E42997"/>
    <w:rsid w:val="00E437DA"/>
    <w:rsid w:val="00E443B6"/>
    <w:rsid w:val="00E451D0"/>
    <w:rsid w:val="00E45CC2"/>
    <w:rsid w:val="00E46631"/>
    <w:rsid w:val="00E47018"/>
    <w:rsid w:val="00E4721E"/>
    <w:rsid w:val="00E50275"/>
    <w:rsid w:val="00E50CBC"/>
    <w:rsid w:val="00E51C02"/>
    <w:rsid w:val="00E532C3"/>
    <w:rsid w:val="00E5494D"/>
    <w:rsid w:val="00E54FF2"/>
    <w:rsid w:val="00E555BA"/>
    <w:rsid w:val="00E56ED1"/>
    <w:rsid w:val="00E5769A"/>
    <w:rsid w:val="00E624AE"/>
    <w:rsid w:val="00E62F9D"/>
    <w:rsid w:val="00E63E46"/>
    <w:rsid w:val="00E63FB0"/>
    <w:rsid w:val="00E64210"/>
    <w:rsid w:val="00E66042"/>
    <w:rsid w:val="00E6736F"/>
    <w:rsid w:val="00E70582"/>
    <w:rsid w:val="00E711F4"/>
    <w:rsid w:val="00E715DD"/>
    <w:rsid w:val="00E71993"/>
    <w:rsid w:val="00E72CC3"/>
    <w:rsid w:val="00E73168"/>
    <w:rsid w:val="00E7578D"/>
    <w:rsid w:val="00E75BCC"/>
    <w:rsid w:val="00E762F7"/>
    <w:rsid w:val="00E768CA"/>
    <w:rsid w:val="00E773E7"/>
    <w:rsid w:val="00E80F75"/>
    <w:rsid w:val="00E82FA3"/>
    <w:rsid w:val="00E84DA2"/>
    <w:rsid w:val="00E86106"/>
    <w:rsid w:val="00E86A29"/>
    <w:rsid w:val="00E87271"/>
    <w:rsid w:val="00E87619"/>
    <w:rsid w:val="00E90AB5"/>
    <w:rsid w:val="00E918CD"/>
    <w:rsid w:val="00E93BA1"/>
    <w:rsid w:val="00E94AC3"/>
    <w:rsid w:val="00E97331"/>
    <w:rsid w:val="00EA0D41"/>
    <w:rsid w:val="00EA1A3C"/>
    <w:rsid w:val="00EA1FB1"/>
    <w:rsid w:val="00EA2B55"/>
    <w:rsid w:val="00EA3772"/>
    <w:rsid w:val="00EA4A31"/>
    <w:rsid w:val="00EA4D6A"/>
    <w:rsid w:val="00EA64A8"/>
    <w:rsid w:val="00EA6AD4"/>
    <w:rsid w:val="00EB20D3"/>
    <w:rsid w:val="00EB4657"/>
    <w:rsid w:val="00EB47ED"/>
    <w:rsid w:val="00EB4E70"/>
    <w:rsid w:val="00EB73D8"/>
    <w:rsid w:val="00EB741D"/>
    <w:rsid w:val="00EC0F84"/>
    <w:rsid w:val="00EC2CA5"/>
    <w:rsid w:val="00EC39C0"/>
    <w:rsid w:val="00EC3A6F"/>
    <w:rsid w:val="00EC408A"/>
    <w:rsid w:val="00EC4758"/>
    <w:rsid w:val="00EC50E5"/>
    <w:rsid w:val="00EC5434"/>
    <w:rsid w:val="00EC5D04"/>
    <w:rsid w:val="00EC6364"/>
    <w:rsid w:val="00EC64BF"/>
    <w:rsid w:val="00EC6A2F"/>
    <w:rsid w:val="00EC6AE6"/>
    <w:rsid w:val="00EC6CF1"/>
    <w:rsid w:val="00EC70C3"/>
    <w:rsid w:val="00ED1410"/>
    <w:rsid w:val="00ED2141"/>
    <w:rsid w:val="00ED2A9A"/>
    <w:rsid w:val="00ED4E69"/>
    <w:rsid w:val="00ED5064"/>
    <w:rsid w:val="00ED5EB0"/>
    <w:rsid w:val="00ED71FD"/>
    <w:rsid w:val="00ED7F98"/>
    <w:rsid w:val="00EE0C24"/>
    <w:rsid w:val="00EE2A12"/>
    <w:rsid w:val="00EE3CC9"/>
    <w:rsid w:val="00EE52CE"/>
    <w:rsid w:val="00EE6062"/>
    <w:rsid w:val="00EE7522"/>
    <w:rsid w:val="00EE7550"/>
    <w:rsid w:val="00EF1DFB"/>
    <w:rsid w:val="00EF2A89"/>
    <w:rsid w:val="00EF3E5C"/>
    <w:rsid w:val="00EF43C3"/>
    <w:rsid w:val="00EF4C65"/>
    <w:rsid w:val="00EF50E4"/>
    <w:rsid w:val="00EF60AC"/>
    <w:rsid w:val="00EF60E7"/>
    <w:rsid w:val="00EF6C68"/>
    <w:rsid w:val="00EF6D9B"/>
    <w:rsid w:val="00EF6E67"/>
    <w:rsid w:val="00EF7BD2"/>
    <w:rsid w:val="00F002D9"/>
    <w:rsid w:val="00F0068A"/>
    <w:rsid w:val="00F01A1D"/>
    <w:rsid w:val="00F01DAC"/>
    <w:rsid w:val="00F037BA"/>
    <w:rsid w:val="00F03F74"/>
    <w:rsid w:val="00F04A22"/>
    <w:rsid w:val="00F0506E"/>
    <w:rsid w:val="00F0513F"/>
    <w:rsid w:val="00F06B7D"/>
    <w:rsid w:val="00F073E8"/>
    <w:rsid w:val="00F077B5"/>
    <w:rsid w:val="00F079F5"/>
    <w:rsid w:val="00F116AE"/>
    <w:rsid w:val="00F17A8A"/>
    <w:rsid w:val="00F20385"/>
    <w:rsid w:val="00F20641"/>
    <w:rsid w:val="00F208F7"/>
    <w:rsid w:val="00F20F0C"/>
    <w:rsid w:val="00F22868"/>
    <w:rsid w:val="00F25657"/>
    <w:rsid w:val="00F25666"/>
    <w:rsid w:val="00F26E67"/>
    <w:rsid w:val="00F27A51"/>
    <w:rsid w:val="00F30C0A"/>
    <w:rsid w:val="00F3421E"/>
    <w:rsid w:val="00F361DA"/>
    <w:rsid w:val="00F40406"/>
    <w:rsid w:val="00F4053F"/>
    <w:rsid w:val="00F40AAE"/>
    <w:rsid w:val="00F431E7"/>
    <w:rsid w:val="00F434DB"/>
    <w:rsid w:val="00F43A5E"/>
    <w:rsid w:val="00F43E3F"/>
    <w:rsid w:val="00F451C6"/>
    <w:rsid w:val="00F45B17"/>
    <w:rsid w:val="00F47C69"/>
    <w:rsid w:val="00F511A7"/>
    <w:rsid w:val="00F518C4"/>
    <w:rsid w:val="00F522C3"/>
    <w:rsid w:val="00F5246E"/>
    <w:rsid w:val="00F5389F"/>
    <w:rsid w:val="00F542F3"/>
    <w:rsid w:val="00F55851"/>
    <w:rsid w:val="00F5669A"/>
    <w:rsid w:val="00F56A1E"/>
    <w:rsid w:val="00F56F73"/>
    <w:rsid w:val="00F61992"/>
    <w:rsid w:val="00F61E33"/>
    <w:rsid w:val="00F61F54"/>
    <w:rsid w:val="00F62AEA"/>
    <w:rsid w:val="00F62F82"/>
    <w:rsid w:val="00F637D3"/>
    <w:rsid w:val="00F6687E"/>
    <w:rsid w:val="00F67078"/>
    <w:rsid w:val="00F67CCD"/>
    <w:rsid w:val="00F67E1D"/>
    <w:rsid w:val="00F707FC"/>
    <w:rsid w:val="00F7100C"/>
    <w:rsid w:val="00F71593"/>
    <w:rsid w:val="00F721E8"/>
    <w:rsid w:val="00F72E8F"/>
    <w:rsid w:val="00F73CA5"/>
    <w:rsid w:val="00F756C1"/>
    <w:rsid w:val="00F766A9"/>
    <w:rsid w:val="00F7793F"/>
    <w:rsid w:val="00F82534"/>
    <w:rsid w:val="00F82743"/>
    <w:rsid w:val="00F8308D"/>
    <w:rsid w:val="00F830EB"/>
    <w:rsid w:val="00F833ED"/>
    <w:rsid w:val="00F84570"/>
    <w:rsid w:val="00F851BF"/>
    <w:rsid w:val="00F86035"/>
    <w:rsid w:val="00F860BD"/>
    <w:rsid w:val="00F877BF"/>
    <w:rsid w:val="00F87B12"/>
    <w:rsid w:val="00F900A4"/>
    <w:rsid w:val="00F90C80"/>
    <w:rsid w:val="00F925C5"/>
    <w:rsid w:val="00F94D08"/>
    <w:rsid w:val="00F954D7"/>
    <w:rsid w:val="00FA1377"/>
    <w:rsid w:val="00FA1BD4"/>
    <w:rsid w:val="00FA1F3F"/>
    <w:rsid w:val="00FA3260"/>
    <w:rsid w:val="00FA3B64"/>
    <w:rsid w:val="00FA5A43"/>
    <w:rsid w:val="00FA6D95"/>
    <w:rsid w:val="00FA7D49"/>
    <w:rsid w:val="00FB0375"/>
    <w:rsid w:val="00FB07C5"/>
    <w:rsid w:val="00FB2CC5"/>
    <w:rsid w:val="00FB2F7F"/>
    <w:rsid w:val="00FB5227"/>
    <w:rsid w:val="00FB5415"/>
    <w:rsid w:val="00FB55AB"/>
    <w:rsid w:val="00FC0014"/>
    <w:rsid w:val="00FC0805"/>
    <w:rsid w:val="00FC15FC"/>
    <w:rsid w:val="00FC1F56"/>
    <w:rsid w:val="00FC2E1E"/>
    <w:rsid w:val="00FC2F92"/>
    <w:rsid w:val="00FC4E9E"/>
    <w:rsid w:val="00FC5010"/>
    <w:rsid w:val="00FC593F"/>
    <w:rsid w:val="00FC5A3E"/>
    <w:rsid w:val="00FC64BF"/>
    <w:rsid w:val="00FC7DDE"/>
    <w:rsid w:val="00FC7EB2"/>
    <w:rsid w:val="00FD061A"/>
    <w:rsid w:val="00FD08F1"/>
    <w:rsid w:val="00FD13C4"/>
    <w:rsid w:val="00FD25C8"/>
    <w:rsid w:val="00FD3427"/>
    <w:rsid w:val="00FD3EC7"/>
    <w:rsid w:val="00FD491A"/>
    <w:rsid w:val="00FD5B75"/>
    <w:rsid w:val="00FD7C15"/>
    <w:rsid w:val="00FE2CB9"/>
    <w:rsid w:val="00FE459E"/>
    <w:rsid w:val="00FF0F40"/>
    <w:rsid w:val="00FF1027"/>
    <w:rsid w:val="00FF187D"/>
    <w:rsid w:val="00FF26BA"/>
    <w:rsid w:val="00FF3675"/>
    <w:rsid w:val="00FF39B5"/>
    <w:rsid w:val="00FF53F3"/>
    <w:rsid w:val="00FF54F5"/>
    <w:rsid w:val="00FF68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2">
      <o:colormru v:ext="edit" colors="#b18d36,#d0b786,#c70b14,#ebdec7,#ece4ca,#ece4d4"/>
      <o:colormenu v:ext="edit" stroke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DB0587"/>
    <w:pPr>
      <w:spacing w:after="200" w:line="276" w:lineRule="auto"/>
    </w:pPr>
    <w:rPr>
      <w:sz w:val="22"/>
      <w:szCs w:val="22"/>
    </w:rPr>
  </w:style>
  <w:style w:type="paragraph" w:styleId="1">
    <w:name w:val="heading 1"/>
    <w:basedOn w:val="a"/>
    <w:next w:val="a"/>
    <w:link w:val="1Char"/>
    <w:qFormat/>
    <w:rsid w:val="00DB0587"/>
    <w:pPr>
      <w:keepNext/>
      <w:keepLines/>
      <w:spacing w:before="480" w:after="0"/>
      <w:outlineLvl w:val="0"/>
    </w:pPr>
    <w:rPr>
      <w:rFonts w:ascii="Cambria" w:hAnsi="Cambria"/>
      <w:b/>
      <w:bCs/>
      <w:color w:val="365F91"/>
      <w:sz w:val="28"/>
      <w:szCs w:val="28"/>
    </w:rPr>
  </w:style>
  <w:style w:type="paragraph" w:styleId="2">
    <w:name w:val="heading 2"/>
    <w:basedOn w:val="a"/>
    <w:next w:val="a"/>
    <w:link w:val="2Char"/>
    <w:qFormat/>
    <w:rsid w:val="00DB0587"/>
    <w:pPr>
      <w:keepNext/>
      <w:keepLines/>
      <w:spacing w:before="200" w:after="0"/>
      <w:outlineLvl w:val="1"/>
    </w:pPr>
    <w:rPr>
      <w:rFonts w:ascii="Cambria" w:hAnsi="Cambria"/>
      <w:b/>
      <w:bCs/>
      <w:color w:val="4F81BD"/>
      <w:sz w:val="26"/>
      <w:szCs w:val="26"/>
    </w:rPr>
  </w:style>
  <w:style w:type="paragraph" w:styleId="3">
    <w:name w:val="heading 3"/>
    <w:basedOn w:val="a"/>
    <w:next w:val="a"/>
    <w:link w:val="3Char"/>
    <w:qFormat/>
    <w:rsid w:val="00DB0587"/>
    <w:pPr>
      <w:keepNext/>
      <w:keepLines/>
      <w:spacing w:before="200" w:after="0"/>
      <w:outlineLvl w:val="2"/>
    </w:pPr>
    <w:rPr>
      <w:rFonts w:ascii="Cambria" w:hAnsi="Cambria"/>
      <w:b/>
      <w:bCs/>
      <w:color w:val="4F81BD"/>
      <w:sz w:val="20"/>
      <w:szCs w:val="20"/>
    </w:rPr>
  </w:style>
  <w:style w:type="paragraph" w:styleId="4">
    <w:name w:val="heading 4"/>
    <w:basedOn w:val="a"/>
    <w:next w:val="a"/>
    <w:link w:val="4Char"/>
    <w:qFormat/>
    <w:rsid w:val="00DB0587"/>
    <w:pPr>
      <w:keepNext/>
      <w:keepLines/>
      <w:spacing w:before="200" w:after="0"/>
      <w:outlineLvl w:val="3"/>
    </w:pPr>
    <w:rPr>
      <w:rFonts w:ascii="Cambria" w:hAnsi="Cambria"/>
      <w:b/>
      <w:bCs/>
      <w:i/>
      <w:iCs/>
      <w:color w:val="4F81BD"/>
      <w:sz w:val="20"/>
      <w:szCs w:val="20"/>
    </w:rPr>
  </w:style>
  <w:style w:type="paragraph" w:styleId="5">
    <w:name w:val="heading 5"/>
    <w:basedOn w:val="a"/>
    <w:next w:val="a"/>
    <w:link w:val="5Char"/>
    <w:qFormat/>
    <w:rsid w:val="00DB0587"/>
    <w:pPr>
      <w:keepNext/>
      <w:keepLines/>
      <w:spacing w:before="200" w:after="0"/>
      <w:outlineLvl w:val="4"/>
    </w:pPr>
    <w:rPr>
      <w:rFonts w:ascii="Cambria" w:hAnsi="Cambria"/>
      <w:color w:val="243F60"/>
      <w:sz w:val="20"/>
      <w:szCs w:val="20"/>
    </w:rPr>
  </w:style>
  <w:style w:type="paragraph" w:styleId="6">
    <w:name w:val="heading 6"/>
    <w:basedOn w:val="a"/>
    <w:next w:val="a"/>
    <w:link w:val="6Char"/>
    <w:qFormat/>
    <w:rsid w:val="00DB0587"/>
    <w:pPr>
      <w:keepNext/>
      <w:keepLines/>
      <w:spacing w:before="200" w:after="0"/>
      <w:outlineLvl w:val="5"/>
    </w:pPr>
    <w:rPr>
      <w:rFonts w:ascii="Cambria" w:hAnsi="Cambria"/>
      <w:i/>
      <w:iCs/>
      <w:color w:val="243F60"/>
      <w:sz w:val="20"/>
      <w:szCs w:val="20"/>
    </w:rPr>
  </w:style>
  <w:style w:type="paragraph" w:styleId="7">
    <w:name w:val="heading 7"/>
    <w:basedOn w:val="a"/>
    <w:next w:val="a"/>
    <w:link w:val="7Char"/>
    <w:qFormat/>
    <w:rsid w:val="00DB0587"/>
    <w:pPr>
      <w:keepNext/>
      <w:keepLines/>
      <w:spacing w:before="200" w:after="0"/>
      <w:outlineLvl w:val="6"/>
    </w:pPr>
    <w:rPr>
      <w:rFonts w:ascii="Cambria" w:hAnsi="Cambria"/>
      <w:i/>
      <w:iCs/>
      <w:color w:val="404040"/>
      <w:sz w:val="20"/>
      <w:szCs w:val="20"/>
    </w:rPr>
  </w:style>
  <w:style w:type="paragraph" w:styleId="8">
    <w:name w:val="heading 8"/>
    <w:basedOn w:val="a"/>
    <w:next w:val="a"/>
    <w:link w:val="8Char"/>
    <w:qFormat/>
    <w:rsid w:val="00DB0587"/>
    <w:pPr>
      <w:keepNext/>
      <w:keepLines/>
      <w:spacing w:before="200" w:after="0"/>
      <w:outlineLvl w:val="7"/>
    </w:pPr>
    <w:rPr>
      <w:rFonts w:ascii="Cambria" w:hAnsi="Cambria"/>
      <w:color w:val="4F81BD"/>
      <w:sz w:val="20"/>
      <w:szCs w:val="20"/>
    </w:rPr>
  </w:style>
  <w:style w:type="paragraph" w:styleId="9">
    <w:name w:val="heading 9"/>
    <w:basedOn w:val="a"/>
    <w:next w:val="a"/>
    <w:link w:val="9Char"/>
    <w:qFormat/>
    <w:rsid w:val="00DB0587"/>
    <w:pPr>
      <w:keepNext/>
      <w:keepLines/>
      <w:spacing w:before="200" w:after="0"/>
      <w:outlineLvl w:val="8"/>
    </w:pPr>
    <w:rPr>
      <w:rFonts w:ascii="Cambria" w:hAnsi="Cambria"/>
      <w:i/>
      <w:iCs/>
      <w:color w:val="404040"/>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Emphasis"/>
    <w:qFormat/>
    <w:rsid w:val="00DB0587"/>
    <w:rPr>
      <w:i/>
      <w:iCs/>
      <w:color w:val="808080"/>
    </w:rPr>
  </w:style>
  <w:style w:type="character" w:customStyle="1" w:styleId="Char">
    <w:name w:val="标题 Char"/>
    <w:link w:val="a4"/>
    <w:rsid w:val="00DB0587"/>
    <w:rPr>
      <w:rFonts w:ascii="Cambria" w:eastAsia="宋体" w:hAnsi="Cambria" w:cs="Times New Roman"/>
      <w:color w:val="17365D"/>
      <w:spacing w:val="5"/>
      <w:kern w:val="28"/>
      <w:sz w:val="52"/>
      <w:szCs w:val="52"/>
    </w:rPr>
  </w:style>
  <w:style w:type="character" w:styleId="a5">
    <w:name w:val="Strong"/>
    <w:uiPriority w:val="22"/>
    <w:qFormat/>
    <w:rsid w:val="00DB0587"/>
    <w:rPr>
      <w:b/>
      <w:bCs/>
    </w:rPr>
  </w:style>
  <w:style w:type="character" w:styleId="a6">
    <w:name w:val="Hyperlink"/>
    <w:rsid w:val="00DB0587"/>
    <w:rPr>
      <w:color w:val="0000FF"/>
      <w:u w:val="single"/>
    </w:rPr>
  </w:style>
  <w:style w:type="character" w:customStyle="1" w:styleId="apple-style-span">
    <w:name w:val="apple-style-span"/>
    <w:basedOn w:val="a0"/>
    <w:rsid w:val="00DB0587"/>
  </w:style>
  <w:style w:type="character" w:customStyle="1" w:styleId="9Char">
    <w:name w:val="标题 9 Char"/>
    <w:link w:val="9"/>
    <w:rsid w:val="00DB0587"/>
    <w:rPr>
      <w:rFonts w:ascii="Cambria" w:eastAsia="宋体" w:hAnsi="Cambria" w:cs="Times New Roman"/>
      <w:i/>
      <w:iCs/>
      <w:color w:val="404040"/>
      <w:sz w:val="20"/>
      <w:szCs w:val="20"/>
    </w:rPr>
  </w:style>
  <w:style w:type="character" w:customStyle="1" w:styleId="Char0">
    <w:name w:val="批注框文本 Char"/>
    <w:link w:val="a7"/>
    <w:rsid w:val="00DB0587"/>
    <w:rPr>
      <w:kern w:val="2"/>
      <w:sz w:val="18"/>
      <w:szCs w:val="18"/>
    </w:rPr>
  </w:style>
  <w:style w:type="character" w:styleId="a8">
    <w:name w:val="Intense Reference"/>
    <w:qFormat/>
    <w:rsid w:val="00DB0587"/>
    <w:rPr>
      <w:b/>
      <w:bCs/>
      <w:smallCaps/>
      <w:color w:val="C0504D"/>
      <w:spacing w:val="5"/>
      <w:u w:val="single"/>
    </w:rPr>
  </w:style>
  <w:style w:type="character" w:styleId="a9">
    <w:name w:val="Book Title"/>
    <w:qFormat/>
    <w:rsid w:val="00DB0587"/>
    <w:rPr>
      <w:b/>
      <w:bCs/>
      <w:smallCaps/>
      <w:spacing w:val="5"/>
    </w:rPr>
  </w:style>
  <w:style w:type="character" w:customStyle="1" w:styleId="4Char">
    <w:name w:val="标题 4 Char"/>
    <w:link w:val="4"/>
    <w:rsid w:val="00DB0587"/>
    <w:rPr>
      <w:rFonts w:ascii="Cambria" w:eastAsia="宋体" w:hAnsi="Cambria" w:cs="Times New Roman"/>
      <w:b/>
      <w:bCs/>
      <w:i/>
      <w:iCs/>
      <w:color w:val="4F81BD"/>
    </w:rPr>
  </w:style>
  <w:style w:type="character" w:customStyle="1" w:styleId="Char1">
    <w:name w:val="引用 Char"/>
    <w:link w:val="aa"/>
    <w:rsid w:val="00DB0587"/>
    <w:rPr>
      <w:i/>
      <w:iCs/>
      <w:color w:val="000000"/>
    </w:rPr>
  </w:style>
  <w:style w:type="character" w:customStyle="1" w:styleId="webkit-html-attribute-name">
    <w:name w:val="webkit-html-attribute-name"/>
    <w:basedOn w:val="a0"/>
    <w:rsid w:val="00DB0587"/>
  </w:style>
  <w:style w:type="character" w:styleId="ab">
    <w:name w:val="Intense Emphasis"/>
    <w:qFormat/>
    <w:rsid w:val="00DB0587"/>
    <w:rPr>
      <w:b/>
      <w:bCs/>
      <w:i/>
      <w:iCs/>
      <w:color w:val="4F81BD"/>
    </w:rPr>
  </w:style>
  <w:style w:type="character" w:customStyle="1" w:styleId="webkit-html-attribute-value">
    <w:name w:val="webkit-html-attribute-value"/>
    <w:basedOn w:val="a0"/>
    <w:rsid w:val="00DB0587"/>
  </w:style>
  <w:style w:type="character" w:styleId="ac">
    <w:name w:val="page number"/>
    <w:basedOn w:val="a0"/>
    <w:rsid w:val="00DB0587"/>
  </w:style>
  <w:style w:type="character" w:customStyle="1" w:styleId="Char2">
    <w:name w:val="普通(网站) Char"/>
    <w:aliases w:val="普通 (Web) Char"/>
    <w:link w:val="ad"/>
    <w:rsid w:val="00DB0587"/>
    <w:rPr>
      <w:rFonts w:ascii="宋体" w:eastAsia="宋体" w:hAnsi="宋体" w:cs="宋体"/>
      <w:sz w:val="24"/>
      <w:szCs w:val="24"/>
      <w:lang w:val="en-US" w:eastAsia="zh-CN" w:bidi="ar-SA"/>
    </w:rPr>
  </w:style>
  <w:style w:type="character" w:customStyle="1" w:styleId="Char3">
    <w:name w:val="副标题 Char"/>
    <w:link w:val="ae"/>
    <w:rsid w:val="00DB0587"/>
    <w:rPr>
      <w:rFonts w:ascii="Cambria" w:eastAsia="宋体" w:hAnsi="Cambria" w:cs="Times New Roman"/>
      <w:i/>
      <w:iCs/>
      <w:color w:val="4F81BD"/>
      <w:spacing w:val="15"/>
      <w:sz w:val="24"/>
      <w:szCs w:val="24"/>
    </w:rPr>
  </w:style>
  <w:style w:type="character" w:customStyle="1" w:styleId="3Char">
    <w:name w:val="标题 3 Char"/>
    <w:link w:val="3"/>
    <w:rsid w:val="00DB0587"/>
    <w:rPr>
      <w:rFonts w:ascii="Cambria" w:eastAsia="宋体" w:hAnsi="Cambria" w:cs="Times New Roman"/>
      <w:b/>
      <w:bCs/>
      <w:color w:val="4F81BD"/>
    </w:rPr>
  </w:style>
  <w:style w:type="character" w:customStyle="1" w:styleId="Char4">
    <w:name w:val="明显引用 Char"/>
    <w:link w:val="af"/>
    <w:rsid w:val="00DB0587"/>
    <w:rPr>
      <w:b/>
      <w:bCs/>
      <w:i/>
      <w:iCs/>
      <w:color w:val="4F81BD"/>
    </w:rPr>
  </w:style>
  <w:style w:type="character" w:customStyle="1" w:styleId="style161">
    <w:name w:val="style161"/>
    <w:rsid w:val="00DB0587"/>
    <w:rPr>
      <w:color w:val="000000"/>
      <w:sz w:val="21"/>
      <w:szCs w:val="21"/>
    </w:rPr>
  </w:style>
  <w:style w:type="character" w:customStyle="1" w:styleId="5Char">
    <w:name w:val="标题 5 Char"/>
    <w:link w:val="5"/>
    <w:rsid w:val="00DB0587"/>
    <w:rPr>
      <w:rFonts w:ascii="Cambria" w:eastAsia="宋体" w:hAnsi="Cambria" w:cs="Times New Roman"/>
      <w:color w:val="243F60"/>
    </w:rPr>
  </w:style>
  <w:style w:type="character" w:customStyle="1" w:styleId="Char5">
    <w:name w:val="日期 Char"/>
    <w:link w:val="af0"/>
    <w:rsid w:val="00DB0587"/>
    <w:rPr>
      <w:kern w:val="2"/>
      <w:sz w:val="21"/>
      <w:szCs w:val="24"/>
    </w:rPr>
  </w:style>
  <w:style w:type="character" w:customStyle="1" w:styleId="2Char">
    <w:name w:val="标题 2 Char"/>
    <w:link w:val="2"/>
    <w:rsid w:val="00DB0587"/>
    <w:rPr>
      <w:rFonts w:ascii="Cambria" w:eastAsia="宋体" w:hAnsi="Cambria" w:cs="Times New Roman"/>
      <w:b/>
      <w:bCs/>
      <w:color w:val="4F81BD"/>
      <w:sz w:val="26"/>
      <w:szCs w:val="26"/>
    </w:rPr>
  </w:style>
  <w:style w:type="character" w:customStyle="1" w:styleId="content1">
    <w:name w:val="content1"/>
    <w:rsid w:val="00DB0587"/>
    <w:rPr>
      <w:color w:val="000000"/>
      <w:sz w:val="21"/>
      <w:szCs w:val="21"/>
    </w:rPr>
  </w:style>
  <w:style w:type="character" w:customStyle="1" w:styleId="7Char">
    <w:name w:val="标题 7 Char"/>
    <w:link w:val="7"/>
    <w:rsid w:val="00DB0587"/>
    <w:rPr>
      <w:rFonts w:ascii="Cambria" w:eastAsia="宋体" w:hAnsi="Cambria" w:cs="Times New Roman"/>
      <w:i/>
      <w:iCs/>
      <w:color w:val="404040"/>
    </w:rPr>
  </w:style>
  <w:style w:type="character" w:customStyle="1" w:styleId="webkit-html-tag">
    <w:name w:val="webkit-html-tag"/>
    <w:basedOn w:val="a0"/>
    <w:rsid w:val="00DB0587"/>
  </w:style>
  <w:style w:type="character" w:customStyle="1" w:styleId="8Char">
    <w:name w:val="标题 8 Char"/>
    <w:link w:val="8"/>
    <w:rsid w:val="00DB0587"/>
    <w:rPr>
      <w:rFonts w:ascii="Cambria" w:eastAsia="宋体" w:hAnsi="Cambria" w:cs="Times New Roman"/>
      <w:color w:val="4F81BD"/>
      <w:sz w:val="20"/>
      <w:szCs w:val="20"/>
    </w:rPr>
  </w:style>
  <w:style w:type="character" w:styleId="af1">
    <w:name w:val="Emphasis"/>
    <w:qFormat/>
    <w:rsid w:val="00DB0587"/>
    <w:rPr>
      <w:i/>
      <w:iCs/>
    </w:rPr>
  </w:style>
  <w:style w:type="character" w:customStyle="1" w:styleId="6Char">
    <w:name w:val="标题 6 Char"/>
    <w:link w:val="6"/>
    <w:rsid w:val="00DB0587"/>
    <w:rPr>
      <w:rFonts w:ascii="Cambria" w:eastAsia="宋体" w:hAnsi="Cambria" w:cs="Times New Roman"/>
      <w:i/>
      <w:iCs/>
      <w:color w:val="243F60"/>
    </w:rPr>
  </w:style>
  <w:style w:type="character" w:styleId="af2">
    <w:name w:val="Subtle Reference"/>
    <w:qFormat/>
    <w:rsid w:val="00DB0587"/>
    <w:rPr>
      <w:smallCaps/>
      <w:color w:val="C0504D"/>
      <w:u w:val="single"/>
    </w:rPr>
  </w:style>
  <w:style w:type="character" w:customStyle="1" w:styleId="1Char">
    <w:name w:val="标题 1 Char"/>
    <w:link w:val="1"/>
    <w:rsid w:val="00DB0587"/>
    <w:rPr>
      <w:rFonts w:ascii="Cambria" w:eastAsia="宋体" w:hAnsi="Cambria" w:cs="Times New Roman"/>
      <w:b/>
      <w:bCs/>
      <w:color w:val="365F91"/>
      <w:sz w:val="28"/>
      <w:szCs w:val="28"/>
    </w:rPr>
  </w:style>
  <w:style w:type="paragraph" w:styleId="TOC">
    <w:name w:val="TOC Heading"/>
    <w:basedOn w:val="1"/>
    <w:next w:val="a"/>
    <w:qFormat/>
    <w:rsid w:val="00DB0587"/>
    <w:pPr>
      <w:outlineLvl w:val="9"/>
    </w:pPr>
  </w:style>
  <w:style w:type="paragraph" w:styleId="af3">
    <w:name w:val="List Paragraph"/>
    <w:basedOn w:val="a"/>
    <w:qFormat/>
    <w:rsid w:val="00DB0587"/>
    <w:pPr>
      <w:ind w:left="720"/>
    </w:pPr>
  </w:style>
  <w:style w:type="paragraph" w:styleId="af">
    <w:name w:val="Intense Quote"/>
    <w:basedOn w:val="a"/>
    <w:next w:val="a"/>
    <w:link w:val="Char4"/>
    <w:qFormat/>
    <w:rsid w:val="00DB0587"/>
    <w:pPr>
      <w:pBdr>
        <w:bottom w:val="single" w:sz="4" w:space="4" w:color="4F81BD"/>
      </w:pBdr>
      <w:spacing w:before="200" w:after="280"/>
      <w:ind w:left="936" w:right="936"/>
    </w:pPr>
    <w:rPr>
      <w:b/>
      <w:bCs/>
      <w:i/>
      <w:iCs/>
      <w:color w:val="4F81BD"/>
      <w:sz w:val="20"/>
      <w:szCs w:val="20"/>
    </w:rPr>
  </w:style>
  <w:style w:type="paragraph" w:styleId="af0">
    <w:name w:val="Date"/>
    <w:basedOn w:val="a"/>
    <w:next w:val="a"/>
    <w:link w:val="Char5"/>
    <w:rsid w:val="00DB0587"/>
    <w:pPr>
      <w:ind w:leftChars="2500" w:left="100"/>
    </w:pPr>
    <w:rPr>
      <w:kern w:val="2"/>
      <w:sz w:val="21"/>
      <w:szCs w:val="24"/>
    </w:rPr>
  </w:style>
  <w:style w:type="paragraph" w:styleId="af4">
    <w:name w:val="No Spacing"/>
    <w:qFormat/>
    <w:rsid w:val="00DB0587"/>
    <w:rPr>
      <w:sz w:val="22"/>
      <w:szCs w:val="22"/>
    </w:rPr>
  </w:style>
  <w:style w:type="paragraph" w:styleId="aa">
    <w:name w:val="Quote"/>
    <w:basedOn w:val="a"/>
    <w:next w:val="a"/>
    <w:link w:val="Char1"/>
    <w:qFormat/>
    <w:rsid w:val="00DB0587"/>
    <w:rPr>
      <w:i/>
      <w:iCs/>
      <w:color w:val="000000"/>
      <w:sz w:val="20"/>
      <w:szCs w:val="20"/>
    </w:rPr>
  </w:style>
  <w:style w:type="paragraph" w:customStyle="1" w:styleId="Char6">
    <w:name w:val="Char"/>
    <w:basedOn w:val="a"/>
    <w:rsid w:val="00DB0587"/>
    <w:pPr>
      <w:spacing w:after="160" w:line="240" w:lineRule="exact"/>
    </w:pPr>
    <w:rPr>
      <w:rFonts w:ascii="Verdana" w:hAnsi="Verdana" w:hint="eastAsia"/>
      <w:sz w:val="20"/>
      <w:lang w:eastAsia="en-US"/>
    </w:rPr>
  </w:style>
  <w:style w:type="paragraph" w:styleId="ad">
    <w:name w:val="Normal (Web)"/>
    <w:aliases w:val="普通 (Web)"/>
    <w:basedOn w:val="a"/>
    <w:link w:val="Char2"/>
    <w:uiPriority w:val="99"/>
    <w:rsid w:val="00DB0587"/>
    <w:pPr>
      <w:spacing w:before="100" w:beforeAutospacing="1" w:after="100" w:afterAutospacing="1" w:line="240" w:lineRule="auto"/>
    </w:pPr>
    <w:rPr>
      <w:rFonts w:ascii="宋体" w:hAnsi="宋体" w:cs="宋体"/>
      <w:sz w:val="24"/>
      <w:szCs w:val="24"/>
    </w:rPr>
  </w:style>
  <w:style w:type="paragraph" w:styleId="af5">
    <w:name w:val="header"/>
    <w:basedOn w:val="a"/>
    <w:rsid w:val="00DB0587"/>
    <w:pPr>
      <w:pBdr>
        <w:bottom w:val="single" w:sz="6" w:space="1" w:color="auto"/>
      </w:pBdr>
      <w:tabs>
        <w:tab w:val="center" w:pos="4153"/>
        <w:tab w:val="right" w:pos="8306"/>
      </w:tabs>
      <w:snapToGrid w:val="0"/>
      <w:jc w:val="center"/>
    </w:pPr>
    <w:rPr>
      <w:sz w:val="18"/>
      <w:szCs w:val="18"/>
    </w:rPr>
  </w:style>
  <w:style w:type="paragraph" w:customStyle="1" w:styleId="Default">
    <w:name w:val="Default"/>
    <w:rsid w:val="00DB0587"/>
    <w:pPr>
      <w:widowControl w:val="0"/>
      <w:autoSpaceDE w:val="0"/>
      <w:autoSpaceDN w:val="0"/>
      <w:adjustRightInd w:val="0"/>
    </w:pPr>
    <w:rPr>
      <w:rFonts w:ascii="宋体" w:cs="宋体"/>
      <w:color w:val="000000"/>
      <w:sz w:val="24"/>
      <w:szCs w:val="24"/>
    </w:rPr>
  </w:style>
  <w:style w:type="paragraph" w:styleId="a4">
    <w:name w:val="Title"/>
    <w:basedOn w:val="a"/>
    <w:next w:val="a"/>
    <w:link w:val="Char"/>
    <w:qFormat/>
    <w:rsid w:val="00DB0587"/>
    <w:pPr>
      <w:pBdr>
        <w:bottom w:val="single" w:sz="8" w:space="4" w:color="4F81BD"/>
      </w:pBdr>
      <w:spacing w:after="300" w:line="240" w:lineRule="auto"/>
    </w:pPr>
    <w:rPr>
      <w:rFonts w:ascii="Cambria" w:hAnsi="Cambria"/>
      <w:color w:val="17365D"/>
      <w:spacing w:val="5"/>
      <w:kern w:val="28"/>
      <w:sz w:val="52"/>
      <w:szCs w:val="52"/>
    </w:rPr>
  </w:style>
  <w:style w:type="paragraph" w:styleId="af6">
    <w:name w:val="caption"/>
    <w:basedOn w:val="a"/>
    <w:next w:val="a"/>
    <w:qFormat/>
    <w:rsid w:val="00DB0587"/>
    <w:pPr>
      <w:spacing w:line="240" w:lineRule="auto"/>
    </w:pPr>
    <w:rPr>
      <w:b/>
      <w:bCs/>
      <w:color w:val="4F81BD"/>
      <w:sz w:val="18"/>
      <w:szCs w:val="18"/>
    </w:rPr>
  </w:style>
  <w:style w:type="paragraph" w:styleId="ae">
    <w:name w:val="Subtitle"/>
    <w:basedOn w:val="a"/>
    <w:next w:val="a"/>
    <w:link w:val="Char3"/>
    <w:qFormat/>
    <w:rsid w:val="00DB0587"/>
    <w:rPr>
      <w:rFonts w:ascii="Cambria" w:hAnsi="Cambria"/>
      <w:i/>
      <w:iCs/>
      <w:color w:val="4F81BD"/>
      <w:spacing w:val="15"/>
      <w:sz w:val="24"/>
      <w:szCs w:val="24"/>
    </w:rPr>
  </w:style>
  <w:style w:type="paragraph" w:styleId="af7">
    <w:name w:val="footer"/>
    <w:basedOn w:val="a"/>
    <w:link w:val="Char7"/>
    <w:uiPriority w:val="99"/>
    <w:rsid w:val="00DB0587"/>
    <w:pPr>
      <w:tabs>
        <w:tab w:val="center" w:pos="4153"/>
        <w:tab w:val="right" w:pos="8306"/>
      </w:tabs>
      <w:snapToGrid w:val="0"/>
    </w:pPr>
    <w:rPr>
      <w:sz w:val="18"/>
      <w:szCs w:val="18"/>
    </w:rPr>
  </w:style>
  <w:style w:type="paragraph" w:styleId="a7">
    <w:name w:val="Balloon Text"/>
    <w:basedOn w:val="a"/>
    <w:link w:val="Char0"/>
    <w:rsid w:val="00DB0587"/>
    <w:rPr>
      <w:kern w:val="2"/>
      <w:sz w:val="18"/>
      <w:szCs w:val="18"/>
    </w:rPr>
  </w:style>
  <w:style w:type="table" w:styleId="30">
    <w:name w:val="Table List 3"/>
    <w:basedOn w:val="a1"/>
    <w:rsid w:val="008A5612"/>
    <w:pPr>
      <w:spacing w:after="200" w:line="276"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af8">
    <w:name w:val="Table Grid"/>
    <w:basedOn w:val="a1"/>
    <w:rsid w:val="0023675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
    <w:name w:val="Light Shading Accent 2"/>
    <w:basedOn w:val="a1"/>
    <w:uiPriority w:val="60"/>
    <w:rsid w:val="0023675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10">
    <w:name w:val="普通(网站)1"/>
    <w:basedOn w:val="a"/>
    <w:rsid w:val="00002BA7"/>
    <w:pPr>
      <w:spacing w:before="100" w:beforeAutospacing="1" w:after="100" w:afterAutospacing="1" w:line="240" w:lineRule="auto"/>
    </w:pPr>
    <w:rPr>
      <w:rFonts w:ascii="宋体" w:hAnsi="宋体"/>
      <w:sz w:val="24"/>
      <w:szCs w:val="24"/>
    </w:rPr>
  </w:style>
  <w:style w:type="character" w:customStyle="1" w:styleId="jiathistxt">
    <w:name w:val="jiathis_txt"/>
    <w:basedOn w:val="a0"/>
    <w:rsid w:val="00905C6F"/>
  </w:style>
  <w:style w:type="character" w:customStyle="1" w:styleId="apple-converted-space">
    <w:name w:val="apple-converted-space"/>
    <w:basedOn w:val="a0"/>
    <w:rsid w:val="001D799F"/>
  </w:style>
  <w:style w:type="table" w:styleId="20">
    <w:name w:val="Table Colorful 2"/>
    <w:basedOn w:val="a1"/>
    <w:rsid w:val="00374636"/>
    <w:pPr>
      <w:spacing w:after="200" w:line="276"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af9">
    <w:name w:val="Table Theme"/>
    <w:basedOn w:val="a1"/>
    <w:rsid w:val="00374636"/>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Simple 1"/>
    <w:basedOn w:val="a1"/>
    <w:rsid w:val="00374636"/>
    <w:pPr>
      <w:spacing w:after="20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fa">
    <w:name w:val="Document Map"/>
    <w:basedOn w:val="a"/>
    <w:link w:val="Char8"/>
    <w:rsid w:val="00B771B4"/>
    <w:rPr>
      <w:rFonts w:ascii="宋体"/>
      <w:sz w:val="18"/>
      <w:szCs w:val="18"/>
    </w:rPr>
  </w:style>
  <w:style w:type="character" w:customStyle="1" w:styleId="Char8">
    <w:name w:val="文档结构图 Char"/>
    <w:basedOn w:val="a0"/>
    <w:link w:val="afa"/>
    <w:rsid w:val="00B771B4"/>
    <w:rPr>
      <w:rFonts w:ascii="宋体"/>
      <w:sz w:val="18"/>
      <w:szCs w:val="18"/>
    </w:rPr>
  </w:style>
  <w:style w:type="character" w:customStyle="1" w:styleId="Char7">
    <w:name w:val="页脚 Char"/>
    <w:basedOn w:val="a0"/>
    <w:link w:val="af7"/>
    <w:uiPriority w:val="99"/>
    <w:rsid w:val="00B7766D"/>
    <w:rPr>
      <w:sz w:val="18"/>
      <w:szCs w:val="18"/>
    </w:rPr>
  </w:style>
  <w:style w:type="character" w:customStyle="1" w:styleId="style121">
    <w:name w:val="style121"/>
    <w:basedOn w:val="a0"/>
    <w:rsid w:val="003108F4"/>
    <w:rPr>
      <w:rFonts w:ascii="黑体" w:eastAsia="黑体" w:hAnsi="黑体" w:hint="eastAsia"/>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448435">
      <w:bodyDiv w:val="1"/>
      <w:marLeft w:val="0"/>
      <w:marRight w:val="0"/>
      <w:marTop w:val="0"/>
      <w:marBottom w:val="0"/>
      <w:divBdr>
        <w:top w:val="none" w:sz="0" w:space="0" w:color="auto"/>
        <w:left w:val="none" w:sz="0" w:space="0" w:color="auto"/>
        <w:bottom w:val="none" w:sz="0" w:space="0" w:color="auto"/>
        <w:right w:val="none" w:sz="0" w:space="0" w:color="auto"/>
      </w:divBdr>
      <w:divsChild>
        <w:div w:id="1165172992">
          <w:marLeft w:val="0"/>
          <w:marRight w:val="0"/>
          <w:marTop w:val="90"/>
          <w:marBottom w:val="105"/>
          <w:divBdr>
            <w:top w:val="none" w:sz="0" w:space="0" w:color="auto"/>
            <w:left w:val="none" w:sz="0" w:space="0" w:color="auto"/>
            <w:bottom w:val="none" w:sz="0" w:space="0" w:color="auto"/>
            <w:right w:val="none" w:sz="0" w:space="0" w:color="auto"/>
          </w:divBdr>
          <w:divsChild>
            <w:div w:id="1960181785">
              <w:marLeft w:val="0"/>
              <w:marRight w:val="0"/>
              <w:marTop w:val="0"/>
              <w:marBottom w:val="0"/>
              <w:divBdr>
                <w:top w:val="none" w:sz="0" w:space="0" w:color="auto"/>
                <w:left w:val="none" w:sz="0" w:space="0" w:color="auto"/>
                <w:bottom w:val="none" w:sz="0" w:space="0" w:color="auto"/>
                <w:right w:val="none" w:sz="0" w:space="0" w:color="auto"/>
              </w:divBdr>
              <w:divsChild>
                <w:div w:id="1321345026">
                  <w:marLeft w:val="0"/>
                  <w:marRight w:val="0"/>
                  <w:marTop w:val="0"/>
                  <w:marBottom w:val="0"/>
                  <w:divBdr>
                    <w:top w:val="none" w:sz="0" w:space="0" w:color="auto"/>
                    <w:left w:val="none" w:sz="0" w:space="0" w:color="auto"/>
                    <w:bottom w:val="none" w:sz="0" w:space="0" w:color="auto"/>
                    <w:right w:val="none" w:sz="0" w:space="0" w:color="auto"/>
                  </w:divBdr>
                  <w:divsChild>
                    <w:div w:id="398866551">
                      <w:marLeft w:val="0"/>
                      <w:marRight w:val="0"/>
                      <w:marTop w:val="0"/>
                      <w:marBottom w:val="0"/>
                      <w:divBdr>
                        <w:top w:val="none" w:sz="0" w:space="0" w:color="auto"/>
                        <w:left w:val="none" w:sz="0" w:space="0" w:color="auto"/>
                        <w:bottom w:val="none" w:sz="0" w:space="0" w:color="auto"/>
                        <w:right w:val="none" w:sz="0" w:space="0" w:color="auto"/>
                      </w:divBdr>
                      <w:divsChild>
                        <w:div w:id="656879890">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60956153">
      <w:bodyDiv w:val="1"/>
      <w:marLeft w:val="0"/>
      <w:marRight w:val="0"/>
      <w:marTop w:val="0"/>
      <w:marBottom w:val="0"/>
      <w:divBdr>
        <w:top w:val="none" w:sz="0" w:space="0" w:color="auto"/>
        <w:left w:val="none" w:sz="0" w:space="0" w:color="auto"/>
        <w:bottom w:val="none" w:sz="0" w:space="0" w:color="auto"/>
        <w:right w:val="none" w:sz="0" w:space="0" w:color="auto"/>
      </w:divBdr>
      <w:divsChild>
        <w:div w:id="1414425544">
          <w:marLeft w:val="0"/>
          <w:marRight w:val="0"/>
          <w:marTop w:val="150"/>
          <w:marBottom w:val="150"/>
          <w:divBdr>
            <w:top w:val="none" w:sz="0" w:space="0" w:color="auto"/>
            <w:left w:val="none" w:sz="0" w:space="0" w:color="auto"/>
            <w:bottom w:val="none" w:sz="0" w:space="0" w:color="auto"/>
            <w:right w:val="none" w:sz="0" w:space="0" w:color="auto"/>
          </w:divBdr>
          <w:divsChild>
            <w:div w:id="722406209">
              <w:marLeft w:val="0"/>
              <w:marRight w:val="0"/>
              <w:marTop w:val="0"/>
              <w:marBottom w:val="0"/>
              <w:divBdr>
                <w:top w:val="none" w:sz="0" w:space="0" w:color="auto"/>
                <w:left w:val="none" w:sz="0" w:space="0" w:color="auto"/>
                <w:bottom w:val="none" w:sz="0" w:space="0" w:color="auto"/>
                <w:right w:val="none" w:sz="0" w:space="0" w:color="auto"/>
              </w:divBdr>
              <w:divsChild>
                <w:div w:id="521091207">
                  <w:marLeft w:val="0"/>
                  <w:marRight w:val="0"/>
                  <w:marTop w:val="150"/>
                  <w:marBottom w:val="0"/>
                  <w:divBdr>
                    <w:top w:val="single" w:sz="6" w:space="11" w:color="DDDDDD"/>
                    <w:left w:val="single" w:sz="6" w:space="11" w:color="DDDDDD"/>
                    <w:bottom w:val="single" w:sz="6" w:space="11" w:color="DDDDDD"/>
                    <w:right w:val="single" w:sz="6" w:space="11" w:color="DDDDDD"/>
                  </w:divBdr>
                  <w:divsChild>
                    <w:div w:id="1501694721">
                      <w:marLeft w:val="0"/>
                      <w:marRight w:val="0"/>
                      <w:marTop w:val="0"/>
                      <w:marBottom w:val="0"/>
                      <w:divBdr>
                        <w:top w:val="none" w:sz="0" w:space="0" w:color="auto"/>
                        <w:left w:val="none" w:sz="0" w:space="0" w:color="auto"/>
                        <w:bottom w:val="none" w:sz="0" w:space="0" w:color="auto"/>
                        <w:right w:val="none" w:sz="0" w:space="0" w:color="auto"/>
                      </w:divBdr>
                      <w:divsChild>
                        <w:div w:id="210253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08176">
      <w:bodyDiv w:val="1"/>
      <w:marLeft w:val="0"/>
      <w:marRight w:val="0"/>
      <w:marTop w:val="0"/>
      <w:marBottom w:val="0"/>
      <w:divBdr>
        <w:top w:val="none" w:sz="0" w:space="0" w:color="auto"/>
        <w:left w:val="none" w:sz="0" w:space="0" w:color="auto"/>
        <w:bottom w:val="none" w:sz="0" w:space="0" w:color="auto"/>
        <w:right w:val="none" w:sz="0" w:space="0" w:color="auto"/>
      </w:divBdr>
    </w:div>
    <w:div w:id="85077339">
      <w:bodyDiv w:val="1"/>
      <w:marLeft w:val="0"/>
      <w:marRight w:val="0"/>
      <w:marTop w:val="0"/>
      <w:marBottom w:val="0"/>
      <w:divBdr>
        <w:top w:val="none" w:sz="0" w:space="0" w:color="auto"/>
        <w:left w:val="none" w:sz="0" w:space="0" w:color="auto"/>
        <w:bottom w:val="none" w:sz="0" w:space="0" w:color="auto"/>
        <w:right w:val="none" w:sz="0" w:space="0" w:color="auto"/>
      </w:divBdr>
      <w:divsChild>
        <w:div w:id="1647467406">
          <w:marLeft w:val="0"/>
          <w:marRight w:val="0"/>
          <w:marTop w:val="90"/>
          <w:marBottom w:val="105"/>
          <w:divBdr>
            <w:top w:val="none" w:sz="0" w:space="0" w:color="auto"/>
            <w:left w:val="none" w:sz="0" w:space="0" w:color="auto"/>
            <w:bottom w:val="none" w:sz="0" w:space="0" w:color="auto"/>
            <w:right w:val="none" w:sz="0" w:space="0" w:color="auto"/>
          </w:divBdr>
          <w:divsChild>
            <w:div w:id="1248806179">
              <w:marLeft w:val="0"/>
              <w:marRight w:val="0"/>
              <w:marTop w:val="0"/>
              <w:marBottom w:val="0"/>
              <w:divBdr>
                <w:top w:val="none" w:sz="0" w:space="0" w:color="auto"/>
                <w:left w:val="none" w:sz="0" w:space="0" w:color="auto"/>
                <w:bottom w:val="none" w:sz="0" w:space="0" w:color="auto"/>
                <w:right w:val="none" w:sz="0" w:space="0" w:color="auto"/>
              </w:divBdr>
              <w:divsChild>
                <w:div w:id="742145691">
                  <w:marLeft w:val="0"/>
                  <w:marRight w:val="0"/>
                  <w:marTop w:val="0"/>
                  <w:marBottom w:val="0"/>
                  <w:divBdr>
                    <w:top w:val="none" w:sz="0" w:space="0" w:color="auto"/>
                    <w:left w:val="none" w:sz="0" w:space="0" w:color="auto"/>
                    <w:bottom w:val="none" w:sz="0" w:space="0" w:color="auto"/>
                    <w:right w:val="none" w:sz="0" w:space="0" w:color="auto"/>
                  </w:divBdr>
                  <w:divsChild>
                    <w:div w:id="766728620">
                      <w:marLeft w:val="0"/>
                      <w:marRight w:val="0"/>
                      <w:marTop w:val="0"/>
                      <w:marBottom w:val="0"/>
                      <w:divBdr>
                        <w:top w:val="none" w:sz="0" w:space="0" w:color="auto"/>
                        <w:left w:val="none" w:sz="0" w:space="0" w:color="auto"/>
                        <w:bottom w:val="none" w:sz="0" w:space="0" w:color="auto"/>
                        <w:right w:val="none" w:sz="0" w:space="0" w:color="auto"/>
                      </w:divBdr>
                      <w:divsChild>
                        <w:div w:id="1601332629">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93138181">
      <w:bodyDiv w:val="1"/>
      <w:marLeft w:val="0"/>
      <w:marRight w:val="0"/>
      <w:marTop w:val="0"/>
      <w:marBottom w:val="0"/>
      <w:divBdr>
        <w:top w:val="none" w:sz="0" w:space="0" w:color="auto"/>
        <w:left w:val="none" w:sz="0" w:space="0" w:color="auto"/>
        <w:bottom w:val="none" w:sz="0" w:space="0" w:color="auto"/>
        <w:right w:val="none" w:sz="0" w:space="0" w:color="auto"/>
      </w:divBdr>
      <w:divsChild>
        <w:div w:id="1324815465">
          <w:marLeft w:val="0"/>
          <w:marRight w:val="0"/>
          <w:marTop w:val="75"/>
          <w:marBottom w:val="75"/>
          <w:divBdr>
            <w:top w:val="none" w:sz="0" w:space="0" w:color="auto"/>
            <w:left w:val="none" w:sz="0" w:space="0" w:color="auto"/>
            <w:bottom w:val="none" w:sz="0" w:space="0" w:color="auto"/>
            <w:right w:val="none" w:sz="0" w:space="0" w:color="auto"/>
          </w:divBdr>
          <w:divsChild>
            <w:div w:id="429474983">
              <w:marLeft w:val="0"/>
              <w:marRight w:val="0"/>
              <w:marTop w:val="0"/>
              <w:marBottom w:val="0"/>
              <w:divBdr>
                <w:top w:val="single" w:sz="6" w:space="0" w:color="BEBEBE"/>
                <w:left w:val="single" w:sz="6" w:space="0" w:color="BEBEBE"/>
                <w:bottom w:val="single" w:sz="6" w:space="0" w:color="BEBEBE"/>
                <w:right w:val="single" w:sz="6" w:space="0" w:color="BEBEBE"/>
              </w:divBdr>
              <w:divsChild>
                <w:div w:id="58525430">
                  <w:marLeft w:val="0"/>
                  <w:marRight w:val="0"/>
                  <w:marTop w:val="0"/>
                  <w:marBottom w:val="0"/>
                  <w:divBdr>
                    <w:top w:val="none" w:sz="0" w:space="0" w:color="auto"/>
                    <w:left w:val="none" w:sz="0" w:space="0" w:color="auto"/>
                    <w:bottom w:val="none" w:sz="0" w:space="0" w:color="auto"/>
                    <w:right w:val="none" w:sz="0" w:space="0" w:color="auto"/>
                  </w:divBdr>
                  <w:divsChild>
                    <w:div w:id="757019411">
                      <w:marLeft w:val="0"/>
                      <w:marRight w:val="0"/>
                      <w:marTop w:val="0"/>
                      <w:marBottom w:val="0"/>
                      <w:divBdr>
                        <w:top w:val="none" w:sz="0" w:space="0" w:color="auto"/>
                        <w:left w:val="none" w:sz="0" w:space="0" w:color="auto"/>
                        <w:bottom w:val="none" w:sz="0" w:space="0" w:color="auto"/>
                        <w:right w:val="none" w:sz="0" w:space="0" w:color="auto"/>
                      </w:divBdr>
                      <w:divsChild>
                        <w:div w:id="5538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69120">
      <w:bodyDiv w:val="1"/>
      <w:marLeft w:val="0"/>
      <w:marRight w:val="0"/>
      <w:marTop w:val="0"/>
      <w:marBottom w:val="0"/>
      <w:divBdr>
        <w:top w:val="none" w:sz="0" w:space="0" w:color="auto"/>
        <w:left w:val="none" w:sz="0" w:space="0" w:color="auto"/>
        <w:bottom w:val="none" w:sz="0" w:space="0" w:color="auto"/>
        <w:right w:val="none" w:sz="0" w:space="0" w:color="auto"/>
      </w:divBdr>
      <w:divsChild>
        <w:div w:id="186649968">
          <w:marLeft w:val="0"/>
          <w:marRight w:val="0"/>
          <w:marTop w:val="0"/>
          <w:marBottom w:val="0"/>
          <w:divBdr>
            <w:top w:val="none" w:sz="0" w:space="0" w:color="auto"/>
            <w:left w:val="none" w:sz="0" w:space="0" w:color="auto"/>
            <w:bottom w:val="none" w:sz="0" w:space="0" w:color="auto"/>
            <w:right w:val="none" w:sz="0" w:space="0" w:color="auto"/>
          </w:divBdr>
          <w:divsChild>
            <w:div w:id="875240553">
              <w:marLeft w:val="0"/>
              <w:marRight w:val="0"/>
              <w:marTop w:val="0"/>
              <w:marBottom w:val="0"/>
              <w:divBdr>
                <w:top w:val="none" w:sz="0" w:space="0" w:color="auto"/>
                <w:left w:val="none" w:sz="0" w:space="0" w:color="auto"/>
                <w:bottom w:val="none" w:sz="0" w:space="0" w:color="auto"/>
                <w:right w:val="none" w:sz="0" w:space="0" w:color="auto"/>
              </w:divBdr>
              <w:divsChild>
                <w:div w:id="1108892309">
                  <w:marLeft w:val="0"/>
                  <w:marRight w:val="150"/>
                  <w:marTop w:val="0"/>
                  <w:marBottom w:val="180"/>
                  <w:divBdr>
                    <w:top w:val="none" w:sz="0" w:space="0" w:color="auto"/>
                    <w:left w:val="none" w:sz="0" w:space="0" w:color="auto"/>
                    <w:bottom w:val="none" w:sz="0" w:space="0" w:color="auto"/>
                    <w:right w:val="none" w:sz="0" w:space="0" w:color="auto"/>
                  </w:divBdr>
                  <w:divsChild>
                    <w:div w:id="564528680">
                      <w:marLeft w:val="0"/>
                      <w:marRight w:val="0"/>
                      <w:marTop w:val="0"/>
                      <w:marBottom w:val="0"/>
                      <w:divBdr>
                        <w:top w:val="none" w:sz="0" w:space="0" w:color="auto"/>
                        <w:left w:val="none" w:sz="0" w:space="0" w:color="auto"/>
                        <w:bottom w:val="none" w:sz="0" w:space="0" w:color="auto"/>
                        <w:right w:val="none" w:sz="0" w:space="0" w:color="auto"/>
                      </w:divBdr>
                      <w:divsChild>
                        <w:div w:id="416487543">
                          <w:marLeft w:val="0"/>
                          <w:marRight w:val="0"/>
                          <w:marTop w:val="0"/>
                          <w:marBottom w:val="0"/>
                          <w:divBdr>
                            <w:top w:val="none" w:sz="0" w:space="0" w:color="auto"/>
                            <w:left w:val="none" w:sz="0" w:space="0" w:color="auto"/>
                            <w:bottom w:val="none" w:sz="0" w:space="0" w:color="auto"/>
                            <w:right w:val="none" w:sz="0" w:space="0" w:color="auto"/>
                          </w:divBdr>
                          <w:divsChild>
                            <w:div w:id="16090415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59346">
      <w:bodyDiv w:val="1"/>
      <w:marLeft w:val="0"/>
      <w:marRight w:val="0"/>
      <w:marTop w:val="0"/>
      <w:marBottom w:val="0"/>
      <w:divBdr>
        <w:top w:val="none" w:sz="0" w:space="0" w:color="auto"/>
        <w:left w:val="none" w:sz="0" w:space="0" w:color="auto"/>
        <w:bottom w:val="none" w:sz="0" w:space="0" w:color="auto"/>
        <w:right w:val="none" w:sz="0" w:space="0" w:color="auto"/>
      </w:divBdr>
      <w:divsChild>
        <w:div w:id="775908456">
          <w:marLeft w:val="0"/>
          <w:marRight w:val="0"/>
          <w:marTop w:val="0"/>
          <w:marBottom w:val="0"/>
          <w:divBdr>
            <w:top w:val="none" w:sz="0" w:space="0" w:color="auto"/>
            <w:left w:val="none" w:sz="0" w:space="0" w:color="auto"/>
            <w:bottom w:val="none" w:sz="0" w:space="0" w:color="auto"/>
            <w:right w:val="none" w:sz="0" w:space="0" w:color="auto"/>
          </w:divBdr>
        </w:div>
      </w:divsChild>
    </w:div>
    <w:div w:id="134221794">
      <w:bodyDiv w:val="1"/>
      <w:marLeft w:val="0"/>
      <w:marRight w:val="0"/>
      <w:marTop w:val="0"/>
      <w:marBottom w:val="0"/>
      <w:divBdr>
        <w:top w:val="none" w:sz="0" w:space="0" w:color="auto"/>
        <w:left w:val="none" w:sz="0" w:space="0" w:color="auto"/>
        <w:bottom w:val="none" w:sz="0" w:space="0" w:color="auto"/>
        <w:right w:val="none" w:sz="0" w:space="0" w:color="auto"/>
      </w:divBdr>
      <w:divsChild>
        <w:div w:id="975642066">
          <w:marLeft w:val="0"/>
          <w:marRight w:val="335"/>
          <w:marTop w:val="167"/>
          <w:marBottom w:val="167"/>
          <w:divBdr>
            <w:top w:val="single" w:sz="6" w:space="3" w:color="CDCDCD"/>
            <w:left w:val="single" w:sz="6" w:space="3" w:color="CDCDCD"/>
            <w:bottom w:val="single" w:sz="6" w:space="3" w:color="CDCDCD"/>
            <w:right w:val="single" w:sz="6" w:space="3" w:color="CDCDCD"/>
          </w:divBdr>
        </w:div>
      </w:divsChild>
    </w:div>
    <w:div w:id="138884811">
      <w:bodyDiv w:val="1"/>
      <w:marLeft w:val="0"/>
      <w:marRight w:val="0"/>
      <w:marTop w:val="0"/>
      <w:marBottom w:val="0"/>
      <w:divBdr>
        <w:top w:val="none" w:sz="0" w:space="0" w:color="auto"/>
        <w:left w:val="none" w:sz="0" w:space="0" w:color="auto"/>
        <w:bottom w:val="none" w:sz="0" w:space="0" w:color="auto"/>
        <w:right w:val="none" w:sz="0" w:space="0" w:color="auto"/>
      </w:divBdr>
      <w:divsChild>
        <w:div w:id="650601152">
          <w:marLeft w:val="0"/>
          <w:marRight w:val="0"/>
          <w:marTop w:val="90"/>
          <w:marBottom w:val="105"/>
          <w:divBdr>
            <w:top w:val="none" w:sz="0" w:space="0" w:color="auto"/>
            <w:left w:val="none" w:sz="0" w:space="0" w:color="auto"/>
            <w:bottom w:val="none" w:sz="0" w:space="0" w:color="auto"/>
            <w:right w:val="none" w:sz="0" w:space="0" w:color="auto"/>
          </w:divBdr>
          <w:divsChild>
            <w:div w:id="1778483056">
              <w:marLeft w:val="0"/>
              <w:marRight w:val="0"/>
              <w:marTop w:val="0"/>
              <w:marBottom w:val="0"/>
              <w:divBdr>
                <w:top w:val="none" w:sz="0" w:space="0" w:color="auto"/>
                <w:left w:val="none" w:sz="0" w:space="0" w:color="auto"/>
                <w:bottom w:val="none" w:sz="0" w:space="0" w:color="auto"/>
                <w:right w:val="none" w:sz="0" w:space="0" w:color="auto"/>
              </w:divBdr>
              <w:divsChild>
                <w:div w:id="70198304">
                  <w:marLeft w:val="0"/>
                  <w:marRight w:val="0"/>
                  <w:marTop w:val="0"/>
                  <w:marBottom w:val="0"/>
                  <w:divBdr>
                    <w:top w:val="none" w:sz="0" w:space="0" w:color="auto"/>
                    <w:left w:val="none" w:sz="0" w:space="0" w:color="auto"/>
                    <w:bottom w:val="none" w:sz="0" w:space="0" w:color="auto"/>
                    <w:right w:val="none" w:sz="0" w:space="0" w:color="auto"/>
                  </w:divBdr>
                  <w:divsChild>
                    <w:div w:id="927276584">
                      <w:marLeft w:val="0"/>
                      <w:marRight w:val="0"/>
                      <w:marTop w:val="0"/>
                      <w:marBottom w:val="0"/>
                      <w:divBdr>
                        <w:top w:val="none" w:sz="0" w:space="0" w:color="auto"/>
                        <w:left w:val="none" w:sz="0" w:space="0" w:color="auto"/>
                        <w:bottom w:val="none" w:sz="0" w:space="0" w:color="auto"/>
                        <w:right w:val="none" w:sz="0" w:space="0" w:color="auto"/>
                      </w:divBdr>
                      <w:divsChild>
                        <w:div w:id="1613130581">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147291488">
      <w:bodyDiv w:val="1"/>
      <w:marLeft w:val="0"/>
      <w:marRight w:val="0"/>
      <w:marTop w:val="0"/>
      <w:marBottom w:val="0"/>
      <w:divBdr>
        <w:top w:val="none" w:sz="0" w:space="0" w:color="auto"/>
        <w:left w:val="none" w:sz="0" w:space="0" w:color="auto"/>
        <w:bottom w:val="none" w:sz="0" w:space="0" w:color="auto"/>
        <w:right w:val="none" w:sz="0" w:space="0" w:color="auto"/>
      </w:divBdr>
      <w:divsChild>
        <w:div w:id="574902150">
          <w:marLeft w:val="547"/>
          <w:marRight w:val="0"/>
          <w:marTop w:val="86"/>
          <w:marBottom w:val="0"/>
          <w:divBdr>
            <w:top w:val="none" w:sz="0" w:space="0" w:color="auto"/>
            <w:left w:val="none" w:sz="0" w:space="0" w:color="auto"/>
            <w:bottom w:val="none" w:sz="0" w:space="0" w:color="auto"/>
            <w:right w:val="none" w:sz="0" w:space="0" w:color="auto"/>
          </w:divBdr>
        </w:div>
        <w:div w:id="2144233811">
          <w:marLeft w:val="547"/>
          <w:marRight w:val="0"/>
          <w:marTop w:val="86"/>
          <w:marBottom w:val="0"/>
          <w:divBdr>
            <w:top w:val="none" w:sz="0" w:space="0" w:color="auto"/>
            <w:left w:val="none" w:sz="0" w:space="0" w:color="auto"/>
            <w:bottom w:val="none" w:sz="0" w:space="0" w:color="auto"/>
            <w:right w:val="none" w:sz="0" w:space="0" w:color="auto"/>
          </w:divBdr>
        </w:div>
        <w:div w:id="1950971218">
          <w:marLeft w:val="547"/>
          <w:marRight w:val="0"/>
          <w:marTop w:val="86"/>
          <w:marBottom w:val="0"/>
          <w:divBdr>
            <w:top w:val="none" w:sz="0" w:space="0" w:color="auto"/>
            <w:left w:val="none" w:sz="0" w:space="0" w:color="auto"/>
            <w:bottom w:val="none" w:sz="0" w:space="0" w:color="auto"/>
            <w:right w:val="none" w:sz="0" w:space="0" w:color="auto"/>
          </w:divBdr>
        </w:div>
      </w:divsChild>
    </w:div>
    <w:div w:id="169377237">
      <w:bodyDiv w:val="1"/>
      <w:marLeft w:val="0"/>
      <w:marRight w:val="0"/>
      <w:marTop w:val="0"/>
      <w:marBottom w:val="0"/>
      <w:divBdr>
        <w:top w:val="none" w:sz="0" w:space="0" w:color="auto"/>
        <w:left w:val="none" w:sz="0" w:space="0" w:color="auto"/>
        <w:bottom w:val="none" w:sz="0" w:space="0" w:color="auto"/>
        <w:right w:val="none" w:sz="0" w:space="0" w:color="auto"/>
      </w:divBdr>
    </w:div>
    <w:div w:id="193467492">
      <w:bodyDiv w:val="1"/>
      <w:marLeft w:val="0"/>
      <w:marRight w:val="0"/>
      <w:marTop w:val="0"/>
      <w:marBottom w:val="0"/>
      <w:divBdr>
        <w:top w:val="none" w:sz="0" w:space="0" w:color="auto"/>
        <w:left w:val="none" w:sz="0" w:space="0" w:color="auto"/>
        <w:bottom w:val="none" w:sz="0" w:space="0" w:color="auto"/>
        <w:right w:val="none" w:sz="0" w:space="0" w:color="auto"/>
      </w:divBdr>
      <w:divsChild>
        <w:div w:id="1277829473">
          <w:marLeft w:val="0"/>
          <w:marRight w:val="0"/>
          <w:marTop w:val="75"/>
          <w:marBottom w:val="100"/>
          <w:divBdr>
            <w:top w:val="none" w:sz="0" w:space="0" w:color="auto"/>
            <w:left w:val="none" w:sz="0" w:space="0" w:color="auto"/>
            <w:bottom w:val="none" w:sz="0" w:space="0" w:color="auto"/>
            <w:right w:val="none" w:sz="0" w:space="0" w:color="auto"/>
          </w:divBdr>
          <w:divsChild>
            <w:div w:id="1534809977">
              <w:marLeft w:val="0"/>
              <w:marRight w:val="0"/>
              <w:marTop w:val="0"/>
              <w:marBottom w:val="0"/>
              <w:divBdr>
                <w:top w:val="none" w:sz="0" w:space="0" w:color="auto"/>
                <w:left w:val="none" w:sz="0" w:space="0" w:color="auto"/>
                <w:bottom w:val="none" w:sz="0" w:space="0" w:color="auto"/>
                <w:right w:val="none" w:sz="0" w:space="0" w:color="auto"/>
              </w:divBdr>
              <w:divsChild>
                <w:div w:id="849223988">
                  <w:marLeft w:val="0"/>
                  <w:marRight w:val="0"/>
                  <w:marTop w:val="0"/>
                  <w:marBottom w:val="0"/>
                  <w:divBdr>
                    <w:top w:val="single" w:sz="6" w:space="11" w:color="DDDEDE"/>
                    <w:left w:val="single" w:sz="6" w:space="11" w:color="DDDEDE"/>
                    <w:bottom w:val="single" w:sz="6" w:space="11" w:color="DDDEDE"/>
                    <w:right w:val="single" w:sz="6" w:space="11" w:color="DDDEDE"/>
                  </w:divBdr>
                </w:div>
              </w:divsChild>
            </w:div>
          </w:divsChild>
        </w:div>
      </w:divsChild>
    </w:div>
    <w:div w:id="242761316">
      <w:bodyDiv w:val="1"/>
      <w:marLeft w:val="0"/>
      <w:marRight w:val="0"/>
      <w:marTop w:val="0"/>
      <w:marBottom w:val="0"/>
      <w:divBdr>
        <w:top w:val="none" w:sz="0" w:space="0" w:color="auto"/>
        <w:left w:val="none" w:sz="0" w:space="0" w:color="auto"/>
        <w:bottom w:val="none" w:sz="0" w:space="0" w:color="auto"/>
        <w:right w:val="none" w:sz="0" w:space="0" w:color="auto"/>
      </w:divBdr>
    </w:div>
    <w:div w:id="264047451">
      <w:bodyDiv w:val="1"/>
      <w:marLeft w:val="0"/>
      <w:marRight w:val="0"/>
      <w:marTop w:val="0"/>
      <w:marBottom w:val="0"/>
      <w:divBdr>
        <w:top w:val="none" w:sz="0" w:space="0" w:color="auto"/>
        <w:left w:val="none" w:sz="0" w:space="0" w:color="auto"/>
        <w:bottom w:val="none" w:sz="0" w:space="0" w:color="auto"/>
        <w:right w:val="none" w:sz="0" w:space="0" w:color="auto"/>
      </w:divBdr>
    </w:div>
    <w:div w:id="273951328">
      <w:bodyDiv w:val="1"/>
      <w:marLeft w:val="0"/>
      <w:marRight w:val="0"/>
      <w:marTop w:val="0"/>
      <w:marBottom w:val="0"/>
      <w:divBdr>
        <w:top w:val="none" w:sz="0" w:space="0" w:color="auto"/>
        <w:left w:val="none" w:sz="0" w:space="0" w:color="auto"/>
        <w:bottom w:val="none" w:sz="0" w:space="0" w:color="auto"/>
        <w:right w:val="none" w:sz="0" w:space="0" w:color="auto"/>
      </w:divBdr>
      <w:divsChild>
        <w:div w:id="1605966306">
          <w:marLeft w:val="0"/>
          <w:marRight w:val="0"/>
          <w:marTop w:val="90"/>
          <w:marBottom w:val="105"/>
          <w:divBdr>
            <w:top w:val="none" w:sz="0" w:space="0" w:color="auto"/>
            <w:left w:val="none" w:sz="0" w:space="0" w:color="auto"/>
            <w:bottom w:val="none" w:sz="0" w:space="0" w:color="auto"/>
            <w:right w:val="none" w:sz="0" w:space="0" w:color="auto"/>
          </w:divBdr>
          <w:divsChild>
            <w:div w:id="2036929763">
              <w:marLeft w:val="0"/>
              <w:marRight w:val="0"/>
              <w:marTop w:val="0"/>
              <w:marBottom w:val="0"/>
              <w:divBdr>
                <w:top w:val="none" w:sz="0" w:space="0" w:color="auto"/>
                <w:left w:val="none" w:sz="0" w:space="0" w:color="auto"/>
                <w:bottom w:val="none" w:sz="0" w:space="0" w:color="auto"/>
                <w:right w:val="none" w:sz="0" w:space="0" w:color="auto"/>
              </w:divBdr>
              <w:divsChild>
                <w:div w:id="425806553">
                  <w:marLeft w:val="0"/>
                  <w:marRight w:val="0"/>
                  <w:marTop w:val="0"/>
                  <w:marBottom w:val="0"/>
                  <w:divBdr>
                    <w:top w:val="none" w:sz="0" w:space="0" w:color="auto"/>
                    <w:left w:val="none" w:sz="0" w:space="0" w:color="auto"/>
                    <w:bottom w:val="none" w:sz="0" w:space="0" w:color="auto"/>
                    <w:right w:val="none" w:sz="0" w:space="0" w:color="auto"/>
                  </w:divBdr>
                  <w:divsChild>
                    <w:div w:id="2003465925">
                      <w:marLeft w:val="0"/>
                      <w:marRight w:val="0"/>
                      <w:marTop w:val="0"/>
                      <w:marBottom w:val="0"/>
                      <w:divBdr>
                        <w:top w:val="none" w:sz="0" w:space="0" w:color="auto"/>
                        <w:left w:val="none" w:sz="0" w:space="0" w:color="auto"/>
                        <w:bottom w:val="none" w:sz="0" w:space="0" w:color="auto"/>
                        <w:right w:val="none" w:sz="0" w:space="0" w:color="auto"/>
                      </w:divBdr>
                      <w:divsChild>
                        <w:div w:id="1164276704">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294217318">
      <w:bodyDiv w:val="1"/>
      <w:marLeft w:val="0"/>
      <w:marRight w:val="0"/>
      <w:marTop w:val="0"/>
      <w:marBottom w:val="0"/>
      <w:divBdr>
        <w:top w:val="none" w:sz="0" w:space="0" w:color="auto"/>
        <w:left w:val="none" w:sz="0" w:space="0" w:color="auto"/>
        <w:bottom w:val="none" w:sz="0" w:space="0" w:color="auto"/>
        <w:right w:val="none" w:sz="0" w:space="0" w:color="auto"/>
      </w:divBdr>
    </w:div>
    <w:div w:id="312027417">
      <w:bodyDiv w:val="1"/>
      <w:marLeft w:val="0"/>
      <w:marRight w:val="0"/>
      <w:marTop w:val="0"/>
      <w:marBottom w:val="0"/>
      <w:divBdr>
        <w:top w:val="none" w:sz="0" w:space="0" w:color="auto"/>
        <w:left w:val="none" w:sz="0" w:space="0" w:color="auto"/>
        <w:bottom w:val="none" w:sz="0" w:space="0" w:color="auto"/>
        <w:right w:val="none" w:sz="0" w:space="0" w:color="auto"/>
      </w:divBdr>
      <w:divsChild>
        <w:div w:id="433207474">
          <w:marLeft w:val="0"/>
          <w:marRight w:val="0"/>
          <w:marTop w:val="90"/>
          <w:marBottom w:val="105"/>
          <w:divBdr>
            <w:top w:val="none" w:sz="0" w:space="0" w:color="auto"/>
            <w:left w:val="none" w:sz="0" w:space="0" w:color="auto"/>
            <w:bottom w:val="none" w:sz="0" w:space="0" w:color="auto"/>
            <w:right w:val="none" w:sz="0" w:space="0" w:color="auto"/>
          </w:divBdr>
          <w:divsChild>
            <w:div w:id="1187141395">
              <w:marLeft w:val="0"/>
              <w:marRight w:val="0"/>
              <w:marTop w:val="0"/>
              <w:marBottom w:val="0"/>
              <w:divBdr>
                <w:top w:val="none" w:sz="0" w:space="0" w:color="auto"/>
                <w:left w:val="none" w:sz="0" w:space="0" w:color="auto"/>
                <w:bottom w:val="none" w:sz="0" w:space="0" w:color="auto"/>
                <w:right w:val="none" w:sz="0" w:space="0" w:color="auto"/>
              </w:divBdr>
              <w:divsChild>
                <w:div w:id="1896507985">
                  <w:marLeft w:val="0"/>
                  <w:marRight w:val="0"/>
                  <w:marTop w:val="0"/>
                  <w:marBottom w:val="0"/>
                  <w:divBdr>
                    <w:top w:val="none" w:sz="0" w:space="0" w:color="auto"/>
                    <w:left w:val="none" w:sz="0" w:space="0" w:color="auto"/>
                    <w:bottom w:val="none" w:sz="0" w:space="0" w:color="auto"/>
                    <w:right w:val="none" w:sz="0" w:space="0" w:color="auto"/>
                  </w:divBdr>
                  <w:divsChild>
                    <w:div w:id="1331981526">
                      <w:marLeft w:val="0"/>
                      <w:marRight w:val="0"/>
                      <w:marTop w:val="0"/>
                      <w:marBottom w:val="0"/>
                      <w:divBdr>
                        <w:top w:val="none" w:sz="0" w:space="0" w:color="auto"/>
                        <w:left w:val="none" w:sz="0" w:space="0" w:color="auto"/>
                        <w:bottom w:val="none" w:sz="0" w:space="0" w:color="auto"/>
                        <w:right w:val="none" w:sz="0" w:space="0" w:color="auto"/>
                      </w:divBdr>
                      <w:divsChild>
                        <w:div w:id="982388872">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347492370">
      <w:bodyDiv w:val="1"/>
      <w:marLeft w:val="0"/>
      <w:marRight w:val="0"/>
      <w:marTop w:val="0"/>
      <w:marBottom w:val="0"/>
      <w:divBdr>
        <w:top w:val="none" w:sz="0" w:space="0" w:color="auto"/>
        <w:left w:val="none" w:sz="0" w:space="0" w:color="auto"/>
        <w:bottom w:val="none" w:sz="0" w:space="0" w:color="auto"/>
        <w:right w:val="none" w:sz="0" w:space="0" w:color="auto"/>
      </w:divBdr>
      <w:divsChild>
        <w:div w:id="1351378007">
          <w:marLeft w:val="0"/>
          <w:marRight w:val="0"/>
          <w:marTop w:val="90"/>
          <w:marBottom w:val="105"/>
          <w:divBdr>
            <w:top w:val="none" w:sz="0" w:space="0" w:color="auto"/>
            <w:left w:val="none" w:sz="0" w:space="0" w:color="auto"/>
            <w:bottom w:val="none" w:sz="0" w:space="0" w:color="auto"/>
            <w:right w:val="none" w:sz="0" w:space="0" w:color="auto"/>
          </w:divBdr>
          <w:divsChild>
            <w:div w:id="118767449">
              <w:marLeft w:val="0"/>
              <w:marRight w:val="0"/>
              <w:marTop w:val="0"/>
              <w:marBottom w:val="0"/>
              <w:divBdr>
                <w:top w:val="none" w:sz="0" w:space="0" w:color="auto"/>
                <w:left w:val="none" w:sz="0" w:space="0" w:color="auto"/>
                <w:bottom w:val="none" w:sz="0" w:space="0" w:color="auto"/>
                <w:right w:val="none" w:sz="0" w:space="0" w:color="auto"/>
              </w:divBdr>
              <w:divsChild>
                <w:div w:id="1367946440">
                  <w:marLeft w:val="0"/>
                  <w:marRight w:val="0"/>
                  <w:marTop w:val="0"/>
                  <w:marBottom w:val="0"/>
                  <w:divBdr>
                    <w:top w:val="none" w:sz="0" w:space="0" w:color="auto"/>
                    <w:left w:val="none" w:sz="0" w:space="0" w:color="auto"/>
                    <w:bottom w:val="none" w:sz="0" w:space="0" w:color="auto"/>
                    <w:right w:val="none" w:sz="0" w:space="0" w:color="auto"/>
                  </w:divBdr>
                  <w:divsChild>
                    <w:div w:id="1640652782">
                      <w:marLeft w:val="0"/>
                      <w:marRight w:val="0"/>
                      <w:marTop w:val="0"/>
                      <w:marBottom w:val="0"/>
                      <w:divBdr>
                        <w:top w:val="none" w:sz="0" w:space="0" w:color="auto"/>
                        <w:left w:val="none" w:sz="0" w:space="0" w:color="auto"/>
                        <w:bottom w:val="none" w:sz="0" w:space="0" w:color="auto"/>
                        <w:right w:val="none" w:sz="0" w:space="0" w:color="auto"/>
                      </w:divBdr>
                      <w:divsChild>
                        <w:div w:id="2058426956">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373383033">
      <w:bodyDiv w:val="1"/>
      <w:marLeft w:val="0"/>
      <w:marRight w:val="0"/>
      <w:marTop w:val="0"/>
      <w:marBottom w:val="0"/>
      <w:divBdr>
        <w:top w:val="none" w:sz="0" w:space="0" w:color="auto"/>
        <w:left w:val="none" w:sz="0" w:space="0" w:color="auto"/>
        <w:bottom w:val="none" w:sz="0" w:space="0" w:color="auto"/>
        <w:right w:val="none" w:sz="0" w:space="0" w:color="auto"/>
      </w:divBdr>
      <w:divsChild>
        <w:div w:id="1228422085">
          <w:marLeft w:val="0"/>
          <w:marRight w:val="0"/>
          <w:marTop w:val="0"/>
          <w:marBottom w:val="0"/>
          <w:divBdr>
            <w:top w:val="none" w:sz="0" w:space="0" w:color="auto"/>
            <w:left w:val="none" w:sz="0" w:space="0" w:color="auto"/>
            <w:bottom w:val="none" w:sz="0" w:space="0" w:color="auto"/>
            <w:right w:val="none" w:sz="0" w:space="0" w:color="auto"/>
          </w:divBdr>
          <w:divsChild>
            <w:div w:id="1989747186">
              <w:marLeft w:val="0"/>
              <w:marRight w:val="0"/>
              <w:marTop w:val="0"/>
              <w:marBottom w:val="0"/>
              <w:divBdr>
                <w:top w:val="none" w:sz="0" w:space="0" w:color="auto"/>
                <w:left w:val="none" w:sz="0" w:space="0" w:color="auto"/>
                <w:bottom w:val="none" w:sz="0" w:space="0" w:color="auto"/>
                <w:right w:val="none" w:sz="0" w:space="0" w:color="auto"/>
              </w:divBdr>
              <w:divsChild>
                <w:div w:id="1695619590">
                  <w:marLeft w:val="0"/>
                  <w:marRight w:val="150"/>
                  <w:marTop w:val="0"/>
                  <w:marBottom w:val="180"/>
                  <w:divBdr>
                    <w:top w:val="none" w:sz="0" w:space="0" w:color="auto"/>
                    <w:left w:val="none" w:sz="0" w:space="0" w:color="auto"/>
                    <w:bottom w:val="none" w:sz="0" w:space="0" w:color="auto"/>
                    <w:right w:val="none" w:sz="0" w:space="0" w:color="auto"/>
                  </w:divBdr>
                  <w:divsChild>
                    <w:div w:id="758067559">
                      <w:marLeft w:val="0"/>
                      <w:marRight w:val="0"/>
                      <w:marTop w:val="0"/>
                      <w:marBottom w:val="0"/>
                      <w:divBdr>
                        <w:top w:val="none" w:sz="0" w:space="0" w:color="auto"/>
                        <w:left w:val="none" w:sz="0" w:space="0" w:color="auto"/>
                        <w:bottom w:val="none" w:sz="0" w:space="0" w:color="auto"/>
                        <w:right w:val="none" w:sz="0" w:space="0" w:color="auto"/>
                      </w:divBdr>
                      <w:divsChild>
                        <w:div w:id="98071177">
                          <w:marLeft w:val="0"/>
                          <w:marRight w:val="0"/>
                          <w:marTop w:val="0"/>
                          <w:marBottom w:val="0"/>
                          <w:divBdr>
                            <w:top w:val="none" w:sz="0" w:space="0" w:color="auto"/>
                            <w:left w:val="none" w:sz="0" w:space="0" w:color="auto"/>
                            <w:bottom w:val="none" w:sz="0" w:space="0" w:color="auto"/>
                            <w:right w:val="none" w:sz="0" w:space="0" w:color="auto"/>
                          </w:divBdr>
                          <w:divsChild>
                            <w:div w:id="92006103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232458">
      <w:bodyDiv w:val="1"/>
      <w:marLeft w:val="0"/>
      <w:marRight w:val="0"/>
      <w:marTop w:val="0"/>
      <w:marBottom w:val="0"/>
      <w:divBdr>
        <w:top w:val="none" w:sz="0" w:space="0" w:color="auto"/>
        <w:left w:val="none" w:sz="0" w:space="0" w:color="auto"/>
        <w:bottom w:val="none" w:sz="0" w:space="0" w:color="auto"/>
        <w:right w:val="none" w:sz="0" w:space="0" w:color="auto"/>
      </w:divBdr>
      <w:divsChild>
        <w:div w:id="1163550717">
          <w:marLeft w:val="0"/>
          <w:marRight w:val="0"/>
          <w:marTop w:val="90"/>
          <w:marBottom w:val="105"/>
          <w:divBdr>
            <w:top w:val="none" w:sz="0" w:space="0" w:color="auto"/>
            <w:left w:val="none" w:sz="0" w:space="0" w:color="auto"/>
            <w:bottom w:val="none" w:sz="0" w:space="0" w:color="auto"/>
            <w:right w:val="none" w:sz="0" w:space="0" w:color="auto"/>
          </w:divBdr>
          <w:divsChild>
            <w:div w:id="2145804140">
              <w:marLeft w:val="0"/>
              <w:marRight w:val="0"/>
              <w:marTop w:val="0"/>
              <w:marBottom w:val="0"/>
              <w:divBdr>
                <w:top w:val="none" w:sz="0" w:space="0" w:color="auto"/>
                <w:left w:val="none" w:sz="0" w:space="0" w:color="auto"/>
                <w:bottom w:val="none" w:sz="0" w:space="0" w:color="auto"/>
                <w:right w:val="none" w:sz="0" w:space="0" w:color="auto"/>
              </w:divBdr>
              <w:divsChild>
                <w:div w:id="840774363">
                  <w:marLeft w:val="0"/>
                  <w:marRight w:val="0"/>
                  <w:marTop w:val="0"/>
                  <w:marBottom w:val="0"/>
                  <w:divBdr>
                    <w:top w:val="none" w:sz="0" w:space="0" w:color="auto"/>
                    <w:left w:val="none" w:sz="0" w:space="0" w:color="auto"/>
                    <w:bottom w:val="none" w:sz="0" w:space="0" w:color="auto"/>
                    <w:right w:val="none" w:sz="0" w:space="0" w:color="auto"/>
                  </w:divBdr>
                  <w:divsChild>
                    <w:div w:id="1425422097">
                      <w:marLeft w:val="0"/>
                      <w:marRight w:val="0"/>
                      <w:marTop w:val="0"/>
                      <w:marBottom w:val="0"/>
                      <w:divBdr>
                        <w:top w:val="none" w:sz="0" w:space="0" w:color="auto"/>
                        <w:left w:val="none" w:sz="0" w:space="0" w:color="auto"/>
                        <w:bottom w:val="none" w:sz="0" w:space="0" w:color="auto"/>
                        <w:right w:val="none" w:sz="0" w:space="0" w:color="auto"/>
                      </w:divBdr>
                      <w:divsChild>
                        <w:div w:id="769087413">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388920644">
      <w:bodyDiv w:val="1"/>
      <w:marLeft w:val="0"/>
      <w:marRight w:val="0"/>
      <w:marTop w:val="0"/>
      <w:marBottom w:val="0"/>
      <w:divBdr>
        <w:top w:val="none" w:sz="0" w:space="0" w:color="auto"/>
        <w:left w:val="none" w:sz="0" w:space="0" w:color="auto"/>
        <w:bottom w:val="none" w:sz="0" w:space="0" w:color="auto"/>
        <w:right w:val="none" w:sz="0" w:space="0" w:color="auto"/>
      </w:divBdr>
      <w:divsChild>
        <w:div w:id="1646080277">
          <w:marLeft w:val="0"/>
          <w:marRight w:val="0"/>
          <w:marTop w:val="90"/>
          <w:marBottom w:val="105"/>
          <w:divBdr>
            <w:top w:val="none" w:sz="0" w:space="0" w:color="auto"/>
            <w:left w:val="none" w:sz="0" w:space="0" w:color="auto"/>
            <w:bottom w:val="none" w:sz="0" w:space="0" w:color="auto"/>
            <w:right w:val="none" w:sz="0" w:space="0" w:color="auto"/>
          </w:divBdr>
          <w:divsChild>
            <w:div w:id="1991982454">
              <w:marLeft w:val="0"/>
              <w:marRight w:val="0"/>
              <w:marTop w:val="0"/>
              <w:marBottom w:val="0"/>
              <w:divBdr>
                <w:top w:val="none" w:sz="0" w:space="0" w:color="auto"/>
                <w:left w:val="none" w:sz="0" w:space="0" w:color="auto"/>
                <w:bottom w:val="none" w:sz="0" w:space="0" w:color="auto"/>
                <w:right w:val="none" w:sz="0" w:space="0" w:color="auto"/>
              </w:divBdr>
              <w:divsChild>
                <w:div w:id="1028599754">
                  <w:marLeft w:val="0"/>
                  <w:marRight w:val="0"/>
                  <w:marTop w:val="0"/>
                  <w:marBottom w:val="0"/>
                  <w:divBdr>
                    <w:top w:val="none" w:sz="0" w:space="0" w:color="auto"/>
                    <w:left w:val="none" w:sz="0" w:space="0" w:color="auto"/>
                    <w:bottom w:val="none" w:sz="0" w:space="0" w:color="auto"/>
                    <w:right w:val="none" w:sz="0" w:space="0" w:color="auto"/>
                  </w:divBdr>
                  <w:divsChild>
                    <w:div w:id="515773733">
                      <w:marLeft w:val="0"/>
                      <w:marRight w:val="0"/>
                      <w:marTop w:val="0"/>
                      <w:marBottom w:val="0"/>
                      <w:divBdr>
                        <w:top w:val="none" w:sz="0" w:space="0" w:color="auto"/>
                        <w:left w:val="none" w:sz="0" w:space="0" w:color="auto"/>
                        <w:bottom w:val="none" w:sz="0" w:space="0" w:color="auto"/>
                        <w:right w:val="none" w:sz="0" w:space="0" w:color="auto"/>
                      </w:divBdr>
                      <w:divsChild>
                        <w:div w:id="1454254961">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436023375">
      <w:bodyDiv w:val="1"/>
      <w:marLeft w:val="0"/>
      <w:marRight w:val="0"/>
      <w:marTop w:val="0"/>
      <w:marBottom w:val="0"/>
      <w:divBdr>
        <w:top w:val="none" w:sz="0" w:space="0" w:color="auto"/>
        <w:left w:val="none" w:sz="0" w:space="0" w:color="auto"/>
        <w:bottom w:val="none" w:sz="0" w:space="0" w:color="auto"/>
        <w:right w:val="none" w:sz="0" w:space="0" w:color="auto"/>
      </w:divBdr>
    </w:div>
    <w:div w:id="442459877">
      <w:bodyDiv w:val="1"/>
      <w:marLeft w:val="0"/>
      <w:marRight w:val="0"/>
      <w:marTop w:val="0"/>
      <w:marBottom w:val="0"/>
      <w:divBdr>
        <w:top w:val="none" w:sz="0" w:space="0" w:color="auto"/>
        <w:left w:val="none" w:sz="0" w:space="0" w:color="auto"/>
        <w:bottom w:val="none" w:sz="0" w:space="0" w:color="auto"/>
        <w:right w:val="none" w:sz="0" w:space="0" w:color="auto"/>
      </w:divBdr>
      <w:divsChild>
        <w:div w:id="782193393">
          <w:marLeft w:val="0"/>
          <w:marRight w:val="335"/>
          <w:marTop w:val="167"/>
          <w:marBottom w:val="167"/>
          <w:divBdr>
            <w:top w:val="single" w:sz="6" w:space="3" w:color="CDCDCD"/>
            <w:left w:val="single" w:sz="6" w:space="3" w:color="CDCDCD"/>
            <w:bottom w:val="single" w:sz="6" w:space="3" w:color="CDCDCD"/>
            <w:right w:val="single" w:sz="6" w:space="3" w:color="CDCDCD"/>
          </w:divBdr>
        </w:div>
      </w:divsChild>
    </w:div>
    <w:div w:id="446318653">
      <w:bodyDiv w:val="1"/>
      <w:marLeft w:val="0"/>
      <w:marRight w:val="0"/>
      <w:marTop w:val="0"/>
      <w:marBottom w:val="0"/>
      <w:divBdr>
        <w:top w:val="none" w:sz="0" w:space="0" w:color="auto"/>
        <w:left w:val="none" w:sz="0" w:space="0" w:color="auto"/>
        <w:bottom w:val="none" w:sz="0" w:space="0" w:color="auto"/>
        <w:right w:val="none" w:sz="0" w:space="0" w:color="auto"/>
      </w:divBdr>
      <w:divsChild>
        <w:div w:id="1991983489">
          <w:marLeft w:val="0"/>
          <w:marRight w:val="0"/>
          <w:marTop w:val="150"/>
          <w:marBottom w:val="150"/>
          <w:divBdr>
            <w:top w:val="none" w:sz="0" w:space="0" w:color="auto"/>
            <w:left w:val="none" w:sz="0" w:space="0" w:color="auto"/>
            <w:bottom w:val="none" w:sz="0" w:space="0" w:color="auto"/>
            <w:right w:val="none" w:sz="0" w:space="0" w:color="auto"/>
          </w:divBdr>
          <w:divsChild>
            <w:div w:id="435752320">
              <w:marLeft w:val="0"/>
              <w:marRight w:val="0"/>
              <w:marTop w:val="0"/>
              <w:marBottom w:val="0"/>
              <w:divBdr>
                <w:top w:val="none" w:sz="0" w:space="0" w:color="auto"/>
                <w:left w:val="none" w:sz="0" w:space="0" w:color="auto"/>
                <w:bottom w:val="none" w:sz="0" w:space="0" w:color="auto"/>
                <w:right w:val="none" w:sz="0" w:space="0" w:color="auto"/>
              </w:divBdr>
              <w:divsChild>
                <w:div w:id="213280302">
                  <w:marLeft w:val="0"/>
                  <w:marRight w:val="0"/>
                  <w:marTop w:val="150"/>
                  <w:marBottom w:val="0"/>
                  <w:divBdr>
                    <w:top w:val="single" w:sz="6" w:space="11" w:color="DDDDDD"/>
                    <w:left w:val="single" w:sz="6" w:space="11" w:color="DDDDDD"/>
                    <w:bottom w:val="single" w:sz="6" w:space="11" w:color="DDDDDD"/>
                    <w:right w:val="single" w:sz="6" w:space="11" w:color="DDDDDD"/>
                  </w:divBdr>
                  <w:divsChild>
                    <w:div w:id="1793555969">
                      <w:marLeft w:val="0"/>
                      <w:marRight w:val="0"/>
                      <w:marTop w:val="0"/>
                      <w:marBottom w:val="0"/>
                      <w:divBdr>
                        <w:top w:val="none" w:sz="0" w:space="0" w:color="auto"/>
                        <w:left w:val="none" w:sz="0" w:space="0" w:color="auto"/>
                        <w:bottom w:val="none" w:sz="0" w:space="0" w:color="auto"/>
                        <w:right w:val="none" w:sz="0" w:space="0" w:color="auto"/>
                      </w:divBdr>
                      <w:divsChild>
                        <w:div w:id="16849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601324">
      <w:bodyDiv w:val="1"/>
      <w:marLeft w:val="0"/>
      <w:marRight w:val="0"/>
      <w:marTop w:val="0"/>
      <w:marBottom w:val="0"/>
      <w:divBdr>
        <w:top w:val="none" w:sz="0" w:space="0" w:color="auto"/>
        <w:left w:val="none" w:sz="0" w:space="0" w:color="auto"/>
        <w:bottom w:val="none" w:sz="0" w:space="0" w:color="auto"/>
        <w:right w:val="none" w:sz="0" w:space="0" w:color="auto"/>
      </w:divBdr>
      <w:divsChild>
        <w:div w:id="1937861130">
          <w:marLeft w:val="0"/>
          <w:marRight w:val="0"/>
          <w:marTop w:val="90"/>
          <w:marBottom w:val="105"/>
          <w:divBdr>
            <w:top w:val="none" w:sz="0" w:space="0" w:color="auto"/>
            <w:left w:val="none" w:sz="0" w:space="0" w:color="auto"/>
            <w:bottom w:val="none" w:sz="0" w:space="0" w:color="auto"/>
            <w:right w:val="none" w:sz="0" w:space="0" w:color="auto"/>
          </w:divBdr>
          <w:divsChild>
            <w:div w:id="1143891941">
              <w:marLeft w:val="0"/>
              <w:marRight w:val="0"/>
              <w:marTop w:val="0"/>
              <w:marBottom w:val="0"/>
              <w:divBdr>
                <w:top w:val="none" w:sz="0" w:space="0" w:color="auto"/>
                <w:left w:val="none" w:sz="0" w:space="0" w:color="auto"/>
                <w:bottom w:val="none" w:sz="0" w:space="0" w:color="auto"/>
                <w:right w:val="none" w:sz="0" w:space="0" w:color="auto"/>
              </w:divBdr>
              <w:divsChild>
                <w:div w:id="1880122373">
                  <w:marLeft w:val="0"/>
                  <w:marRight w:val="0"/>
                  <w:marTop w:val="0"/>
                  <w:marBottom w:val="0"/>
                  <w:divBdr>
                    <w:top w:val="none" w:sz="0" w:space="0" w:color="auto"/>
                    <w:left w:val="none" w:sz="0" w:space="0" w:color="auto"/>
                    <w:bottom w:val="none" w:sz="0" w:space="0" w:color="auto"/>
                    <w:right w:val="none" w:sz="0" w:space="0" w:color="auto"/>
                  </w:divBdr>
                  <w:divsChild>
                    <w:div w:id="686752584">
                      <w:marLeft w:val="0"/>
                      <w:marRight w:val="0"/>
                      <w:marTop w:val="0"/>
                      <w:marBottom w:val="0"/>
                      <w:divBdr>
                        <w:top w:val="none" w:sz="0" w:space="0" w:color="auto"/>
                        <w:left w:val="none" w:sz="0" w:space="0" w:color="auto"/>
                        <w:bottom w:val="none" w:sz="0" w:space="0" w:color="auto"/>
                        <w:right w:val="none" w:sz="0" w:space="0" w:color="auto"/>
                      </w:divBdr>
                      <w:divsChild>
                        <w:div w:id="1445423279">
                          <w:marLeft w:val="0"/>
                          <w:marRight w:val="0"/>
                          <w:marTop w:val="0"/>
                          <w:marBottom w:val="0"/>
                          <w:divBdr>
                            <w:top w:val="single" w:sz="6" w:space="11" w:color="82D0F4"/>
                            <w:left w:val="single" w:sz="6" w:space="11" w:color="82D0F4"/>
                            <w:bottom w:val="single" w:sz="6" w:space="4" w:color="82D0F4"/>
                            <w:right w:val="single" w:sz="6" w:space="11" w:color="82D0F4"/>
                          </w:divBdr>
                          <w:divsChild>
                            <w:div w:id="2016033609">
                              <w:marLeft w:val="0"/>
                              <w:marRight w:val="0"/>
                              <w:marTop w:val="0"/>
                              <w:marBottom w:val="0"/>
                              <w:divBdr>
                                <w:top w:val="none" w:sz="0" w:space="0" w:color="auto"/>
                                <w:left w:val="none" w:sz="0" w:space="0" w:color="auto"/>
                                <w:bottom w:val="dashed" w:sz="6" w:space="0" w:color="CCCCCC"/>
                                <w:right w:val="none" w:sz="0" w:space="0" w:color="auto"/>
                              </w:divBdr>
                            </w:div>
                            <w:div w:id="2105179274">
                              <w:marLeft w:val="0"/>
                              <w:marRight w:val="0"/>
                              <w:marTop w:val="0"/>
                              <w:marBottom w:val="0"/>
                              <w:divBdr>
                                <w:top w:val="none" w:sz="0" w:space="0" w:color="auto"/>
                                <w:left w:val="none" w:sz="0" w:space="0" w:color="auto"/>
                                <w:bottom w:val="none" w:sz="0" w:space="0" w:color="auto"/>
                                <w:right w:val="none" w:sz="0" w:space="0" w:color="auto"/>
                              </w:divBdr>
                              <w:divsChild>
                                <w:div w:id="20000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252201">
      <w:bodyDiv w:val="1"/>
      <w:marLeft w:val="0"/>
      <w:marRight w:val="0"/>
      <w:marTop w:val="0"/>
      <w:marBottom w:val="0"/>
      <w:divBdr>
        <w:top w:val="none" w:sz="0" w:space="0" w:color="auto"/>
        <w:left w:val="none" w:sz="0" w:space="0" w:color="auto"/>
        <w:bottom w:val="none" w:sz="0" w:space="0" w:color="auto"/>
        <w:right w:val="none" w:sz="0" w:space="0" w:color="auto"/>
      </w:divBdr>
      <w:divsChild>
        <w:div w:id="793251795">
          <w:marLeft w:val="0"/>
          <w:marRight w:val="0"/>
          <w:marTop w:val="90"/>
          <w:marBottom w:val="105"/>
          <w:divBdr>
            <w:top w:val="none" w:sz="0" w:space="0" w:color="auto"/>
            <w:left w:val="none" w:sz="0" w:space="0" w:color="auto"/>
            <w:bottom w:val="none" w:sz="0" w:space="0" w:color="auto"/>
            <w:right w:val="none" w:sz="0" w:space="0" w:color="auto"/>
          </w:divBdr>
          <w:divsChild>
            <w:div w:id="419713771">
              <w:marLeft w:val="0"/>
              <w:marRight w:val="0"/>
              <w:marTop w:val="0"/>
              <w:marBottom w:val="0"/>
              <w:divBdr>
                <w:top w:val="none" w:sz="0" w:space="0" w:color="auto"/>
                <w:left w:val="none" w:sz="0" w:space="0" w:color="auto"/>
                <w:bottom w:val="none" w:sz="0" w:space="0" w:color="auto"/>
                <w:right w:val="none" w:sz="0" w:space="0" w:color="auto"/>
              </w:divBdr>
              <w:divsChild>
                <w:div w:id="1379823010">
                  <w:marLeft w:val="0"/>
                  <w:marRight w:val="0"/>
                  <w:marTop w:val="0"/>
                  <w:marBottom w:val="0"/>
                  <w:divBdr>
                    <w:top w:val="none" w:sz="0" w:space="0" w:color="auto"/>
                    <w:left w:val="none" w:sz="0" w:space="0" w:color="auto"/>
                    <w:bottom w:val="none" w:sz="0" w:space="0" w:color="auto"/>
                    <w:right w:val="none" w:sz="0" w:space="0" w:color="auto"/>
                  </w:divBdr>
                  <w:divsChild>
                    <w:div w:id="918564963">
                      <w:marLeft w:val="0"/>
                      <w:marRight w:val="0"/>
                      <w:marTop w:val="0"/>
                      <w:marBottom w:val="0"/>
                      <w:divBdr>
                        <w:top w:val="none" w:sz="0" w:space="0" w:color="auto"/>
                        <w:left w:val="none" w:sz="0" w:space="0" w:color="auto"/>
                        <w:bottom w:val="none" w:sz="0" w:space="0" w:color="auto"/>
                        <w:right w:val="none" w:sz="0" w:space="0" w:color="auto"/>
                      </w:divBdr>
                      <w:divsChild>
                        <w:div w:id="667951745">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495264978">
      <w:bodyDiv w:val="1"/>
      <w:marLeft w:val="0"/>
      <w:marRight w:val="0"/>
      <w:marTop w:val="0"/>
      <w:marBottom w:val="0"/>
      <w:divBdr>
        <w:top w:val="none" w:sz="0" w:space="0" w:color="auto"/>
        <w:left w:val="none" w:sz="0" w:space="0" w:color="auto"/>
        <w:bottom w:val="none" w:sz="0" w:space="0" w:color="auto"/>
        <w:right w:val="none" w:sz="0" w:space="0" w:color="auto"/>
      </w:divBdr>
      <w:divsChild>
        <w:div w:id="1486048352">
          <w:marLeft w:val="0"/>
          <w:marRight w:val="0"/>
          <w:marTop w:val="150"/>
          <w:marBottom w:val="150"/>
          <w:divBdr>
            <w:top w:val="none" w:sz="0" w:space="0" w:color="auto"/>
            <w:left w:val="none" w:sz="0" w:space="0" w:color="auto"/>
            <w:bottom w:val="none" w:sz="0" w:space="0" w:color="auto"/>
            <w:right w:val="none" w:sz="0" w:space="0" w:color="auto"/>
          </w:divBdr>
          <w:divsChild>
            <w:div w:id="593826793">
              <w:marLeft w:val="0"/>
              <w:marRight w:val="0"/>
              <w:marTop w:val="0"/>
              <w:marBottom w:val="0"/>
              <w:divBdr>
                <w:top w:val="none" w:sz="0" w:space="0" w:color="auto"/>
                <w:left w:val="none" w:sz="0" w:space="0" w:color="auto"/>
                <w:bottom w:val="none" w:sz="0" w:space="0" w:color="auto"/>
                <w:right w:val="none" w:sz="0" w:space="0" w:color="auto"/>
              </w:divBdr>
              <w:divsChild>
                <w:div w:id="1259949726">
                  <w:marLeft w:val="0"/>
                  <w:marRight w:val="0"/>
                  <w:marTop w:val="150"/>
                  <w:marBottom w:val="0"/>
                  <w:divBdr>
                    <w:top w:val="single" w:sz="6" w:space="11" w:color="DDDDDD"/>
                    <w:left w:val="single" w:sz="6" w:space="11" w:color="DDDDDD"/>
                    <w:bottom w:val="single" w:sz="6" w:space="11" w:color="DDDDDD"/>
                    <w:right w:val="single" w:sz="6" w:space="11" w:color="DDDDDD"/>
                  </w:divBdr>
                  <w:divsChild>
                    <w:div w:id="1638948959">
                      <w:marLeft w:val="0"/>
                      <w:marRight w:val="0"/>
                      <w:marTop w:val="0"/>
                      <w:marBottom w:val="0"/>
                      <w:divBdr>
                        <w:top w:val="none" w:sz="0" w:space="0" w:color="auto"/>
                        <w:left w:val="none" w:sz="0" w:space="0" w:color="auto"/>
                        <w:bottom w:val="none" w:sz="0" w:space="0" w:color="auto"/>
                        <w:right w:val="none" w:sz="0" w:space="0" w:color="auto"/>
                      </w:divBdr>
                      <w:divsChild>
                        <w:div w:id="3596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395386">
      <w:bodyDiv w:val="1"/>
      <w:marLeft w:val="0"/>
      <w:marRight w:val="0"/>
      <w:marTop w:val="0"/>
      <w:marBottom w:val="0"/>
      <w:divBdr>
        <w:top w:val="none" w:sz="0" w:space="0" w:color="auto"/>
        <w:left w:val="none" w:sz="0" w:space="0" w:color="auto"/>
        <w:bottom w:val="none" w:sz="0" w:space="0" w:color="auto"/>
        <w:right w:val="none" w:sz="0" w:space="0" w:color="auto"/>
      </w:divBdr>
      <w:divsChild>
        <w:div w:id="318314752">
          <w:marLeft w:val="0"/>
          <w:marRight w:val="0"/>
          <w:marTop w:val="0"/>
          <w:marBottom w:val="0"/>
          <w:divBdr>
            <w:top w:val="none" w:sz="0" w:space="0" w:color="auto"/>
            <w:left w:val="none" w:sz="0" w:space="0" w:color="auto"/>
            <w:bottom w:val="none" w:sz="0" w:space="0" w:color="auto"/>
            <w:right w:val="none" w:sz="0" w:space="0" w:color="auto"/>
          </w:divBdr>
          <w:divsChild>
            <w:div w:id="962885514">
              <w:marLeft w:val="0"/>
              <w:marRight w:val="0"/>
              <w:marTop w:val="0"/>
              <w:marBottom w:val="0"/>
              <w:divBdr>
                <w:top w:val="none" w:sz="0" w:space="0" w:color="auto"/>
                <w:left w:val="none" w:sz="0" w:space="0" w:color="auto"/>
                <w:bottom w:val="none" w:sz="0" w:space="0" w:color="auto"/>
                <w:right w:val="none" w:sz="0" w:space="0" w:color="auto"/>
              </w:divBdr>
              <w:divsChild>
                <w:div w:id="1824158456">
                  <w:marLeft w:val="0"/>
                  <w:marRight w:val="0"/>
                  <w:marTop w:val="0"/>
                  <w:marBottom w:val="0"/>
                  <w:divBdr>
                    <w:top w:val="single" w:sz="18" w:space="0" w:color="08237A"/>
                    <w:left w:val="none" w:sz="0" w:space="0" w:color="auto"/>
                    <w:bottom w:val="none" w:sz="0" w:space="0" w:color="auto"/>
                    <w:right w:val="none" w:sz="0" w:space="0" w:color="auto"/>
                  </w:divBdr>
                  <w:divsChild>
                    <w:div w:id="601571455">
                      <w:marLeft w:val="0"/>
                      <w:marRight w:val="0"/>
                      <w:marTop w:val="0"/>
                      <w:marBottom w:val="0"/>
                      <w:divBdr>
                        <w:top w:val="single" w:sz="2" w:space="8" w:color="BBBBBB"/>
                        <w:left w:val="single" w:sz="6" w:space="0" w:color="BBBBBB"/>
                        <w:bottom w:val="single" w:sz="6" w:space="0" w:color="BBBBBB"/>
                        <w:right w:val="single" w:sz="6" w:space="0" w:color="BBBBBB"/>
                      </w:divBdr>
                      <w:divsChild>
                        <w:div w:id="2117556484">
                          <w:marLeft w:val="0"/>
                          <w:marRight w:val="0"/>
                          <w:marTop w:val="0"/>
                          <w:marBottom w:val="0"/>
                          <w:divBdr>
                            <w:top w:val="none" w:sz="0" w:space="0" w:color="auto"/>
                            <w:left w:val="none" w:sz="0" w:space="0" w:color="auto"/>
                            <w:bottom w:val="none" w:sz="0" w:space="0" w:color="auto"/>
                            <w:right w:val="none" w:sz="0" w:space="0" w:color="auto"/>
                          </w:divBdr>
                          <w:divsChild>
                            <w:div w:id="1261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023541">
      <w:bodyDiv w:val="1"/>
      <w:marLeft w:val="0"/>
      <w:marRight w:val="0"/>
      <w:marTop w:val="0"/>
      <w:marBottom w:val="0"/>
      <w:divBdr>
        <w:top w:val="none" w:sz="0" w:space="0" w:color="auto"/>
        <w:left w:val="none" w:sz="0" w:space="0" w:color="auto"/>
        <w:bottom w:val="none" w:sz="0" w:space="0" w:color="auto"/>
        <w:right w:val="none" w:sz="0" w:space="0" w:color="auto"/>
      </w:divBdr>
      <w:divsChild>
        <w:div w:id="1491554153">
          <w:marLeft w:val="0"/>
          <w:marRight w:val="0"/>
          <w:marTop w:val="90"/>
          <w:marBottom w:val="105"/>
          <w:divBdr>
            <w:top w:val="none" w:sz="0" w:space="0" w:color="auto"/>
            <w:left w:val="none" w:sz="0" w:space="0" w:color="auto"/>
            <w:bottom w:val="none" w:sz="0" w:space="0" w:color="auto"/>
            <w:right w:val="none" w:sz="0" w:space="0" w:color="auto"/>
          </w:divBdr>
          <w:divsChild>
            <w:div w:id="959872481">
              <w:marLeft w:val="0"/>
              <w:marRight w:val="0"/>
              <w:marTop w:val="0"/>
              <w:marBottom w:val="0"/>
              <w:divBdr>
                <w:top w:val="none" w:sz="0" w:space="0" w:color="auto"/>
                <w:left w:val="none" w:sz="0" w:space="0" w:color="auto"/>
                <w:bottom w:val="none" w:sz="0" w:space="0" w:color="auto"/>
                <w:right w:val="none" w:sz="0" w:space="0" w:color="auto"/>
              </w:divBdr>
              <w:divsChild>
                <w:div w:id="140922627">
                  <w:marLeft w:val="0"/>
                  <w:marRight w:val="0"/>
                  <w:marTop w:val="0"/>
                  <w:marBottom w:val="0"/>
                  <w:divBdr>
                    <w:top w:val="none" w:sz="0" w:space="0" w:color="auto"/>
                    <w:left w:val="none" w:sz="0" w:space="0" w:color="auto"/>
                    <w:bottom w:val="none" w:sz="0" w:space="0" w:color="auto"/>
                    <w:right w:val="none" w:sz="0" w:space="0" w:color="auto"/>
                  </w:divBdr>
                  <w:divsChild>
                    <w:div w:id="1355644500">
                      <w:marLeft w:val="0"/>
                      <w:marRight w:val="0"/>
                      <w:marTop w:val="0"/>
                      <w:marBottom w:val="0"/>
                      <w:divBdr>
                        <w:top w:val="none" w:sz="0" w:space="0" w:color="auto"/>
                        <w:left w:val="none" w:sz="0" w:space="0" w:color="auto"/>
                        <w:bottom w:val="none" w:sz="0" w:space="0" w:color="auto"/>
                        <w:right w:val="none" w:sz="0" w:space="0" w:color="auto"/>
                      </w:divBdr>
                      <w:divsChild>
                        <w:div w:id="797799871">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539586035">
      <w:bodyDiv w:val="1"/>
      <w:marLeft w:val="0"/>
      <w:marRight w:val="0"/>
      <w:marTop w:val="0"/>
      <w:marBottom w:val="0"/>
      <w:divBdr>
        <w:top w:val="none" w:sz="0" w:space="0" w:color="auto"/>
        <w:left w:val="none" w:sz="0" w:space="0" w:color="auto"/>
        <w:bottom w:val="none" w:sz="0" w:space="0" w:color="auto"/>
        <w:right w:val="none" w:sz="0" w:space="0" w:color="auto"/>
      </w:divBdr>
    </w:div>
    <w:div w:id="555237053">
      <w:bodyDiv w:val="1"/>
      <w:marLeft w:val="0"/>
      <w:marRight w:val="0"/>
      <w:marTop w:val="0"/>
      <w:marBottom w:val="0"/>
      <w:divBdr>
        <w:top w:val="none" w:sz="0" w:space="0" w:color="auto"/>
        <w:left w:val="none" w:sz="0" w:space="0" w:color="auto"/>
        <w:bottom w:val="none" w:sz="0" w:space="0" w:color="auto"/>
        <w:right w:val="none" w:sz="0" w:space="0" w:color="auto"/>
      </w:divBdr>
    </w:div>
    <w:div w:id="567420413">
      <w:bodyDiv w:val="1"/>
      <w:marLeft w:val="0"/>
      <w:marRight w:val="0"/>
      <w:marTop w:val="0"/>
      <w:marBottom w:val="0"/>
      <w:divBdr>
        <w:top w:val="none" w:sz="0" w:space="0" w:color="auto"/>
        <w:left w:val="none" w:sz="0" w:space="0" w:color="auto"/>
        <w:bottom w:val="none" w:sz="0" w:space="0" w:color="auto"/>
        <w:right w:val="none" w:sz="0" w:space="0" w:color="auto"/>
      </w:divBdr>
      <w:divsChild>
        <w:div w:id="1364136405">
          <w:marLeft w:val="0"/>
          <w:marRight w:val="0"/>
          <w:marTop w:val="75"/>
          <w:marBottom w:val="75"/>
          <w:divBdr>
            <w:top w:val="none" w:sz="0" w:space="0" w:color="auto"/>
            <w:left w:val="none" w:sz="0" w:space="0" w:color="auto"/>
            <w:bottom w:val="none" w:sz="0" w:space="0" w:color="auto"/>
            <w:right w:val="none" w:sz="0" w:space="0" w:color="auto"/>
          </w:divBdr>
          <w:divsChild>
            <w:div w:id="58792543">
              <w:marLeft w:val="0"/>
              <w:marRight w:val="0"/>
              <w:marTop w:val="0"/>
              <w:marBottom w:val="0"/>
              <w:divBdr>
                <w:top w:val="single" w:sz="6" w:space="0" w:color="BEBEBE"/>
                <w:left w:val="single" w:sz="6" w:space="0" w:color="BEBEBE"/>
                <w:bottom w:val="single" w:sz="6" w:space="0" w:color="BEBEBE"/>
                <w:right w:val="single" w:sz="6" w:space="0" w:color="BEBEBE"/>
              </w:divBdr>
              <w:divsChild>
                <w:div w:id="602760686">
                  <w:marLeft w:val="0"/>
                  <w:marRight w:val="0"/>
                  <w:marTop w:val="0"/>
                  <w:marBottom w:val="0"/>
                  <w:divBdr>
                    <w:top w:val="none" w:sz="0" w:space="0" w:color="auto"/>
                    <w:left w:val="none" w:sz="0" w:space="0" w:color="auto"/>
                    <w:bottom w:val="none" w:sz="0" w:space="0" w:color="auto"/>
                    <w:right w:val="none" w:sz="0" w:space="0" w:color="auto"/>
                  </w:divBdr>
                  <w:divsChild>
                    <w:div w:id="66003594">
                      <w:marLeft w:val="0"/>
                      <w:marRight w:val="0"/>
                      <w:marTop w:val="0"/>
                      <w:marBottom w:val="0"/>
                      <w:divBdr>
                        <w:top w:val="none" w:sz="0" w:space="0" w:color="auto"/>
                        <w:left w:val="none" w:sz="0" w:space="0" w:color="auto"/>
                        <w:bottom w:val="none" w:sz="0" w:space="0" w:color="auto"/>
                        <w:right w:val="none" w:sz="0" w:space="0" w:color="auto"/>
                      </w:divBdr>
                      <w:divsChild>
                        <w:div w:id="181649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578180">
      <w:bodyDiv w:val="1"/>
      <w:marLeft w:val="0"/>
      <w:marRight w:val="0"/>
      <w:marTop w:val="0"/>
      <w:marBottom w:val="0"/>
      <w:divBdr>
        <w:top w:val="none" w:sz="0" w:space="0" w:color="auto"/>
        <w:left w:val="none" w:sz="0" w:space="0" w:color="auto"/>
        <w:bottom w:val="none" w:sz="0" w:space="0" w:color="auto"/>
        <w:right w:val="none" w:sz="0" w:space="0" w:color="auto"/>
      </w:divBdr>
    </w:div>
    <w:div w:id="606354780">
      <w:bodyDiv w:val="1"/>
      <w:marLeft w:val="0"/>
      <w:marRight w:val="0"/>
      <w:marTop w:val="0"/>
      <w:marBottom w:val="0"/>
      <w:divBdr>
        <w:top w:val="none" w:sz="0" w:space="0" w:color="auto"/>
        <w:left w:val="none" w:sz="0" w:space="0" w:color="auto"/>
        <w:bottom w:val="none" w:sz="0" w:space="0" w:color="auto"/>
        <w:right w:val="none" w:sz="0" w:space="0" w:color="auto"/>
      </w:divBdr>
      <w:divsChild>
        <w:div w:id="1709640285">
          <w:marLeft w:val="547"/>
          <w:marRight w:val="0"/>
          <w:marTop w:val="86"/>
          <w:marBottom w:val="0"/>
          <w:divBdr>
            <w:top w:val="none" w:sz="0" w:space="0" w:color="auto"/>
            <w:left w:val="none" w:sz="0" w:space="0" w:color="auto"/>
            <w:bottom w:val="none" w:sz="0" w:space="0" w:color="auto"/>
            <w:right w:val="none" w:sz="0" w:space="0" w:color="auto"/>
          </w:divBdr>
        </w:div>
      </w:divsChild>
    </w:div>
    <w:div w:id="632685386">
      <w:bodyDiv w:val="1"/>
      <w:marLeft w:val="0"/>
      <w:marRight w:val="0"/>
      <w:marTop w:val="0"/>
      <w:marBottom w:val="0"/>
      <w:divBdr>
        <w:top w:val="none" w:sz="0" w:space="0" w:color="auto"/>
        <w:left w:val="none" w:sz="0" w:space="0" w:color="auto"/>
        <w:bottom w:val="none" w:sz="0" w:space="0" w:color="auto"/>
        <w:right w:val="none" w:sz="0" w:space="0" w:color="auto"/>
      </w:divBdr>
    </w:div>
    <w:div w:id="637340186">
      <w:bodyDiv w:val="1"/>
      <w:marLeft w:val="0"/>
      <w:marRight w:val="0"/>
      <w:marTop w:val="0"/>
      <w:marBottom w:val="0"/>
      <w:divBdr>
        <w:top w:val="none" w:sz="0" w:space="0" w:color="auto"/>
        <w:left w:val="none" w:sz="0" w:space="0" w:color="auto"/>
        <w:bottom w:val="none" w:sz="0" w:space="0" w:color="auto"/>
        <w:right w:val="none" w:sz="0" w:space="0" w:color="auto"/>
      </w:divBdr>
    </w:div>
    <w:div w:id="669068536">
      <w:bodyDiv w:val="1"/>
      <w:marLeft w:val="0"/>
      <w:marRight w:val="0"/>
      <w:marTop w:val="0"/>
      <w:marBottom w:val="0"/>
      <w:divBdr>
        <w:top w:val="none" w:sz="0" w:space="0" w:color="auto"/>
        <w:left w:val="none" w:sz="0" w:space="0" w:color="auto"/>
        <w:bottom w:val="none" w:sz="0" w:space="0" w:color="auto"/>
        <w:right w:val="none" w:sz="0" w:space="0" w:color="auto"/>
      </w:divBdr>
      <w:divsChild>
        <w:div w:id="1502428362">
          <w:marLeft w:val="0"/>
          <w:marRight w:val="0"/>
          <w:marTop w:val="0"/>
          <w:marBottom w:val="0"/>
          <w:divBdr>
            <w:top w:val="none" w:sz="0" w:space="0" w:color="auto"/>
            <w:left w:val="none" w:sz="0" w:space="0" w:color="auto"/>
            <w:bottom w:val="none" w:sz="0" w:space="0" w:color="auto"/>
            <w:right w:val="none" w:sz="0" w:space="0" w:color="auto"/>
          </w:divBdr>
        </w:div>
      </w:divsChild>
    </w:div>
    <w:div w:id="669218249">
      <w:bodyDiv w:val="1"/>
      <w:marLeft w:val="0"/>
      <w:marRight w:val="0"/>
      <w:marTop w:val="0"/>
      <w:marBottom w:val="0"/>
      <w:divBdr>
        <w:top w:val="none" w:sz="0" w:space="0" w:color="auto"/>
        <w:left w:val="none" w:sz="0" w:space="0" w:color="auto"/>
        <w:bottom w:val="none" w:sz="0" w:space="0" w:color="auto"/>
        <w:right w:val="none" w:sz="0" w:space="0" w:color="auto"/>
      </w:divBdr>
    </w:div>
    <w:div w:id="670064400">
      <w:bodyDiv w:val="1"/>
      <w:marLeft w:val="0"/>
      <w:marRight w:val="0"/>
      <w:marTop w:val="0"/>
      <w:marBottom w:val="0"/>
      <w:divBdr>
        <w:top w:val="none" w:sz="0" w:space="0" w:color="auto"/>
        <w:left w:val="none" w:sz="0" w:space="0" w:color="auto"/>
        <w:bottom w:val="none" w:sz="0" w:space="0" w:color="auto"/>
        <w:right w:val="none" w:sz="0" w:space="0" w:color="auto"/>
      </w:divBdr>
    </w:div>
    <w:div w:id="733704698">
      <w:bodyDiv w:val="1"/>
      <w:marLeft w:val="0"/>
      <w:marRight w:val="0"/>
      <w:marTop w:val="0"/>
      <w:marBottom w:val="0"/>
      <w:divBdr>
        <w:top w:val="none" w:sz="0" w:space="0" w:color="auto"/>
        <w:left w:val="none" w:sz="0" w:space="0" w:color="auto"/>
        <w:bottom w:val="none" w:sz="0" w:space="0" w:color="auto"/>
        <w:right w:val="none" w:sz="0" w:space="0" w:color="auto"/>
      </w:divBdr>
    </w:div>
    <w:div w:id="774598646">
      <w:bodyDiv w:val="1"/>
      <w:marLeft w:val="0"/>
      <w:marRight w:val="0"/>
      <w:marTop w:val="0"/>
      <w:marBottom w:val="0"/>
      <w:divBdr>
        <w:top w:val="none" w:sz="0" w:space="0" w:color="auto"/>
        <w:left w:val="none" w:sz="0" w:space="0" w:color="auto"/>
        <w:bottom w:val="none" w:sz="0" w:space="0" w:color="auto"/>
        <w:right w:val="none" w:sz="0" w:space="0" w:color="auto"/>
      </w:divBdr>
      <w:divsChild>
        <w:div w:id="1129015725">
          <w:marLeft w:val="0"/>
          <w:marRight w:val="0"/>
          <w:marTop w:val="0"/>
          <w:marBottom w:val="0"/>
          <w:divBdr>
            <w:top w:val="none" w:sz="0" w:space="0" w:color="auto"/>
            <w:left w:val="none" w:sz="0" w:space="0" w:color="auto"/>
            <w:bottom w:val="none" w:sz="0" w:space="0" w:color="auto"/>
            <w:right w:val="none" w:sz="0" w:space="0" w:color="auto"/>
          </w:divBdr>
          <w:divsChild>
            <w:div w:id="1909610247">
              <w:marLeft w:val="0"/>
              <w:marRight w:val="0"/>
              <w:marTop w:val="0"/>
              <w:marBottom w:val="0"/>
              <w:divBdr>
                <w:top w:val="none" w:sz="0" w:space="0" w:color="auto"/>
                <w:left w:val="none" w:sz="0" w:space="0" w:color="auto"/>
                <w:bottom w:val="none" w:sz="0" w:space="0" w:color="auto"/>
                <w:right w:val="none" w:sz="0" w:space="0" w:color="auto"/>
              </w:divBdr>
              <w:divsChild>
                <w:div w:id="348264109">
                  <w:marLeft w:val="0"/>
                  <w:marRight w:val="150"/>
                  <w:marTop w:val="0"/>
                  <w:marBottom w:val="180"/>
                  <w:divBdr>
                    <w:top w:val="none" w:sz="0" w:space="0" w:color="auto"/>
                    <w:left w:val="none" w:sz="0" w:space="0" w:color="auto"/>
                    <w:bottom w:val="none" w:sz="0" w:space="0" w:color="auto"/>
                    <w:right w:val="none" w:sz="0" w:space="0" w:color="auto"/>
                  </w:divBdr>
                  <w:divsChild>
                    <w:div w:id="1187131729">
                      <w:marLeft w:val="0"/>
                      <w:marRight w:val="0"/>
                      <w:marTop w:val="0"/>
                      <w:marBottom w:val="0"/>
                      <w:divBdr>
                        <w:top w:val="none" w:sz="0" w:space="0" w:color="auto"/>
                        <w:left w:val="none" w:sz="0" w:space="0" w:color="auto"/>
                        <w:bottom w:val="none" w:sz="0" w:space="0" w:color="auto"/>
                        <w:right w:val="none" w:sz="0" w:space="0" w:color="auto"/>
                      </w:divBdr>
                      <w:divsChild>
                        <w:div w:id="600843925">
                          <w:marLeft w:val="0"/>
                          <w:marRight w:val="0"/>
                          <w:marTop w:val="0"/>
                          <w:marBottom w:val="0"/>
                          <w:divBdr>
                            <w:top w:val="none" w:sz="0" w:space="0" w:color="auto"/>
                            <w:left w:val="none" w:sz="0" w:space="0" w:color="auto"/>
                            <w:bottom w:val="none" w:sz="0" w:space="0" w:color="auto"/>
                            <w:right w:val="none" w:sz="0" w:space="0" w:color="auto"/>
                          </w:divBdr>
                          <w:divsChild>
                            <w:div w:id="106661078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655868">
      <w:bodyDiv w:val="1"/>
      <w:marLeft w:val="0"/>
      <w:marRight w:val="0"/>
      <w:marTop w:val="0"/>
      <w:marBottom w:val="0"/>
      <w:divBdr>
        <w:top w:val="none" w:sz="0" w:space="0" w:color="auto"/>
        <w:left w:val="none" w:sz="0" w:space="0" w:color="auto"/>
        <w:bottom w:val="none" w:sz="0" w:space="0" w:color="auto"/>
        <w:right w:val="none" w:sz="0" w:space="0" w:color="auto"/>
      </w:divBdr>
      <w:divsChild>
        <w:div w:id="1666320449">
          <w:marLeft w:val="0"/>
          <w:marRight w:val="0"/>
          <w:marTop w:val="90"/>
          <w:marBottom w:val="105"/>
          <w:divBdr>
            <w:top w:val="none" w:sz="0" w:space="0" w:color="auto"/>
            <w:left w:val="none" w:sz="0" w:space="0" w:color="auto"/>
            <w:bottom w:val="none" w:sz="0" w:space="0" w:color="auto"/>
            <w:right w:val="none" w:sz="0" w:space="0" w:color="auto"/>
          </w:divBdr>
          <w:divsChild>
            <w:div w:id="965234119">
              <w:marLeft w:val="0"/>
              <w:marRight w:val="0"/>
              <w:marTop w:val="0"/>
              <w:marBottom w:val="0"/>
              <w:divBdr>
                <w:top w:val="none" w:sz="0" w:space="0" w:color="auto"/>
                <w:left w:val="none" w:sz="0" w:space="0" w:color="auto"/>
                <w:bottom w:val="none" w:sz="0" w:space="0" w:color="auto"/>
                <w:right w:val="none" w:sz="0" w:space="0" w:color="auto"/>
              </w:divBdr>
              <w:divsChild>
                <w:div w:id="1282884464">
                  <w:marLeft w:val="0"/>
                  <w:marRight w:val="0"/>
                  <w:marTop w:val="0"/>
                  <w:marBottom w:val="0"/>
                  <w:divBdr>
                    <w:top w:val="none" w:sz="0" w:space="0" w:color="auto"/>
                    <w:left w:val="none" w:sz="0" w:space="0" w:color="auto"/>
                    <w:bottom w:val="none" w:sz="0" w:space="0" w:color="auto"/>
                    <w:right w:val="none" w:sz="0" w:space="0" w:color="auto"/>
                  </w:divBdr>
                  <w:divsChild>
                    <w:div w:id="1664509898">
                      <w:marLeft w:val="0"/>
                      <w:marRight w:val="0"/>
                      <w:marTop w:val="0"/>
                      <w:marBottom w:val="0"/>
                      <w:divBdr>
                        <w:top w:val="none" w:sz="0" w:space="0" w:color="auto"/>
                        <w:left w:val="none" w:sz="0" w:space="0" w:color="auto"/>
                        <w:bottom w:val="none" w:sz="0" w:space="0" w:color="auto"/>
                        <w:right w:val="none" w:sz="0" w:space="0" w:color="auto"/>
                      </w:divBdr>
                      <w:divsChild>
                        <w:div w:id="1945771386">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811602416">
      <w:bodyDiv w:val="1"/>
      <w:marLeft w:val="0"/>
      <w:marRight w:val="0"/>
      <w:marTop w:val="0"/>
      <w:marBottom w:val="0"/>
      <w:divBdr>
        <w:top w:val="none" w:sz="0" w:space="0" w:color="auto"/>
        <w:left w:val="none" w:sz="0" w:space="0" w:color="auto"/>
        <w:bottom w:val="none" w:sz="0" w:space="0" w:color="auto"/>
        <w:right w:val="none" w:sz="0" w:space="0" w:color="auto"/>
      </w:divBdr>
      <w:divsChild>
        <w:div w:id="1725524333">
          <w:marLeft w:val="0"/>
          <w:marRight w:val="0"/>
          <w:marTop w:val="0"/>
          <w:marBottom w:val="0"/>
          <w:divBdr>
            <w:top w:val="none" w:sz="0" w:space="0" w:color="auto"/>
            <w:left w:val="none" w:sz="0" w:space="0" w:color="auto"/>
            <w:bottom w:val="none" w:sz="0" w:space="0" w:color="auto"/>
            <w:right w:val="none" w:sz="0" w:space="0" w:color="auto"/>
          </w:divBdr>
        </w:div>
      </w:divsChild>
    </w:div>
    <w:div w:id="847596646">
      <w:bodyDiv w:val="1"/>
      <w:marLeft w:val="0"/>
      <w:marRight w:val="0"/>
      <w:marTop w:val="0"/>
      <w:marBottom w:val="0"/>
      <w:divBdr>
        <w:top w:val="none" w:sz="0" w:space="0" w:color="auto"/>
        <w:left w:val="none" w:sz="0" w:space="0" w:color="auto"/>
        <w:bottom w:val="none" w:sz="0" w:space="0" w:color="auto"/>
        <w:right w:val="none" w:sz="0" w:space="0" w:color="auto"/>
      </w:divBdr>
      <w:divsChild>
        <w:div w:id="327754018">
          <w:marLeft w:val="0"/>
          <w:marRight w:val="0"/>
          <w:marTop w:val="90"/>
          <w:marBottom w:val="105"/>
          <w:divBdr>
            <w:top w:val="none" w:sz="0" w:space="0" w:color="auto"/>
            <w:left w:val="none" w:sz="0" w:space="0" w:color="auto"/>
            <w:bottom w:val="none" w:sz="0" w:space="0" w:color="auto"/>
            <w:right w:val="none" w:sz="0" w:space="0" w:color="auto"/>
          </w:divBdr>
          <w:divsChild>
            <w:div w:id="2138715697">
              <w:marLeft w:val="0"/>
              <w:marRight w:val="0"/>
              <w:marTop w:val="0"/>
              <w:marBottom w:val="0"/>
              <w:divBdr>
                <w:top w:val="none" w:sz="0" w:space="0" w:color="auto"/>
                <w:left w:val="none" w:sz="0" w:space="0" w:color="auto"/>
                <w:bottom w:val="none" w:sz="0" w:space="0" w:color="auto"/>
                <w:right w:val="none" w:sz="0" w:space="0" w:color="auto"/>
              </w:divBdr>
              <w:divsChild>
                <w:div w:id="1135560429">
                  <w:marLeft w:val="0"/>
                  <w:marRight w:val="0"/>
                  <w:marTop w:val="0"/>
                  <w:marBottom w:val="0"/>
                  <w:divBdr>
                    <w:top w:val="none" w:sz="0" w:space="0" w:color="auto"/>
                    <w:left w:val="none" w:sz="0" w:space="0" w:color="auto"/>
                    <w:bottom w:val="none" w:sz="0" w:space="0" w:color="auto"/>
                    <w:right w:val="none" w:sz="0" w:space="0" w:color="auto"/>
                  </w:divBdr>
                  <w:divsChild>
                    <w:div w:id="27687239">
                      <w:marLeft w:val="0"/>
                      <w:marRight w:val="0"/>
                      <w:marTop w:val="0"/>
                      <w:marBottom w:val="0"/>
                      <w:divBdr>
                        <w:top w:val="none" w:sz="0" w:space="0" w:color="auto"/>
                        <w:left w:val="none" w:sz="0" w:space="0" w:color="auto"/>
                        <w:bottom w:val="none" w:sz="0" w:space="0" w:color="auto"/>
                        <w:right w:val="none" w:sz="0" w:space="0" w:color="auto"/>
                      </w:divBdr>
                      <w:divsChild>
                        <w:div w:id="801383546">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865559929">
      <w:bodyDiv w:val="1"/>
      <w:marLeft w:val="0"/>
      <w:marRight w:val="0"/>
      <w:marTop w:val="0"/>
      <w:marBottom w:val="0"/>
      <w:divBdr>
        <w:top w:val="none" w:sz="0" w:space="0" w:color="auto"/>
        <w:left w:val="none" w:sz="0" w:space="0" w:color="auto"/>
        <w:bottom w:val="none" w:sz="0" w:space="0" w:color="auto"/>
        <w:right w:val="none" w:sz="0" w:space="0" w:color="auto"/>
      </w:divBdr>
      <w:divsChild>
        <w:div w:id="164908125">
          <w:marLeft w:val="0"/>
          <w:marRight w:val="0"/>
          <w:marTop w:val="150"/>
          <w:marBottom w:val="150"/>
          <w:divBdr>
            <w:top w:val="none" w:sz="0" w:space="0" w:color="auto"/>
            <w:left w:val="none" w:sz="0" w:space="0" w:color="auto"/>
            <w:bottom w:val="none" w:sz="0" w:space="0" w:color="auto"/>
            <w:right w:val="none" w:sz="0" w:space="0" w:color="auto"/>
          </w:divBdr>
          <w:divsChild>
            <w:div w:id="877743450">
              <w:marLeft w:val="0"/>
              <w:marRight w:val="0"/>
              <w:marTop w:val="0"/>
              <w:marBottom w:val="0"/>
              <w:divBdr>
                <w:top w:val="none" w:sz="0" w:space="0" w:color="auto"/>
                <w:left w:val="none" w:sz="0" w:space="0" w:color="auto"/>
                <w:bottom w:val="none" w:sz="0" w:space="0" w:color="auto"/>
                <w:right w:val="none" w:sz="0" w:space="0" w:color="auto"/>
              </w:divBdr>
              <w:divsChild>
                <w:div w:id="1852991089">
                  <w:marLeft w:val="0"/>
                  <w:marRight w:val="0"/>
                  <w:marTop w:val="150"/>
                  <w:marBottom w:val="0"/>
                  <w:divBdr>
                    <w:top w:val="single" w:sz="6" w:space="11" w:color="DDDDDD"/>
                    <w:left w:val="single" w:sz="6" w:space="11" w:color="DDDDDD"/>
                    <w:bottom w:val="single" w:sz="6" w:space="11" w:color="DDDDDD"/>
                    <w:right w:val="single" w:sz="6" w:space="11" w:color="DDDDDD"/>
                  </w:divBdr>
                  <w:divsChild>
                    <w:div w:id="1877810691">
                      <w:marLeft w:val="0"/>
                      <w:marRight w:val="0"/>
                      <w:marTop w:val="0"/>
                      <w:marBottom w:val="0"/>
                      <w:divBdr>
                        <w:top w:val="none" w:sz="0" w:space="0" w:color="auto"/>
                        <w:left w:val="none" w:sz="0" w:space="0" w:color="auto"/>
                        <w:bottom w:val="none" w:sz="0" w:space="0" w:color="auto"/>
                        <w:right w:val="none" w:sz="0" w:space="0" w:color="auto"/>
                      </w:divBdr>
                      <w:divsChild>
                        <w:div w:id="6279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5679">
      <w:bodyDiv w:val="1"/>
      <w:marLeft w:val="0"/>
      <w:marRight w:val="0"/>
      <w:marTop w:val="0"/>
      <w:marBottom w:val="0"/>
      <w:divBdr>
        <w:top w:val="none" w:sz="0" w:space="0" w:color="auto"/>
        <w:left w:val="none" w:sz="0" w:space="0" w:color="auto"/>
        <w:bottom w:val="none" w:sz="0" w:space="0" w:color="auto"/>
        <w:right w:val="none" w:sz="0" w:space="0" w:color="auto"/>
      </w:divBdr>
      <w:divsChild>
        <w:div w:id="2063405115">
          <w:marLeft w:val="0"/>
          <w:marRight w:val="0"/>
          <w:marTop w:val="150"/>
          <w:marBottom w:val="150"/>
          <w:divBdr>
            <w:top w:val="none" w:sz="0" w:space="0" w:color="auto"/>
            <w:left w:val="none" w:sz="0" w:space="0" w:color="auto"/>
            <w:bottom w:val="none" w:sz="0" w:space="0" w:color="auto"/>
            <w:right w:val="none" w:sz="0" w:space="0" w:color="auto"/>
          </w:divBdr>
          <w:divsChild>
            <w:div w:id="1730956016">
              <w:marLeft w:val="0"/>
              <w:marRight w:val="0"/>
              <w:marTop w:val="0"/>
              <w:marBottom w:val="0"/>
              <w:divBdr>
                <w:top w:val="none" w:sz="0" w:space="0" w:color="auto"/>
                <w:left w:val="none" w:sz="0" w:space="0" w:color="auto"/>
                <w:bottom w:val="none" w:sz="0" w:space="0" w:color="auto"/>
                <w:right w:val="none" w:sz="0" w:space="0" w:color="auto"/>
              </w:divBdr>
              <w:divsChild>
                <w:div w:id="788167171">
                  <w:marLeft w:val="0"/>
                  <w:marRight w:val="0"/>
                  <w:marTop w:val="150"/>
                  <w:marBottom w:val="0"/>
                  <w:divBdr>
                    <w:top w:val="single" w:sz="6" w:space="11" w:color="DDDDDD"/>
                    <w:left w:val="single" w:sz="6" w:space="11" w:color="DDDDDD"/>
                    <w:bottom w:val="single" w:sz="6" w:space="11" w:color="DDDDDD"/>
                    <w:right w:val="single" w:sz="6" w:space="11" w:color="DDDDDD"/>
                  </w:divBdr>
                  <w:divsChild>
                    <w:div w:id="1761021877">
                      <w:marLeft w:val="0"/>
                      <w:marRight w:val="0"/>
                      <w:marTop w:val="0"/>
                      <w:marBottom w:val="0"/>
                      <w:divBdr>
                        <w:top w:val="none" w:sz="0" w:space="0" w:color="auto"/>
                        <w:left w:val="none" w:sz="0" w:space="0" w:color="auto"/>
                        <w:bottom w:val="none" w:sz="0" w:space="0" w:color="auto"/>
                        <w:right w:val="none" w:sz="0" w:space="0" w:color="auto"/>
                      </w:divBdr>
                      <w:divsChild>
                        <w:div w:id="5528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424552">
      <w:bodyDiv w:val="1"/>
      <w:marLeft w:val="0"/>
      <w:marRight w:val="0"/>
      <w:marTop w:val="0"/>
      <w:marBottom w:val="0"/>
      <w:divBdr>
        <w:top w:val="none" w:sz="0" w:space="0" w:color="auto"/>
        <w:left w:val="none" w:sz="0" w:space="0" w:color="auto"/>
        <w:bottom w:val="none" w:sz="0" w:space="0" w:color="auto"/>
        <w:right w:val="none" w:sz="0" w:space="0" w:color="auto"/>
      </w:divBdr>
    </w:div>
    <w:div w:id="892077729">
      <w:bodyDiv w:val="1"/>
      <w:marLeft w:val="0"/>
      <w:marRight w:val="0"/>
      <w:marTop w:val="0"/>
      <w:marBottom w:val="0"/>
      <w:divBdr>
        <w:top w:val="none" w:sz="0" w:space="0" w:color="auto"/>
        <w:left w:val="none" w:sz="0" w:space="0" w:color="auto"/>
        <w:bottom w:val="none" w:sz="0" w:space="0" w:color="auto"/>
        <w:right w:val="none" w:sz="0" w:space="0" w:color="auto"/>
      </w:divBdr>
      <w:divsChild>
        <w:div w:id="615914189">
          <w:marLeft w:val="0"/>
          <w:marRight w:val="0"/>
          <w:marTop w:val="75"/>
          <w:marBottom w:val="100"/>
          <w:divBdr>
            <w:top w:val="none" w:sz="0" w:space="0" w:color="auto"/>
            <w:left w:val="none" w:sz="0" w:space="0" w:color="auto"/>
            <w:bottom w:val="none" w:sz="0" w:space="0" w:color="auto"/>
            <w:right w:val="none" w:sz="0" w:space="0" w:color="auto"/>
          </w:divBdr>
          <w:divsChild>
            <w:div w:id="1630163768">
              <w:marLeft w:val="0"/>
              <w:marRight w:val="0"/>
              <w:marTop w:val="0"/>
              <w:marBottom w:val="0"/>
              <w:divBdr>
                <w:top w:val="none" w:sz="0" w:space="0" w:color="auto"/>
                <w:left w:val="none" w:sz="0" w:space="0" w:color="auto"/>
                <w:bottom w:val="none" w:sz="0" w:space="0" w:color="auto"/>
                <w:right w:val="none" w:sz="0" w:space="0" w:color="auto"/>
              </w:divBdr>
              <w:divsChild>
                <w:div w:id="257569261">
                  <w:marLeft w:val="0"/>
                  <w:marRight w:val="0"/>
                  <w:marTop w:val="0"/>
                  <w:marBottom w:val="0"/>
                  <w:divBdr>
                    <w:top w:val="single" w:sz="6" w:space="11" w:color="DDDEDE"/>
                    <w:left w:val="single" w:sz="6" w:space="11" w:color="DDDEDE"/>
                    <w:bottom w:val="single" w:sz="6" w:space="11" w:color="DDDEDE"/>
                    <w:right w:val="single" w:sz="6" w:space="11" w:color="DDDEDE"/>
                  </w:divBdr>
                </w:div>
              </w:divsChild>
            </w:div>
          </w:divsChild>
        </w:div>
      </w:divsChild>
    </w:div>
    <w:div w:id="911886533">
      <w:bodyDiv w:val="1"/>
      <w:marLeft w:val="0"/>
      <w:marRight w:val="0"/>
      <w:marTop w:val="0"/>
      <w:marBottom w:val="0"/>
      <w:divBdr>
        <w:top w:val="none" w:sz="0" w:space="0" w:color="auto"/>
        <w:left w:val="none" w:sz="0" w:space="0" w:color="auto"/>
        <w:bottom w:val="none" w:sz="0" w:space="0" w:color="auto"/>
        <w:right w:val="none" w:sz="0" w:space="0" w:color="auto"/>
      </w:divBdr>
      <w:divsChild>
        <w:div w:id="619262988">
          <w:marLeft w:val="0"/>
          <w:marRight w:val="0"/>
          <w:marTop w:val="0"/>
          <w:marBottom w:val="0"/>
          <w:divBdr>
            <w:top w:val="none" w:sz="0" w:space="0" w:color="auto"/>
            <w:left w:val="none" w:sz="0" w:space="0" w:color="auto"/>
            <w:bottom w:val="none" w:sz="0" w:space="0" w:color="auto"/>
            <w:right w:val="none" w:sz="0" w:space="0" w:color="auto"/>
          </w:divBdr>
          <w:divsChild>
            <w:div w:id="1324121041">
              <w:marLeft w:val="0"/>
              <w:marRight w:val="0"/>
              <w:marTop w:val="0"/>
              <w:marBottom w:val="0"/>
              <w:divBdr>
                <w:top w:val="none" w:sz="0" w:space="0" w:color="auto"/>
                <w:left w:val="none" w:sz="0" w:space="0" w:color="auto"/>
                <w:bottom w:val="none" w:sz="0" w:space="0" w:color="auto"/>
                <w:right w:val="none" w:sz="0" w:space="0" w:color="auto"/>
              </w:divBdr>
              <w:divsChild>
                <w:div w:id="424613464">
                  <w:marLeft w:val="0"/>
                  <w:marRight w:val="0"/>
                  <w:marTop w:val="0"/>
                  <w:marBottom w:val="0"/>
                  <w:divBdr>
                    <w:top w:val="none" w:sz="0" w:space="0" w:color="auto"/>
                    <w:left w:val="none" w:sz="0" w:space="0" w:color="auto"/>
                    <w:bottom w:val="none" w:sz="0" w:space="0" w:color="auto"/>
                    <w:right w:val="none" w:sz="0" w:space="0" w:color="auto"/>
                  </w:divBdr>
                  <w:divsChild>
                    <w:div w:id="73357095">
                      <w:marLeft w:val="0"/>
                      <w:marRight w:val="0"/>
                      <w:marTop w:val="0"/>
                      <w:marBottom w:val="0"/>
                      <w:divBdr>
                        <w:top w:val="none" w:sz="0" w:space="0" w:color="auto"/>
                        <w:left w:val="none" w:sz="0" w:space="0" w:color="auto"/>
                        <w:bottom w:val="none" w:sz="0" w:space="0" w:color="auto"/>
                        <w:right w:val="none" w:sz="0" w:space="0" w:color="auto"/>
                      </w:divBdr>
                    </w:div>
                    <w:div w:id="409818066">
                      <w:marLeft w:val="0"/>
                      <w:marRight w:val="0"/>
                      <w:marTop w:val="0"/>
                      <w:marBottom w:val="0"/>
                      <w:divBdr>
                        <w:top w:val="none" w:sz="0" w:space="0" w:color="auto"/>
                        <w:left w:val="none" w:sz="0" w:space="0" w:color="auto"/>
                        <w:bottom w:val="none" w:sz="0" w:space="0" w:color="auto"/>
                        <w:right w:val="none" w:sz="0" w:space="0" w:color="auto"/>
                      </w:divBdr>
                    </w:div>
                    <w:div w:id="946741980">
                      <w:marLeft w:val="0"/>
                      <w:marRight w:val="0"/>
                      <w:marTop w:val="0"/>
                      <w:marBottom w:val="0"/>
                      <w:divBdr>
                        <w:top w:val="none" w:sz="0" w:space="0" w:color="auto"/>
                        <w:left w:val="none" w:sz="0" w:space="0" w:color="auto"/>
                        <w:bottom w:val="none" w:sz="0" w:space="0" w:color="auto"/>
                        <w:right w:val="none" w:sz="0" w:space="0" w:color="auto"/>
                      </w:divBdr>
                    </w:div>
                    <w:div w:id="979261974">
                      <w:marLeft w:val="0"/>
                      <w:marRight w:val="0"/>
                      <w:marTop w:val="0"/>
                      <w:marBottom w:val="0"/>
                      <w:divBdr>
                        <w:top w:val="none" w:sz="0" w:space="0" w:color="auto"/>
                        <w:left w:val="none" w:sz="0" w:space="0" w:color="auto"/>
                        <w:bottom w:val="none" w:sz="0" w:space="0" w:color="auto"/>
                        <w:right w:val="none" w:sz="0" w:space="0" w:color="auto"/>
                      </w:divBdr>
                    </w:div>
                    <w:div w:id="1172647768">
                      <w:marLeft w:val="0"/>
                      <w:marRight w:val="0"/>
                      <w:marTop w:val="0"/>
                      <w:marBottom w:val="0"/>
                      <w:divBdr>
                        <w:top w:val="none" w:sz="0" w:space="0" w:color="auto"/>
                        <w:left w:val="none" w:sz="0" w:space="0" w:color="auto"/>
                        <w:bottom w:val="none" w:sz="0" w:space="0" w:color="auto"/>
                        <w:right w:val="none" w:sz="0" w:space="0" w:color="auto"/>
                      </w:divBdr>
                    </w:div>
                    <w:div w:id="19433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518132">
      <w:bodyDiv w:val="1"/>
      <w:marLeft w:val="0"/>
      <w:marRight w:val="0"/>
      <w:marTop w:val="0"/>
      <w:marBottom w:val="0"/>
      <w:divBdr>
        <w:top w:val="none" w:sz="0" w:space="0" w:color="auto"/>
        <w:left w:val="none" w:sz="0" w:space="0" w:color="auto"/>
        <w:bottom w:val="none" w:sz="0" w:space="0" w:color="auto"/>
        <w:right w:val="none" w:sz="0" w:space="0" w:color="auto"/>
      </w:divBdr>
      <w:divsChild>
        <w:div w:id="1786579453">
          <w:marLeft w:val="0"/>
          <w:marRight w:val="0"/>
          <w:marTop w:val="90"/>
          <w:marBottom w:val="105"/>
          <w:divBdr>
            <w:top w:val="none" w:sz="0" w:space="0" w:color="auto"/>
            <w:left w:val="none" w:sz="0" w:space="0" w:color="auto"/>
            <w:bottom w:val="none" w:sz="0" w:space="0" w:color="auto"/>
            <w:right w:val="none" w:sz="0" w:space="0" w:color="auto"/>
          </w:divBdr>
          <w:divsChild>
            <w:div w:id="1269852250">
              <w:marLeft w:val="0"/>
              <w:marRight w:val="0"/>
              <w:marTop w:val="0"/>
              <w:marBottom w:val="0"/>
              <w:divBdr>
                <w:top w:val="none" w:sz="0" w:space="0" w:color="auto"/>
                <w:left w:val="none" w:sz="0" w:space="0" w:color="auto"/>
                <w:bottom w:val="none" w:sz="0" w:space="0" w:color="auto"/>
                <w:right w:val="none" w:sz="0" w:space="0" w:color="auto"/>
              </w:divBdr>
              <w:divsChild>
                <w:div w:id="1106081308">
                  <w:marLeft w:val="0"/>
                  <w:marRight w:val="0"/>
                  <w:marTop w:val="0"/>
                  <w:marBottom w:val="0"/>
                  <w:divBdr>
                    <w:top w:val="none" w:sz="0" w:space="0" w:color="auto"/>
                    <w:left w:val="none" w:sz="0" w:space="0" w:color="auto"/>
                    <w:bottom w:val="none" w:sz="0" w:space="0" w:color="auto"/>
                    <w:right w:val="none" w:sz="0" w:space="0" w:color="auto"/>
                  </w:divBdr>
                  <w:divsChild>
                    <w:div w:id="947808749">
                      <w:marLeft w:val="0"/>
                      <w:marRight w:val="0"/>
                      <w:marTop w:val="0"/>
                      <w:marBottom w:val="0"/>
                      <w:divBdr>
                        <w:top w:val="none" w:sz="0" w:space="0" w:color="auto"/>
                        <w:left w:val="none" w:sz="0" w:space="0" w:color="auto"/>
                        <w:bottom w:val="none" w:sz="0" w:space="0" w:color="auto"/>
                        <w:right w:val="none" w:sz="0" w:space="0" w:color="auto"/>
                      </w:divBdr>
                      <w:divsChild>
                        <w:div w:id="1191072151">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936912150">
      <w:bodyDiv w:val="1"/>
      <w:marLeft w:val="0"/>
      <w:marRight w:val="0"/>
      <w:marTop w:val="0"/>
      <w:marBottom w:val="0"/>
      <w:divBdr>
        <w:top w:val="none" w:sz="0" w:space="0" w:color="auto"/>
        <w:left w:val="none" w:sz="0" w:space="0" w:color="auto"/>
        <w:bottom w:val="none" w:sz="0" w:space="0" w:color="auto"/>
        <w:right w:val="none" w:sz="0" w:space="0" w:color="auto"/>
      </w:divBdr>
    </w:div>
    <w:div w:id="946162316">
      <w:bodyDiv w:val="1"/>
      <w:marLeft w:val="0"/>
      <w:marRight w:val="0"/>
      <w:marTop w:val="0"/>
      <w:marBottom w:val="0"/>
      <w:divBdr>
        <w:top w:val="none" w:sz="0" w:space="0" w:color="auto"/>
        <w:left w:val="none" w:sz="0" w:space="0" w:color="auto"/>
        <w:bottom w:val="none" w:sz="0" w:space="0" w:color="auto"/>
        <w:right w:val="none" w:sz="0" w:space="0" w:color="auto"/>
      </w:divBdr>
    </w:div>
    <w:div w:id="957681241">
      <w:bodyDiv w:val="1"/>
      <w:marLeft w:val="0"/>
      <w:marRight w:val="0"/>
      <w:marTop w:val="0"/>
      <w:marBottom w:val="0"/>
      <w:divBdr>
        <w:top w:val="none" w:sz="0" w:space="0" w:color="auto"/>
        <w:left w:val="none" w:sz="0" w:space="0" w:color="auto"/>
        <w:bottom w:val="none" w:sz="0" w:space="0" w:color="auto"/>
        <w:right w:val="none" w:sz="0" w:space="0" w:color="auto"/>
      </w:divBdr>
      <w:divsChild>
        <w:div w:id="1784418270">
          <w:marLeft w:val="0"/>
          <w:marRight w:val="0"/>
          <w:marTop w:val="0"/>
          <w:marBottom w:val="0"/>
          <w:divBdr>
            <w:top w:val="none" w:sz="0" w:space="0" w:color="auto"/>
            <w:left w:val="none" w:sz="0" w:space="0" w:color="auto"/>
            <w:bottom w:val="none" w:sz="0" w:space="0" w:color="auto"/>
            <w:right w:val="none" w:sz="0" w:space="0" w:color="auto"/>
          </w:divBdr>
        </w:div>
      </w:divsChild>
    </w:div>
    <w:div w:id="963735716">
      <w:bodyDiv w:val="1"/>
      <w:marLeft w:val="0"/>
      <w:marRight w:val="0"/>
      <w:marTop w:val="0"/>
      <w:marBottom w:val="0"/>
      <w:divBdr>
        <w:top w:val="none" w:sz="0" w:space="0" w:color="auto"/>
        <w:left w:val="none" w:sz="0" w:space="0" w:color="auto"/>
        <w:bottom w:val="none" w:sz="0" w:space="0" w:color="auto"/>
        <w:right w:val="none" w:sz="0" w:space="0" w:color="auto"/>
      </w:divBdr>
      <w:divsChild>
        <w:div w:id="6950771">
          <w:marLeft w:val="0"/>
          <w:marRight w:val="0"/>
          <w:marTop w:val="0"/>
          <w:marBottom w:val="0"/>
          <w:divBdr>
            <w:top w:val="none" w:sz="0" w:space="0" w:color="auto"/>
            <w:left w:val="none" w:sz="0" w:space="0" w:color="auto"/>
            <w:bottom w:val="none" w:sz="0" w:space="0" w:color="auto"/>
            <w:right w:val="none" w:sz="0" w:space="0" w:color="auto"/>
          </w:divBdr>
        </w:div>
      </w:divsChild>
    </w:div>
    <w:div w:id="987632245">
      <w:bodyDiv w:val="1"/>
      <w:marLeft w:val="0"/>
      <w:marRight w:val="0"/>
      <w:marTop w:val="0"/>
      <w:marBottom w:val="0"/>
      <w:divBdr>
        <w:top w:val="none" w:sz="0" w:space="0" w:color="auto"/>
        <w:left w:val="none" w:sz="0" w:space="0" w:color="auto"/>
        <w:bottom w:val="none" w:sz="0" w:space="0" w:color="auto"/>
        <w:right w:val="none" w:sz="0" w:space="0" w:color="auto"/>
      </w:divBdr>
      <w:divsChild>
        <w:div w:id="1273633532">
          <w:marLeft w:val="0"/>
          <w:marRight w:val="0"/>
          <w:marTop w:val="0"/>
          <w:marBottom w:val="0"/>
          <w:divBdr>
            <w:top w:val="none" w:sz="0" w:space="0" w:color="auto"/>
            <w:left w:val="none" w:sz="0" w:space="0" w:color="auto"/>
            <w:bottom w:val="none" w:sz="0" w:space="0" w:color="auto"/>
            <w:right w:val="none" w:sz="0" w:space="0" w:color="auto"/>
          </w:divBdr>
          <w:divsChild>
            <w:div w:id="1750733100">
              <w:marLeft w:val="0"/>
              <w:marRight w:val="0"/>
              <w:marTop w:val="0"/>
              <w:marBottom w:val="0"/>
              <w:divBdr>
                <w:top w:val="none" w:sz="0" w:space="0" w:color="auto"/>
                <w:left w:val="none" w:sz="0" w:space="0" w:color="auto"/>
                <w:bottom w:val="none" w:sz="0" w:space="0" w:color="auto"/>
                <w:right w:val="none" w:sz="0" w:space="0" w:color="auto"/>
              </w:divBdr>
              <w:divsChild>
                <w:div w:id="1445810705">
                  <w:marLeft w:val="0"/>
                  <w:marRight w:val="0"/>
                  <w:marTop w:val="0"/>
                  <w:marBottom w:val="0"/>
                  <w:divBdr>
                    <w:top w:val="none" w:sz="0" w:space="0" w:color="auto"/>
                    <w:left w:val="none" w:sz="0" w:space="0" w:color="auto"/>
                    <w:bottom w:val="none" w:sz="0" w:space="0" w:color="auto"/>
                    <w:right w:val="none" w:sz="0" w:space="0" w:color="auto"/>
                  </w:divBdr>
                  <w:divsChild>
                    <w:div w:id="544105127">
                      <w:marLeft w:val="0"/>
                      <w:marRight w:val="0"/>
                      <w:marTop w:val="0"/>
                      <w:marBottom w:val="0"/>
                      <w:divBdr>
                        <w:top w:val="none" w:sz="0" w:space="0" w:color="auto"/>
                        <w:left w:val="none" w:sz="0" w:space="0" w:color="auto"/>
                        <w:bottom w:val="none" w:sz="0" w:space="0" w:color="auto"/>
                        <w:right w:val="none" w:sz="0" w:space="0" w:color="auto"/>
                      </w:divBdr>
                    </w:div>
                    <w:div w:id="1177188526">
                      <w:marLeft w:val="0"/>
                      <w:marRight w:val="0"/>
                      <w:marTop w:val="0"/>
                      <w:marBottom w:val="0"/>
                      <w:divBdr>
                        <w:top w:val="none" w:sz="0" w:space="0" w:color="auto"/>
                        <w:left w:val="none" w:sz="0" w:space="0" w:color="auto"/>
                        <w:bottom w:val="none" w:sz="0" w:space="0" w:color="auto"/>
                        <w:right w:val="none" w:sz="0" w:space="0" w:color="auto"/>
                      </w:divBdr>
                    </w:div>
                    <w:div w:id="21097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141702">
      <w:bodyDiv w:val="1"/>
      <w:marLeft w:val="0"/>
      <w:marRight w:val="0"/>
      <w:marTop w:val="0"/>
      <w:marBottom w:val="0"/>
      <w:divBdr>
        <w:top w:val="none" w:sz="0" w:space="0" w:color="auto"/>
        <w:left w:val="none" w:sz="0" w:space="0" w:color="auto"/>
        <w:bottom w:val="none" w:sz="0" w:space="0" w:color="auto"/>
        <w:right w:val="none" w:sz="0" w:space="0" w:color="auto"/>
      </w:divBdr>
      <w:divsChild>
        <w:div w:id="688415802">
          <w:marLeft w:val="0"/>
          <w:marRight w:val="0"/>
          <w:marTop w:val="0"/>
          <w:marBottom w:val="0"/>
          <w:divBdr>
            <w:top w:val="none" w:sz="0" w:space="0" w:color="auto"/>
            <w:left w:val="none" w:sz="0" w:space="0" w:color="auto"/>
            <w:bottom w:val="none" w:sz="0" w:space="0" w:color="auto"/>
            <w:right w:val="none" w:sz="0" w:space="0" w:color="auto"/>
          </w:divBdr>
          <w:divsChild>
            <w:div w:id="1630429112">
              <w:marLeft w:val="0"/>
              <w:marRight w:val="0"/>
              <w:marTop w:val="0"/>
              <w:marBottom w:val="0"/>
              <w:divBdr>
                <w:top w:val="none" w:sz="0" w:space="0" w:color="auto"/>
                <w:left w:val="none" w:sz="0" w:space="0" w:color="auto"/>
                <w:bottom w:val="none" w:sz="0" w:space="0" w:color="auto"/>
                <w:right w:val="none" w:sz="0" w:space="0" w:color="auto"/>
              </w:divBdr>
              <w:divsChild>
                <w:div w:id="784352216">
                  <w:marLeft w:val="0"/>
                  <w:marRight w:val="0"/>
                  <w:marTop w:val="0"/>
                  <w:marBottom w:val="0"/>
                  <w:divBdr>
                    <w:top w:val="none" w:sz="0" w:space="0" w:color="auto"/>
                    <w:left w:val="none" w:sz="0" w:space="0" w:color="auto"/>
                    <w:bottom w:val="none" w:sz="0" w:space="0" w:color="auto"/>
                    <w:right w:val="none" w:sz="0" w:space="0" w:color="auto"/>
                  </w:divBdr>
                  <w:divsChild>
                    <w:div w:id="279579611">
                      <w:marLeft w:val="0"/>
                      <w:marRight w:val="0"/>
                      <w:marTop w:val="0"/>
                      <w:marBottom w:val="0"/>
                      <w:divBdr>
                        <w:top w:val="none" w:sz="0" w:space="0" w:color="auto"/>
                        <w:left w:val="none" w:sz="0" w:space="0" w:color="auto"/>
                        <w:bottom w:val="none" w:sz="0" w:space="0" w:color="auto"/>
                        <w:right w:val="none" w:sz="0" w:space="0" w:color="auto"/>
                      </w:divBdr>
                    </w:div>
                    <w:div w:id="466439507">
                      <w:marLeft w:val="0"/>
                      <w:marRight w:val="0"/>
                      <w:marTop w:val="0"/>
                      <w:marBottom w:val="0"/>
                      <w:divBdr>
                        <w:top w:val="none" w:sz="0" w:space="0" w:color="auto"/>
                        <w:left w:val="none" w:sz="0" w:space="0" w:color="auto"/>
                        <w:bottom w:val="none" w:sz="0" w:space="0" w:color="auto"/>
                        <w:right w:val="none" w:sz="0" w:space="0" w:color="auto"/>
                      </w:divBdr>
                    </w:div>
                    <w:div w:id="700935280">
                      <w:marLeft w:val="0"/>
                      <w:marRight w:val="0"/>
                      <w:marTop w:val="0"/>
                      <w:marBottom w:val="0"/>
                      <w:divBdr>
                        <w:top w:val="none" w:sz="0" w:space="0" w:color="auto"/>
                        <w:left w:val="none" w:sz="0" w:space="0" w:color="auto"/>
                        <w:bottom w:val="none" w:sz="0" w:space="0" w:color="auto"/>
                        <w:right w:val="none" w:sz="0" w:space="0" w:color="auto"/>
                      </w:divBdr>
                    </w:div>
                    <w:div w:id="1446384447">
                      <w:marLeft w:val="0"/>
                      <w:marRight w:val="0"/>
                      <w:marTop w:val="0"/>
                      <w:marBottom w:val="0"/>
                      <w:divBdr>
                        <w:top w:val="none" w:sz="0" w:space="0" w:color="auto"/>
                        <w:left w:val="none" w:sz="0" w:space="0" w:color="auto"/>
                        <w:bottom w:val="none" w:sz="0" w:space="0" w:color="auto"/>
                        <w:right w:val="none" w:sz="0" w:space="0" w:color="auto"/>
                      </w:divBdr>
                    </w:div>
                    <w:div w:id="1560674864">
                      <w:marLeft w:val="0"/>
                      <w:marRight w:val="0"/>
                      <w:marTop w:val="0"/>
                      <w:marBottom w:val="0"/>
                      <w:divBdr>
                        <w:top w:val="none" w:sz="0" w:space="0" w:color="auto"/>
                        <w:left w:val="none" w:sz="0" w:space="0" w:color="auto"/>
                        <w:bottom w:val="none" w:sz="0" w:space="0" w:color="auto"/>
                        <w:right w:val="none" w:sz="0" w:space="0" w:color="auto"/>
                      </w:divBdr>
                    </w:div>
                    <w:div w:id="168469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31470">
      <w:bodyDiv w:val="1"/>
      <w:marLeft w:val="0"/>
      <w:marRight w:val="0"/>
      <w:marTop w:val="0"/>
      <w:marBottom w:val="0"/>
      <w:divBdr>
        <w:top w:val="none" w:sz="0" w:space="0" w:color="auto"/>
        <w:left w:val="none" w:sz="0" w:space="0" w:color="auto"/>
        <w:bottom w:val="none" w:sz="0" w:space="0" w:color="auto"/>
        <w:right w:val="none" w:sz="0" w:space="0" w:color="auto"/>
      </w:divBdr>
      <w:divsChild>
        <w:div w:id="1898542346">
          <w:marLeft w:val="0"/>
          <w:marRight w:val="0"/>
          <w:marTop w:val="150"/>
          <w:marBottom w:val="150"/>
          <w:divBdr>
            <w:top w:val="none" w:sz="0" w:space="0" w:color="auto"/>
            <w:left w:val="none" w:sz="0" w:space="0" w:color="auto"/>
            <w:bottom w:val="none" w:sz="0" w:space="0" w:color="auto"/>
            <w:right w:val="none" w:sz="0" w:space="0" w:color="auto"/>
          </w:divBdr>
          <w:divsChild>
            <w:div w:id="366293378">
              <w:marLeft w:val="0"/>
              <w:marRight w:val="0"/>
              <w:marTop w:val="0"/>
              <w:marBottom w:val="0"/>
              <w:divBdr>
                <w:top w:val="none" w:sz="0" w:space="0" w:color="auto"/>
                <w:left w:val="none" w:sz="0" w:space="0" w:color="auto"/>
                <w:bottom w:val="none" w:sz="0" w:space="0" w:color="auto"/>
                <w:right w:val="none" w:sz="0" w:space="0" w:color="auto"/>
              </w:divBdr>
              <w:divsChild>
                <w:div w:id="1033965523">
                  <w:marLeft w:val="0"/>
                  <w:marRight w:val="0"/>
                  <w:marTop w:val="150"/>
                  <w:marBottom w:val="0"/>
                  <w:divBdr>
                    <w:top w:val="single" w:sz="6" w:space="11" w:color="DDDDDD"/>
                    <w:left w:val="single" w:sz="6" w:space="11" w:color="DDDDDD"/>
                    <w:bottom w:val="single" w:sz="6" w:space="11" w:color="DDDDDD"/>
                    <w:right w:val="single" w:sz="6" w:space="11" w:color="DDDDDD"/>
                  </w:divBdr>
                  <w:divsChild>
                    <w:div w:id="1926572800">
                      <w:marLeft w:val="0"/>
                      <w:marRight w:val="0"/>
                      <w:marTop w:val="0"/>
                      <w:marBottom w:val="0"/>
                      <w:divBdr>
                        <w:top w:val="none" w:sz="0" w:space="0" w:color="auto"/>
                        <w:left w:val="none" w:sz="0" w:space="0" w:color="auto"/>
                        <w:bottom w:val="none" w:sz="0" w:space="0" w:color="auto"/>
                        <w:right w:val="none" w:sz="0" w:space="0" w:color="auto"/>
                      </w:divBdr>
                      <w:divsChild>
                        <w:div w:id="1556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65008">
      <w:bodyDiv w:val="1"/>
      <w:marLeft w:val="0"/>
      <w:marRight w:val="0"/>
      <w:marTop w:val="0"/>
      <w:marBottom w:val="0"/>
      <w:divBdr>
        <w:top w:val="none" w:sz="0" w:space="0" w:color="auto"/>
        <w:left w:val="none" w:sz="0" w:space="0" w:color="auto"/>
        <w:bottom w:val="none" w:sz="0" w:space="0" w:color="auto"/>
        <w:right w:val="none" w:sz="0" w:space="0" w:color="auto"/>
      </w:divBdr>
      <w:divsChild>
        <w:div w:id="1785071194">
          <w:marLeft w:val="0"/>
          <w:marRight w:val="0"/>
          <w:marTop w:val="90"/>
          <w:marBottom w:val="105"/>
          <w:divBdr>
            <w:top w:val="none" w:sz="0" w:space="0" w:color="auto"/>
            <w:left w:val="none" w:sz="0" w:space="0" w:color="auto"/>
            <w:bottom w:val="none" w:sz="0" w:space="0" w:color="auto"/>
            <w:right w:val="none" w:sz="0" w:space="0" w:color="auto"/>
          </w:divBdr>
          <w:divsChild>
            <w:div w:id="1771005758">
              <w:marLeft w:val="0"/>
              <w:marRight w:val="0"/>
              <w:marTop w:val="0"/>
              <w:marBottom w:val="0"/>
              <w:divBdr>
                <w:top w:val="none" w:sz="0" w:space="0" w:color="auto"/>
                <w:left w:val="none" w:sz="0" w:space="0" w:color="auto"/>
                <w:bottom w:val="none" w:sz="0" w:space="0" w:color="auto"/>
                <w:right w:val="none" w:sz="0" w:space="0" w:color="auto"/>
              </w:divBdr>
              <w:divsChild>
                <w:div w:id="546718964">
                  <w:marLeft w:val="0"/>
                  <w:marRight w:val="0"/>
                  <w:marTop w:val="0"/>
                  <w:marBottom w:val="0"/>
                  <w:divBdr>
                    <w:top w:val="none" w:sz="0" w:space="0" w:color="auto"/>
                    <w:left w:val="none" w:sz="0" w:space="0" w:color="auto"/>
                    <w:bottom w:val="none" w:sz="0" w:space="0" w:color="auto"/>
                    <w:right w:val="none" w:sz="0" w:space="0" w:color="auto"/>
                  </w:divBdr>
                  <w:divsChild>
                    <w:div w:id="2011834992">
                      <w:marLeft w:val="0"/>
                      <w:marRight w:val="0"/>
                      <w:marTop w:val="0"/>
                      <w:marBottom w:val="0"/>
                      <w:divBdr>
                        <w:top w:val="none" w:sz="0" w:space="0" w:color="auto"/>
                        <w:left w:val="none" w:sz="0" w:space="0" w:color="auto"/>
                        <w:bottom w:val="none" w:sz="0" w:space="0" w:color="auto"/>
                        <w:right w:val="none" w:sz="0" w:space="0" w:color="auto"/>
                      </w:divBdr>
                      <w:divsChild>
                        <w:div w:id="1292516012">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1084453184">
      <w:bodyDiv w:val="1"/>
      <w:marLeft w:val="0"/>
      <w:marRight w:val="0"/>
      <w:marTop w:val="0"/>
      <w:marBottom w:val="0"/>
      <w:divBdr>
        <w:top w:val="none" w:sz="0" w:space="0" w:color="auto"/>
        <w:left w:val="none" w:sz="0" w:space="0" w:color="auto"/>
        <w:bottom w:val="none" w:sz="0" w:space="0" w:color="auto"/>
        <w:right w:val="none" w:sz="0" w:space="0" w:color="auto"/>
      </w:divBdr>
    </w:div>
    <w:div w:id="1084454281">
      <w:bodyDiv w:val="1"/>
      <w:marLeft w:val="0"/>
      <w:marRight w:val="0"/>
      <w:marTop w:val="0"/>
      <w:marBottom w:val="0"/>
      <w:divBdr>
        <w:top w:val="none" w:sz="0" w:space="0" w:color="auto"/>
        <w:left w:val="none" w:sz="0" w:space="0" w:color="auto"/>
        <w:bottom w:val="none" w:sz="0" w:space="0" w:color="auto"/>
        <w:right w:val="none" w:sz="0" w:space="0" w:color="auto"/>
      </w:divBdr>
      <w:divsChild>
        <w:div w:id="1466846522">
          <w:marLeft w:val="0"/>
          <w:marRight w:val="0"/>
          <w:marTop w:val="0"/>
          <w:marBottom w:val="0"/>
          <w:divBdr>
            <w:top w:val="none" w:sz="0" w:space="0" w:color="auto"/>
            <w:left w:val="none" w:sz="0" w:space="0" w:color="auto"/>
            <w:bottom w:val="none" w:sz="0" w:space="0" w:color="auto"/>
            <w:right w:val="none" w:sz="0" w:space="0" w:color="auto"/>
          </w:divBdr>
          <w:divsChild>
            <w:div w:id="519320535">
              <w:marLeft w:val="0"/>
              <w:marRight w:val="0"/>
              <w:marTop w:val="0"/>
              <w:marBottom w:val="0"/>
              <w:divBdr>
                <w:top w:val="none" w:sz="0" w:space="0" w:color="auto"/>
                <w:left w:val="none" w:sz="0" w:space="0" w:color="auto"/>
                <w:bottom w:val="none" w:sz="0" w:space="0" w:color="auto"/>
                <w:right w:val="none" w:sz="0" w:space="0" w:color="auto"/>
              </w:divBdr>
              <w:divsChild>
                <w:div w:id="2025131493">
                  <w:marLeft w:val="0"/>
                  <w:marRight w:val="0"/>
                  <w:marTop w:val="0"/>
                  <w:marBottom w:val="0"/>
                  <w:divBdr>
                    <w:top w:val="none" w:sz="0" w:space="0" w:color="auto"/>
                    <w:left w:val="none" w:sz="0" w:space="0" w:color="auto"/>
                    <w:bottom w:val="none" w:sz="0" w:space="0" w:color="auto"/>
                    <w:right w:val="none" w:sz="0" w:space="0" w:color="auto"/>
                  </w:divBdr>
                  <w:divsChild>
                    <w:div w:id="1947930565">
                      <w:marLeft w:val="0"/>
                      <w:marRight w:val="0"/>
                      <w:marTop w:val="0"/>
                      <w:marBottom w:val="120"/>
                      <w:divBdr>
                        <w:top w:val="none" w:sz="0" w:space="0" w:color="auto"/>
                        <w:left w:val="none" w:sz="0" w:space="0" w:color="auto"/>
                        <w:bottom w:val="none" w:sz="0" w:space="0" w:color="auto"/>
                        <w:right w:val="none" w:sz="0" w:space="0" w:color="auto"/>
                      </w:divBdr>
                      <w:divsChild>
                        <w:div w:id="621039968">
                          <w:marLeft w:val="0"/>
                          <w:marRight w:val="0"/>
                          <w:marTop w:val="0"/>
                          <w:marBottom w:val="0"/>
                          <w:divBdr>
                            <w:top w:val="none" w:sz="0" w:space="0" w:color="auto"/>
                            <w:left w:val="none" w:sz="0" w:space="0" w:color="auto"/>
                            <w:bottom w:val="none" w:sz="0" w:space="0" w:color="auto"/>
                            <w:right w:val="none" w:sz="0" w:space="0" w:color="auto"/>
                          </w:divBdr>
                          <w:divsChild>
                            <w:div w:id="633484559">
                              <w:marLeft w:val="0"/>
                              <w:marRight w:val="0"/>
                              <w:marTop w:val="0"/>
                              <w:marBottom w:val="0"/>
                              <w:divBdr>
                                <w:top w:val="none" w:sz="0" w:space="0" w:color="auto"/>
                                <w:left w:val="none" w:sz="0" w:space="0" w:color="auto"/>
                                <w:bottom w:val="none" w:sz="0" w:space="0" w:color="auto"/>
                                <w:right w:val="none" w:sz="0" w:space="0" w:color="auto"/>
                              </w:divBdr>
                              <w:divsChild>
                                <w:div w:id="1413114525">
                                  <w:marLeft w:val="0"/>
                                  <w:marRight w:val="0"/>
                                  <w:marTop w:val="0"/>
                                  <w:marBottom w:val="0"/>
                                  <w:divBdr>
                                    <w:top w:val="none" w:sz="0" w:space="0" w:color="auto"/>
                                    <w:left w:val="none" w:sz="0" w:space="0" w:color="auto"/>
                                    <w:bottom w:val="none" w:sz="0" w:space="0" w:color="auto"/>
                                    <w:right w:val="none" w:sz="0" w:space="0" w:color="auto"/>
                                  </w:divBdr>
                                  <w:divsChild>
                                    <w:div w:id="309136901">
                                      <w:marLeft w:val="0"/>
                                      <w:marRight w:val="0"/>
                                      <w:marTop w:val="0"/>
                                      <w:marBottom w:val="0"/>
                                      <w:divBdr>
                                        <w:top w:val="none" w:sz="0" w:space="0" w:color="auto"/>
                                        <w:left w:val="none" w:sz="0" w:space="0" w:color="auto"/>
                                        <w:bottom w:val="none" w:sz="0" w:space="0" w:color="auto"/>
                                        <w:right w:val="none" w:sz="0" w:space="0" w:color="auto"/>
                                      </w:divBdr>
                                      <w:divsChild>
                                        <w:div w:id="3885737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4641176">
      <w:bodyDiv w:val="1"/>
      <w:marLeft w:val="0"/>
      <w:marRight w:val="0"/>
      <w:marTop w:val="0"/>
      <w:marBottom w:val="0"/>
      <w:divBdr>
        <w:top w:val="none" w:sz="0" w:space="0" w:color="auto"/>
        <w:left w:val="none" w:sz="0" w:space="0" w:color="auto"/>
        <w:bottom w:val="none" w:sz="0" w:space="0" w:color="auto"/>
        <w:right w:val="none" w:sz="0" w:space="0" w:color="auto"/>
      </w:divBdr>
    </w:div>
    <w:div w:id="1085760948">
      <w:bodyDiv w:val="1"/>
      <w:marLeft w:val="0"/>
      <w:marRight w:val="0"/>
      <w:marTop w:val="0"/>
      <w:marBottom w:val="0"/>
      <w:divBdr>
        <w:top w:val="none" w:sz="0" w:space="0" w:color="auto"/>
        <w:left w:val="none" w:sz="0" w:space="0" w:color="auto"/>
        <w:bottom w:val="none" w:sz="0" w:space="0" w:color="auto"/>
        <w:right w:val="none" w:sz="0" w:space="0" w:color="auto"/>
      </w:divBdr>
      <w:divsChild>
        <w:div w:id="87233666">
          <w:marLeft w:val="0"/>
          <w:marRight w:val="0"/>
          <w:marTop w:val="0"/>
          <w:marBottom w:val="0"/>
          <w:divBdr>
            <w:top w:val="none" w:sz="0" w:space="0" w:color="auto"/>
            <w:left w:val="none" w:sz="0" w:space="0" w:color="auto"/>
            <w:bottom w:val="none" w:sz="0" w:space="0" w:color="auto"/>
            <w:right w:val="none" w:sz="0" w:space="0" w:color="auto"/>
          </w:divBdr>
          <w:divsChild>
            <w:div w:id="910509541">
              <w:marLeft w:val="0"/>
              <w:marRight w:val="0"/>
              <w:marTop w:val="0"/>
              <w:marBottom w:val="0"/>
              <w:divBdr>
                <w:top w:val="none" w:sz="0" w:space="0" w:color="auto"/>
                <w:left w:val="none" w:sz="0" w:space="0" w:color="auto"/>
                <w:bottom w:val="none" w:sz="0" w:space="0" w:color="auto"/>
                <w:right w:val="none" w:sz="0" w:space="0" w:color="auto"/>
              </w:divBdr>
              <w:divsChild>
                <w:div w:id="1502624173">
                  <w:marLeft w:val="0"/>
                  <w:marRight w:val="0"/>
                  <w:marTop w:val="0"/>
                  <w:marBottom w:val="0"/>
                  <w:divBdr>
                    <w:top w:val="none" w:sz="0" w:space="0" w:color="auto"/>
                    <w:left w:val="none" w:sz="0" w:space="0" w:color="auto"/>
                    <w:bottom w:val="none" w:sz="0" w:space="0" w:color="auto"/>
                    <w:right w:val="none" w:sz="0" w:space="0" w:color="auto"/>
                  </w:divBdr>
                  <w:divsChild>
                    <w:div w:id="1729376869">
                      <w:marLeft w:val="0"/>
                      <w:marRight w:val="0"/>
                      <w:marTop w:val="0"/>
                      <w:marBottom w:val="120"/>
                      <w:divBdr>
                        <w:top w:val="none" w:sz="0" w:space="0" w:color="auto"/>
                        <w:left w:val="none" w:sz="0" w:space="0" w:color="auto"/>
                        <w:bottom w:val="none" w:sz="0" w:space="0" w:color="auto"/>
                        <w:right w:val="none" w:sz="0" w:space="0" w:color="auto"/>
                      </w:divBdr>
                      <w:divsChild>
                        <w:div w:id="2099715951">
                          <w:marLeft w:val="0"/>
                          <w:marRight w:val="0"/>
                          <w:marTop w:val="0"/>
                          <w:marBottom w:val="0"/>
                          <w:divBdr>
                            <w:top w:val="none" w:sz="0" w:space="0" w:color="auto"/>
                            <w:left w:val="none" w:sz="0" w:space="0" w:color="auto"/>
                            <w:bottom w:val="none" w:sz="0" w:space="0" w:color="auto"/>
                            <w:right w:val="none" w:sz="0" w:space="0" w:color="auto"/>
                          </w:divBdr>
                          <w:divsChild>
                            <w:div w:id="1182821030">
                              <w:marLeft w:val="0"/>
                              <w:marRight w:val="0"/>
                              <w:marTop w:val="0"/>
                              <w:marBottom w:val="0"/>
                              <w:divBdr>
                                <w:top w:val="none" w:sz="0" w:space="0" w:color="auto"/>
                                <w:left w:val="none" w:sz="0" w:space="0" w:color="auto"/>
                                <w:bottom w:val="none" w:sz="0" w:space="0" w:color="auto"/>
                                <w:right w:val="none" w:sz="0" w:space="0" w:color="auto"/>
                              </w:divBdr>
                              <w:divsChild>
                                <w:div w:id="1228226383">
                                  <w:marLeft w:val="0"/>
                                  <w:marRight w:val="0"/>
                                  <w:marTop w:val="0"/>
                                  <w:marBottom w:val="0"/>
                                  <w:divBdr>
                                    <w:top w:val="none" w:sz="0" w:space="0" w:color="auto"/>
                                    <w:left w:val="none" w:sz="0" w:space="0" w:color="auto"/>
                                    <w:bottom w:val="none" w:sz="0" w:space="0" w:color="auto"/>
                                    <w:right w:val="none" w:sz="0" w:space="0" w:color="auto"/>
                                  </w:divBdr>
                                  <w:divsChild>
                                    <w:div w:id="1925069276">
                                      <w:marLeft w:val="0"/>
                                      <w:marRight w:val="0"/>
                                      <w:marTop w:val="0"/>
                                      <w:marBottom w:val="0"/>
                                      <w:divBdr>
                                        <w:top w:val="none" w:sz="0" w:space="0" w:color="auto"/>
                                        <w:left w:val="none" w:sz="0" w:space="0" w:color="auto"/>
                                        <w:bottom w:val="none" w:sz="0" w:space="0" w:color="auto"/>
                                        <w:right w:val="none" w:sz="0" w:space="0" w:color="auto"/>
                                      </w:divBdr>
                                      <w:divsChild>
                                        <w:div w:id="10694194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476370">
      <w:bodyDiv w:val="1"/>
      <w:marLeft w:val="0"/>
      <w:marRight w:val="0"/>
      <w:marTop w:val="0"/>
      <w:marBottom w:val="0"/>
      <w:divBdr>
        <w:top w:val="none" w:sz="0" w:space="0" w:color="auto"/>
        <w:left w:val="none" w:sz="0" w:space="0" w:color="auto"/>
        <w:bottom w:val="none" w:sz="0" w:space="0" w:color="auto"/>
        <w:right w:val="none" w:sz="0" w:space="0" w:color="auto"/>
      </w:divBdr>
      <w:divsChild>
        <w:div w:id="1509712207">
          <w:marLeft w:val="0"/>
          <w:marRight w:val="0"/>
          <w:marTop w:val="90"/>
          <w:marBottom w:val="105"/>
          <w:divBdr>
            <w:top w:val="none" w:sz="0" w:space="0" w:color="auto"/>
            <w:left w:val="none" w:sz="0" w:space="0" w:color="auto"/>
            <w:bottom w:val="none" w:sz="0" w:space="0" w:color="auto"/>
            <w:right w:val="none" w:sz="0" w:space="0" w:color="auto"/>
          </w:divBdr>
          <w:divsChild>
            <w:div w:id="351690020">
              <w:marLeft w:val="0"/>
              <w:marRight w:val="0"/>
              <w:marTop w:val="0"/>
              <w:marBottom w:val="0"/>
              <w:divBdr>
                <w:top w:val="none" w:sz="0" w:space="0" w:color="auto"/>
                <w:left w:val="none" w:sz="0" w:space="0" w:color="auto"/>
                <w:bottom w:val="none" w:sz="0" w:space="0" w:color="auto"/>
                <w:right w:val="none" w:sz="0" w:space="0" w:color="auto"/>
              </w:divBdr>
              <w:divsChild>
                <w:div w:id="1665357724">
                  <w:marLeft w:val="0"/>
                  <w:marRight w:val="0"/>
                  <w:marTop w:val="0"/>
                  <w:marBottom w:val="0"/>
                  <w:divBdr>
                    <w:top w:val="none" w:sz="0" w:space="0" w:color="auto"/>
                    <w:left w:val="none" w:sz="0" w:space="0" w:color="auto"/>
                    <w:bottom w:val="none" w:sz="0" w:space="0" w:color="auto"/>
                    <w:right w:val="none" w:sz="0" w:space="0" w:color="auto"/>
                  </w:divBdr>
                  <w:divsChild>
                    <w:div w:id="641689213">
                      <w:marLeft w:val="0"/>
                      <w:marRight w:val="0"/>
                      <w:marTop w:val="0"/>
                      <w:marBottom w:val="0"/>
                      <w:divBdr>
                        <w:top w:val="none" w:sz="0" w:space="0" w:color="auto"/>
                        <w:left w:val="none" w:sz="0" w:space="0" w:color="auto"/>
                        <w:bottom w:val="none" w:sz="0" w:space="0" w:color="auto"/>
                        <w:right w:val="none" w:sz="0" w:space="0" w:color="auto"/>
                      </w:divBdr>
                      <w:divsChild>
                        <w:div w:id="1360623912">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1129662407">
      <w:bodyDiv w:val="1"/>
      <w:marLeft w:val="0"/>
      <w:marRight w:val="0"/>
      <w:marTop w:val="0"/>
      <w:marBottom w:val="0"/>
      <w:divBdr>
        <w:top w:val="none" w:sz="0" w:space="0" w:color="auto"/>
        <w:left w:val="none" w:sz="0" w:space="0" w:color="auto"/>
        <w:bottom w:val="none" w:sz="0" w:space="0" w:color="auto"/>
        <w:right w:val="none" w:sz="0" w:space="0" w:color="auto"/>
      </w:divBdr>
    </w:div>
    <w:div w:id="1140801281">
      <w:bodyDiv w:val="1"/>
      <w:marLeft w:val="0"/>
      <w:marRight w:val="0"/>
      <w:marTop w:val="0"/>
      <w:marBottom w:val="0"/>
      <w:divBdr>
        <w:top w:val="none" w:sz="0" w:space="0" w:color="auto"/>
        <w:left w:val="none" w:sz="0" w:space="0" w:color="auto"/>
        <w:bottom w:val="none" w:sz="0" w:space="0" w:color="auto"/>
        <w:right w:val="none" w:sz="0" w:space="0" w:color="auto"/>
      </w:divBdr>
      <w:divsChild>
        <w:div w:id="1735202516">
          <w:marLeft w:val="0"/>
          <w:marRight w:val="0"/>
          <w:marTop w:val="90"/>
          <w:marBottom w:val="105"/>
          <w:divBdr>
            <w:top w:val="none" w:sz="0" w:space="0" w:color="auto"/>
            <w:left w:val="none" w:sz="0" w:space="0" w:color="auto"/>
            <w:bottom w:val="none" w:sz="0" w:space="0" w:color="auto"/>
            <w:right w:val="none" w:sz="0" w:space="0" w:color="auto"/>
          </w:divBdr>
          <w:divsChild>
            <w:div w:id="2057388923">
              <w:marLeft w:val="0"/>
              <w:marRight w:val="0"/>
              <w:marTop w:val="0"/>
              <w:marBottom w:val="0"/>
              <w:divBdr>
                <w:top w:val="none" w:sz="0" w:space="0" w:color="auto"/>
                <w:left w:val="none" w:sz="0" w:space="0" w:color="auto"/>
                <w:bottom w:val="none" w:sz="0" w:space="0" w:color="auto"/>
                <w:right w:val="none" w:sz="0" w:space="0" w:color="auto"/>
              </w:divBdr>
              <w:divsChild>
                <w:div w:id="540557276">
                  <w:marLeft w:val="0"/>
                  <w:marRight w:val="0"/>
                  <w:marTop w:val="0"/>
                  <w:marBottom w:val="0"/>
                  <w:divBdr>
                    <w:top w:val="none" w:sz="0" w:space="0" w:color="auto"/>
                    <w:left w:val="none" w:sz="0" w:space="0" w:color="auto"/>
                    <w:bottom w:val="none" w:sz="0" w:space="0" w:color="auto"/>
                    <w:right w:val="none" w:sz="0" w:space="0" w:color="auto"/>
                  </w:divBdr>
                  <w:divsChild>
                    <w:div w:id="880439575">
                      <w:marLeft w:val="0"/>
                      <w:marRight w:val="0"/>
                      <w:marTop w:val="0"/>
                      <w:marBottom w:val="0"/>
                      <w:divBdr>
                        <w:top w:val="none" w:sz="0" w:space="0" w:color="auto"/>
                        <w:left w:val="none" w:sz="0" w:space="0" w:color="auto"/>
                        <w:bottom w:val="none" w:sz="0" w:space="0" w:color="auto"/>
                        <w:right w:val="none" w:sz="0" w:space="0" w:color="auto"/>
                      </w:divBdr>
                      <w:divsChild>
                        <w:div w:id="806971971">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1166239656">
      <w:bodyDiv w:val="1"/>
      <w:marLeft w:val="0"/>
      <w:marRight w:val="0"/>
      <w:marTop w:val="0"/>
      <w:marBottom w:val="0"/>
      <w:divBdr>
        <w:top w:val="none" w:sz="0" w:space="0" w:color="auto"/>
        <w:left w:val="none" w:sz="0" w:space="0" w:color="auto"/>
        <w:bottom w:val="none" w:sz="0" w:space="0" w:color="auto"/>
        <w:right w:val="none" w:sz="0" w:space="0" w:color="auto"/>
      </w:divBdr>
    </w:div>
    <w:div w:id="1181505083">
      <w:bodyDiv w:val="1"/>
      <w:marLeft w:val="0"/>
      <w:marRight w:val="0"/>
      <w:marTop w:val="0"/>
      <w:marBottom w:val="0"/>
      <w:divBdr>
        <w:top w:val="none" w:sz="0" w:space="0" w:color="auto"/>
        <w:left w:val="none" w:sz="0" w:space="0" w:color="auto"/>
        <w:bottom w:val="none" w:sz="0" w:space="0" w:color="auto"/>
        <w:right w:val="none" w:sz="0" w:space="0" w:color="auto"/>
      </w:divBdr>
    </w:div>
    <w:div w:id="1192693635">
      <w:bodyDiv w:val="1"/>
      <w:marLeft w:val="0"/>
      <w:marRight w:val="0"/>
      <w:marTop w:val="0"/>
      <w:marBottom w:val="0"/>
      <w:divBdr>
        <w:top w:val="none" w:sz="0" w:space="0" w:color="auto"/>
        <w:left w:val="none" w:sz="0" w:space="0" w:color="auto"/>
        <w:bottom w:val="none" w:sz="0" w:space="0" w:color="auto"/>
        <w:right w:val="none" w:sz="0" w:space="0" w:color="auto"/>
      </w:divBdr>
      <w:divsChild>
        <w:div w:id="1533572246">
          <w:marLeft w:val="0"/>
          <w:marRight w:val="0"/>
          <w:marTop w:val="0"/>
          <w:marBottom w:val="0"/>
          <w:divBdr>
            <w:top w:val="none" w:sz="0" w:space="0" w:color="auto"/>
            <w:left w:val="none" w:sz="0" w:space="0" w:color="auto"/>
            <w:bottom w:val="none" w:sz="0" w:space="0" w:color="auto"/>
            <w:right w:val="none" w:sz="0" w:space="0" w:color="auto"/>
          </w:divBdr>
          <w:divsChild>
            <w:div w:id="497573163">
              <w:marLeft w:val="0"/>
              <w:marRight w:val="0"/>
              <w:marTop w:val="0"/>
              <w:marBottom w:val="0"/>
              <w:divBdr>
                <w:top w:val="none" w:sz="0" w:space="0" w:color="auto"/>
                <w:left w:val="none" w:sz="0" w:space="0" w:color="auto"/>
                <w:bottom w:val="none" w:sz="0" w:space="0" w:color="auto"/>
                <w:right w:val="none" w:sz="0" w:space="0" w:color="auto"/>
              </w:divBdr>
              <w:divsChild>
                <w:div w:id="1782917544">
                  <w:marLeft w:val="0"/>
                  <w:marRight w:val="0"/>
                  <w:marTop w:val="0"/>
                  <w:marBottom w:val="0"/>
                  <w:divBdr>
                    <w:top w:val="single" w:sz="18" w:space="0" w:color="08237A"/>
                    <w:left w:val="none" w:sz="0" w:space="0" w:color="auto"/>
                    <w:bottom w:val="none" w:sz="0" w:space="0" w:color="auto"/>
                    <w:right w:val="none" w:sz="0" w:space="0" w:color="auto"/>
                  </w:divBdr>
                  <w:divsChild>
                    <w:div w:id="1154951867">
                      <w:marLeft w:val="0"/>
                      <w:marRight w:val="0"/>
                      <w:marTop w:val="0"/>
                      <w:marBottom w:val="0"/>
                      <w:divBdr>
                        <w:top w:val="single" w:sz="2" w:space="8" w:color="BBBBBB"/>
                        <w:left w:val="single" w:sz="6" w:space="0" w:color="BBBBBB"/>
                        <w:bottom w:val="single" w:sz="6" w:space="0" w:color="BBBBBB"/>
                        <w:right w:val="single" w:sz="6" w:space="0" w:color="BBBBBB"/>
                      </w:divBdr>
                      <w:divsChild>
                        <w:div w:id="119618356">
                          <w:marLeft w:val="0"/>
                          <w:marRight w:val="0"/>
                          <w:marTop w:val="0"/>
                          <w:marBottom w:val="0"/>
                          <w:divBdr>
                            <w:top w:val="none" w:sz="0" w:space="0" w:color="auto"/>
                            <w:left w:val="none" w:sz="0" w:space="0" w:color="auto"/>
                            <w:bottom w:val="none" w:sz="0" w:space="0" w:color="auto"/>
                            <w:right w:val="none" w:sz="0" w:space="0" w:color="auto"/>
                          </w:divBdr>
                          <w:divsChild>
                            <w:div w:id="1186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9119">
      <w:bodyDiv w:val="1"/>
      <w:marLeft w:val="0"/>
      <w:marRight w:val="0"/>
      <w:marTop w:val="0"/>
      <w:marBottom w:val="0"/>
      <w:divBdr>
        <w:top w:val="none" w:sz="0" w:space="0" w:color="auto"/>
        <w:left w:val="none" w:sz="0" w:space="0" w:color="auto"/>
        <w:bottom w:val="none" w:sz="0" w:space="0" w:color="auto"/>
        <w:right w:val="none" w:sz="0" w:space="0" w:color="auto"/>
      </w:divBdr>
    </w:div>
    <w:div w:id="1234318013">
      <w:bodyDiv w:val="1"/>
      <w:marLeft w:val="0"/>
      <w:marRight w:val="0"/>
      <w:marTop w:val="0"/>
      <w:marBottom w:val="0"/>
      <w:divBdr>
        <w:top w:val="none" w:sz="0" w:space="0" w:color="auto"/>
        <w:left w:val="none" w:sz="0" w:space="0" w:color="auto"/>
        <w:bottom w:val="none" w:sz="0" w:space="0" w:color="auto"/>
        <w:right w:val="none" w:sz="0" w:space="0" w:color="auto"/>
      </w:divBdr>
      <w:divsChild>
        <w:div w:id="1373266369">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253755958">
                  <w:marLeft w:val="0"/>
                  <w:marRight w:val="0"/>
                  <w:marTop w:val="0"/>
                  <w:marBottom w:val="0"/>
                  <w:divBdr>
                    <w:top w:val="single" w:sz="18" w:space="0" w:color="08237A"/>
                    <w:left w:val="none" w:sz="0" w:space="0" w:color="auto"/>
                    <w:bottom w:val="none" w:sz="0" w:space="0" w:color="auto"/>
                    <w:right w:val="none" w:sz="0" w:space="0" w:color="auto"/>
                  </w:divBdr>
                  <w:divsChild>
                    <w:div w:id="560601667">
                      <w:marLeft w:val="0"/>
                      <w:marRight w:val="0"/>
                      <w:marTop w:val="0"/>
                      <w:marBottom w:val="0"/>
                      <w:divBdr>
                        <w:top w:val="single" w:sz="2" w:space="8" w:color="BBBBBB"/>
                        <w:left w:val="single" w:sz="6" w:space="0" w:color="BBBBBB"/>
                        <w:bottom w:val="single" w:sz="6" w:space="0" w:color="BBBBBB"/>
                        <w:right w:val="single" w:sz="6" w:space="0" w:color="BBBBBB"/>
                      </w:divBdr>
                      <w:divsChild>
                        <w:div w:id="158815025">
                          <w:marLeft w:val="0"/>
                          <w:marRight w:val="0"/>
                          <w:marTop w:val="0"/>
                          <w:marBottom w:val="0"/>
                          <w:divBdr>
                            <w:top w:val="none" w:sz="0" w:space="0" w:color="auto"/>
                            <w:left w:val="none" w:sz="0" w:space="0" w:color="auto"/>
                            <w:bottom w:val="none" w:sz="0" w:space="0" w:color="auto"/>
                            <w:right w:val="none" w:sz="0" w:space="0" w:color="auto"/>
                          </w:divBdr>
                          <w:divsChild>
                            <w:div w:id="200045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540611">
      <w:bodyDiv w:val="1"/>
      <w:marLeft w:val="0"/>
      <w:marRight w:val="0"/>
      <w:marTop w:val="0"/>
      <w:marBottom w:val="0"/>
      <w:divBdr>
        <w:top w:val="none" w:sz="0" w:space="0" w:color="auto"/>
        <w:left w:val="none" w:sz="0" w:space="0" w:color="auto"/>
        <w:bottom w:val="none" w:sz="0" w:space="0" w:color="auto"/>
        <w:right w:val="none" w:sz="0" w:space="0" w:color="auto"/>
      </w:divBdr>
      <w:divsChild>
        <w:div w:id="1088694527">
          <w:marLeft w:val="0"/>
          <w:marRight w:val="0"/>
          <w:marTop w:val="150"/>
          <w:marBottom w:val="150"/>
          <w:divBdr>
            <w:top w:val="none" w:sz="0" w:space="0" w:color="auto"/>
            <w:left w:val="none" w:sz="0" w:space="0" w:color="auto"/>
            <w:bottom w:val="none" w:sz="0" w:space="0" w:color="auto"/>
            <w:right w:val="none" w:sz="0" w:space="0" w:color="auto"/>
          </w:divBdr>
          <w:divsChild>
            <w:div w:id="490171138">
              <w:marLeft w:val="0"/>
              <w:marRight w:val="0"/>
              <w:marTop w:val="0"/>
              <w:marBottom w:val="0"/>
              <w:divBdr>
                <w:top w:val="none" w:sz="0" w:space="0" w:color="auto"/>
                <w:left w:val="none" w:sz="0" w:space="0" w:color="auto"/>
                <w:bottom w:val="none" w:sz="0" w:space="0" w:color="auto"/>
                <w:right w:val="none" w:sz="0" w:space="0" w:color="auto"/>
              </w:divBdr>
              <w:divsChild>
                <w:div w:id="370229483">
                  <w:marLeft w:val="0"/>
                  <w:marRight w:val="0"/>
                  <w:marTop w:val="150"/>
                  <w:marBottom w:val="0"/>
                  <w:divBdr>
                    <w:top w:val="single" w:sz="6" w:space="11" w:color="DDDDDD"/>
                    <w:left w:val="single" w:sz="6" w:space="11" w:color="DDDDDD"/>
                    <w:bottom w:val="single" w:sz="6" w:space="11" w:color="DDDDDD"/>
                    <w:right w:val="single" w:sz="6" w:space="11" w:color="DDDDDD"/>
                  </w:divBdr>
                  <w:divsChild>
                    <w:div w:id="19280923">
                      <w:marLeft w:val="0"/>
                      <w:marRight w:val="0"/>
                      <w:marTop w:val="0"/>
                      <w:marBottom w:val="0"/>
                      <w:divBdr>
                        <w:top w:val="none" w:sz="0" w:space="0" w:color="auto"/>
                        <w:left w:val="none" w:sz="0" w:space="0" w:color="auto"/>
                        <w:bottom w:val="none" w:sz="0" w:space="0" w:color="auto"/>
                        <w:right w:val="none" w:sz="0" w:space="0" w:color="auto"/>
                      </w:divBdr>
                      <w:divsChild>
                        <w:div w:id="20795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541525">
      <w:bodyDiv w:val="1"/>
      <w:marLeft w:val="0"/>
      <w:marRight w:val="0"/>
      <w:marTop w:val="0"/>
      <w:marBottom w:val="0"/>
      <w:divBdr>
        <w:top w:val="none" w:sz="0" w:space="0" w:color="auto"/>
        <w:left w:val="none" w:sz="0" w:space="0" w:color="auto"/>
        <w:bottom w:val="none" w:sz="0" w:space="0" w:color="auto"/>
        <w:right w:val="none" w:sz="0" w:space="0" w:color="auto"/>
      </w:divBdr>
      <w:divsChild>
        <w:div w:id="872379769">
          <w:marLeft w:val="0"/>
          <w:marRight w:val="0"/>
          <w:marTop w:val="150"/>
          <w:marBottom w:val="150"/>
          <w:divBdr>
            <w:top w:val="none" w:sz="0" w:space="0" w:color="auto"/>
            <w:left w:val="none" w:sz="0" w:space="0" w:color="auto"/>
            <w:bottom w:val="none" w:sz="0" w:space="0" w:color="auto"/>
            <w:right w:val="none" w:sz="0" w:space="0" w:color="auto"/>
          </w:divBdr>
          <w:divsChild>
            <w:div w:id="1700663879">
              <w:marLeft w:val="0"/>
              <w:marRight w:val="0"/>
              <w:marTop w:val="0"/>
              <w:marBottom w:val="0"/>
              <w:divBdr>
                <w:top w:val="none" w:sz="0" w:space="0" w:color="auto"/>
                <w:left w:val="none" w:sz="0" w:space="0" w:color="auto"/>
                <w:bottom w:val="none" w:sz="0" w:space="0" w:color="auto"/>
                <w:right w:val="none" w:sz="0" w:space="0" w:color="auto"/>
              </w:divBdr>
              <w:divsChild>
                <w:div w:id="524249898">
                  <w:marLeft w:val="0"/>
                  <w:marRight w:val="0"/>
                  <w:marTop w:val="150"/>
                  <w:marBottom w:val="0"/>
                  <w:divBdr>
                    <w:top w:val="single" w:sz="6" w:space="11" w:color="DDDDDD"/>
                    <w:left w:val="single" w:sz="6" w:space="11" w:color="DDDDDD"/>
                    <w:bottom w:val="single" w:sz="6" w:space="11" w:color="DDDDDD"/>
                    <w:right w:val="single" w:sz="6" w:space="11" w:color="DDDDDD"/>
                  </w:divBdr>
                  <w:divsChild>
                    <w:div w:id="1403522673">
                      <w:marLeft w:val="0"/>
                      <w:marRight w:val="0"/>
                      <w:marTop w:val="0"/>
                      <w:marBottom w:val="0"/>
                      <w:divBdr>
                        <w:top w:val="none" w:sz="0" w:space="0" w:color="auto"/>
                        <w:left w:val="none" w:sz="0" w:space="0" w:color="auto"/>
                        <w:bottom w:val="none" w:sz="0" w:space="0" w:color="auto"/>
                        <w:right w:val="none" w:sz="0" w:space="0" w:color="auto"/>
                      </w:divBdr>
                      <w:divsChild>
                        <w:div w:id="55693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619071">
      <w:bodyDiv w:val="1"/>
      <w:marLeft w:val="0"/>
      <w:marRight w:val="0"/>
      <w:marTop w:val="0"/>
      <w:marBottom w:val="0"/>
      <w:divBdr>
        <w:top w:val="none" w:sz="0" w:space="0" w:color="auto"/>
        <w:left w:val="none" w:sz="0" w:space="0" w:color="auto"/>
        <w:bottom w:val="none" w:sz="0" w:space="0" w:color="auto"/>
        <w:right w:val="none" w:sz="0" w:space="0" w:color="auto"/>
      </w:divBdr>
    </w:div>
    <w:div w:id="1255438610">
      <w:bodyDiv w:val="1"/>
      <w:marLeft w:val="0"/>
      <w:marRight w:val="0"/>
      <w:marTop w:val="0"/>
      <w:marBottom w:val="0"/>
      <w:divBdr>
        <w:top w:val="none" w:sz="0" w:space="0" w:color="auto"/>
        <w:left w:val="none" w:sz="0" w:space="0" w:color="auto"/>
        <w:bottom w:val="none" w:sz="0" w:space="0" w:color="auto"/>
        <w:right w:val="none" w:sz="0" w:space="0" w:color="auto"/>
      </w:divBdr>
    </w:div>
    <w:div w:id="1257127845">
      <w:bodyDiv w:val="1"/>
      <w:marLeft w:val="0"/>
      <w:marRight w:val="0"/>
      <w:marTop w:val="0"/>
      <w:marBottom w:val="0"/>
      <w:divBdr>
        <w:top w:val="none" w:sz="0" w:space="0" w:color="auto"/>
        <w:left w:val="none" w:sz="0" w:space="0" w:color="auto"/>
        <w:bottom w:val="none" w:sz="0" w:space="0" w:color="auto"/>
        <w:right w:val="none" w:sz="0" w:space="0" w:color="auto"/>
      </w:divBdr>
    </w:div>
    <w:div w:id="1258443597">
      <w:bodyDiv w:val="1"/>
      <w:marLeft w:val="0"/>
      <w:marRight w:val="0"/>
      <w:marTop w:val="0"/>
      <w:marBottom w:val="0"/>
      <w:divBdr>
        <w:top w:val="none" w:sz="0" w:space="0" w:color="auto"/>
        <w:left w:val="none" w:sz="0" w:space="0" w:color="auto"/>
        <w:bottom w:val="none" w:sz="0" w:space="0" w:color="auto"/>
        <w:right w:val="none" w:sz="0" w:space="0" w:color="auto"/>
      </w:divBdr>
      <w:divsChild>
        <w:div w:id="806971892">
          <w:marLeft w:val="0"/>
          <w:marRight w:val="0"/>
          <w:marTop w:val="90"/>
          <w:marBottom w:val="105"/>
          <w:divBdr>
            <w:top w:val="none" w:sz="0" w:space="0" w:color="auto"/>
            <w:left w:val="none" w:sz="0" w:space="0" w:color="auto"/>
            <w:bottom w:val="none" w:sz="0" w:space="0" w:color="auto"/>
            <w:right w:val="none" w:sz="0" w:space="0" w:color="auto"/>
          </w:divBdr>
          <w:divsChild>
            <w:div w:id="449055199">
              <w:marLeft w:val="0"/>
              <w:marRight w:val="0"/>
              <w:marTop w:val="0"/>
              <w:marBottom w:val="0"/>
              <w:divBdr>
                <w:top w:val="none" w:sz="0" w:space="0" w:color="auto"/>
                <w:left w:val="none" w:sz="0" w:space="0" w:color="auto"/>
                <w:bottom w:val="none" w:sz="0" w:space="0" w:color="auto"/>
                <w:right w:val="none" w:sz="0" w:space="0" w:color="auto"/>
              </w:divBdr>
              <w:divsChild>
                <w:div w:id="814106289">
                  <w:marLeft w:val="0"/>
                  <w:marRight w:val="0"/>
                  <w:marTop w:val="0"/>
                  <w:marBottom w:val="0"/>
                  <w:divBdr>
                    <w:top w:val="none" w:sz="0" w:space="0" w:color="auto"/>
                    <w:left w:val="none" w:sz="0" w:space="0" w:color="auto"/>
                    <w:bottom w:val="none" w:sz="0" w:space="0" w:color="auto"/>
                    <w:right w:val="none" w:sz="0" w:space="0" w:color="auto"/>
                  </w:divBdr>
                  <w:divsChild>
                    <w:div w:id="153374873">
                      <w:marLeft w:val="0"/>
                      <w:marRight w:val="0"/>
                      <w:marTop w:val="0"/>
                      <w:marBottom w:val="0"/>
                      <w:divBdr>
                        <w:top w:val="none" w:sz="0" w:space="0" w:color="auto"/>
                        <w:left w:val="none" w:sz="0" w:space="0" w:color="auto"/>
                        <w:bottom w:val="none" w:sz="0" w:space="0" w:color="auto"/>
                        <w:right w:val="none" w:sz="0" w:space="0" w:color="auto"/>
                      </w:divBdr>
                      <w:divsChild>
                        <w:div w:id="667634083">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1266690088">
      <w:bodyDiv w:val="1"/>
      <w:marLeft w:val="0"/>
      <w:marRight w:val="0"/>
      <w:marTop w:val="0"/>
      <w:marBottom w:val="0"/>
      <w:divBdr>
        <w:top w:val="none" w:sz="0" w:space="0" w:color="auto"/>
        <w:left w:val="none" w:sz="0" w:space="0" w:color="auto"/>
        <w:bottom w:val="none" w:sz="0" w:space="0" w:color="auto"/>
        <w:right w:val="none" w:sz="0" w:space="0" w:color="auto"/>
      </w:divBdr>
      <w:divsChild>
        <w:div w:id="179508751">
          <w:marLeft w:val="0"/>
          <w:marRight w:val="0"/>
          <w:marTop w:val="150"/>
          <w:marBottom w:val="150"/>
          <w:divBdr>
            <w:top w:val="none" w:sz="0" w:space="0" w:color="auto"/>
            <w:left w:val="none" w:sz="0" w:space="0" w:color="auto"/>
            <w:bottom w:val="none" w:sz="0" w:space="0" w:color="auto"/>
            <w:right w:val="none" w:sz="0" w:space="0" w:color="auto"/>
          </w:divBdr>
          <w:divsChild>
            <w:div w:id="1911694265">
              <w:marLeft w:val="0"/>
              <w:marRight w:val="0"/>
              <w:marTop w:val="0"/>
              <w:marBottom w:val="0"/>
              <w:divBdr>
                <w:top w:val="none" w:sz="0" w:space="0" w:color="auto"/>
                <w:left w:val="none" w:sz="0" w:space="0" w:color="auto"/>
                <w:bottom w:val="none" w:sz="0" w:space="0" w:color="auto"/>
                <w:right w:val="none" w:sz="0" w:space="0" w:color="auto"/>
              </w:divBdr>
              <w:divsChild>
                <w:div w:id="1002048132">
                  <w:marLeft w:val="0"/>
                  <w:marRight w:val="0"/>
                  <w:marTop w:val="150"/>
                  <w:marBottom w:val="0"/>
                  <w:divBdr>
                    <w:top w:val="single" w:sz="6" w:space="11" w:color="DDDDDD"/>
                    <w:left w:val="single" w:sz="6" w:space="11" w:color="DDDDDD"/>
                    <w:bottom w:val="single" w:sz="6" w:space="11" w:color="DDDDDD"/>
                    <w:right w:val="single" w:sz="6" w:space="11" w:color="DDDDDD"/>
                  </w:divBdr>
                  <w:divsChild>
                    <w:div w:id="104006197">
                      <w:marLeft w:val="0"/>
                      <w:marRight w:val="0"/>
                      <w:marTop w:val="0"/>
                      <w:marBottom w:val="0"/>
                      <w:divBdr>
                        <w:top w:val="none" w:sz="0" w:space="0" w:color="auto"/>
                        <w:left w:val="none" w:sz="0" w:space="0" w:color="auto"/>
                        <w:bottom w:val="none" w:sz="0" w:space="0" w:color="auto"/>
                        <w:right w:val="none" w:sz="0" w:space="0" w:color="auto"/>
                      </w:divBdr>
                      <w:divsChild>
                        <w:div w:id="17255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963668">
      <w:bodyDiv w:val="1"/>
      <w:marLeft w:val="0"/>
      <w:marRight w:val="0"/>
      <w:marTop w:val="0"/>
      <w:marBottom w:val="0"/>
      <w:divBdr>
        <w:top w:val="none" w:sz="0" w:space="0" w:color="auto"/>
        <w:left w:val="none" w:sz="0" w:space="0" w:color="auto"/>
        <w:bottom w:val="none" w:sz="0" w:space="0" w:color="auto"/>
        <w:right w:val="none" w:sz="0" w:space="0" w:color="auto"/>
      </w:divBdr>
      <w:divsChild>
        <w:div w:id="708729234">
          <w:marLeft w:val="0"/>
          <w:marRight w:val="0"/>
          <w:marTop w:val="0"/>
          <w:marBottom w:val="0"/>
          <w:divBdr>
            <w:top w:val="none" w:sz="0" w:space="0" w:color="auto"/>
            <w:left w:val="none" w:sz="0" w:space="0" w:color="auto"/>
            <w:bottom w:val="none" w:sz="0" w:space="0" w:color="auto"/>
            <w:right w:val="none" w:sz="0" w:space="0" w:color="auto"/>
          </w:divBdr>
          <w:divsChild>
            <w:div w:id="656689565">
              <w:marLeft w:val="0"/>
              <w:marRight w:val="0"/>
              <w:marTop w:val="0"/>
              <w:marBottom w:val="0"/>
              <w:divBdr>
                <w:top w:val="none" w:sz="0" w:space="0" w:color="auto"/>
                <w:left w:val="none" w:sz="0" w:space="0" w:color="auto"/>
                <w:bottom w:val="none" w:sz="0" w:space="0" w:color="auto"/>
                <w:right w:val="none" w:sz="0" w:space="0" w:color="auto"/>
              </w:divBdr>
              <w:divsChild>
                <w:div w:id="1255673524">
                  <w:marLeft w:val="0"/>
                  <w:marRight w:val="0"/>
                  <w:marTop w:val="0"/>
                  <w:marBottom w:val="0"/>
                  <w:divBdr>
                    <w:top w:val="none" w:sz="0" w:space="0" w:color="auto"/>
                    <w:left w:val="none" w:sz="0" w:space="0" w:color="auto"/>
                    <w:bottom w:val="none" w:sz="0" w:space="0" w:color="auto"/>
                    <w:right w:val="none" w:sz="0" w:space="0" w:color="auto"/>
                  </w:divBdr>
                  <w:divsChild>
                    <w:div w:id="292489162">
                      <w:marLeft w:val="0"/>
                      <w:marRight w:val="0"/>
                      <w:marTop w:val="0"/>
                      <w:marBottom w:val="120"/>
                      <w:divBdr>
                        <w:top w:val="none" w:sz="0" w:space="0" w:color="auto"/>
                        <w:left w:val="none" w:sz="0" w:space="0" w:color="auto"/>
                        <w:bottom w:val="none" w:sz="0" w:space="0" w:color="auto"/>
                        <w:right w:val="none" w:sz="0" w:space="0" w:color="auto"/>
                      </w:divBdr>
                      <w:divsChild>
                        <w:div w:id="1325888284">
                          <w:marLeft w:val="0"/>
                          <w:marRight w:val="0"/>
                          <w:marTop w:val="0"/>
                          <w:marBottom w:val="0"/>
                          <w:divBdr>
                            <w:top w:val="none" w:sz="0" w:space="0" w:color="auto"/>
                            <w:left w:val="none" w:sz="0" w:space="0" w:color="auto"/>
                            <w:bottom w:val="none" w:sz="0" w:space="0" w:color="auto"/>
                            <w:right w:val="none" w:sz="0" w:space="0" w:color="auto"/>
                          </w:divBdr>
                          <w:divsChild>
                            <w:div w:id="602030940">
                              <w:marLeft w:val="0"/>
                              <w:marRight w:val="0"/>
                              <w:marTop w:val="0"/>
                              <w:marBottom w:val="0"/>
                              <w:divBdr>
                                <w:top w:val="none" w:sz="0" w:space="0" w:color="auto"/>
                                <w:left w:val="none" w:sz="0" w:space="0" w:color="auto"/>
                                <w:bottom w:val="none" w:sz="0" w:space="0" w:color="auto"/>
                                <w:right w:val="none" w:sz="0" w:space="0" w:color="auto"/>
                              </w:divBdr>
                              <w:divsChild>
                                <w:div w:id="1171020540">
                                  <w:marLeft w:val="0"/>
                                  <w:marRight w:val="0"/>
                                  <w:marTop w:val="0"/>
                                  <w:marBottom w:val="0"/>
                                  <w:divBdr>
                                    <w:top w:val="none" w:sz="0" w:space="0" w:color="auto"/>
                                    <w:left w:val="none" w:sz="0" w:space="0" w:color="auto"/>
                                    <w:bottom w:val="none" w:sz="0" w:space="0" w:color="auto"/>
                                    <w:right w:val="none" w:sz="0" w:space="0" w:color="auto"/>
                                  </w:divBdr>
                                  <w:divsChild>
                                    <w:div w:id="259604940">
                                      <w:marLeft w:val="0"/>
                                      <w:marRight w:val="0"/>
                                      <w:marTop w:val="0"/>
                                      <w:marBottom w:val="0"/>
                                      <w:divBdr>
                                        <w:top w:val="none" w:sz="0" w:space="0" w:color="auto"/>
                                        <w:left w:val="none" w:sz="0" w:space="0" w:color="auto"/>
                                        <w:bottom w:val="none" w:sz="0" w:space="0" w:color="auto"/>
                                        <w:right w:val="none" w:sz="0" w:space="0" w:color="auto"/>
                                      </w:divBdr>
                                      <w:divsChild>
                                        <w:div w:id="20436252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212212">
      <w:bodyDiv w:val="1"/>
      <w:marLeft w:val="0"/>
      <w:marRight w:val="0"/>
      <w:marTop w:val="0"/>
      <w:marBottom w:val="0"/>
      <w:divBdr>
        <w:top w:val="none" w:sz="0" w:space="0" w:color="auto"/>
        <w:left w:val="none" w:sz="0" w:space="0" w:color="auto"/>
        <w:bottom w:val="none" w:sz="0" w:space="0" w:color="auto"/>
        <w:right w:val="none" w:sz="0" w:space="0" w:color="auto"/>
      </w:divBdr>
    </w:div>
    <w:div w:id="1305088934">
      <w:bodyDiv w:val="1"/>
      <w:marLeft w:val="0"/>
      <w:marRight w:val="0"/>
      <w:marTop w:val="0"/>
      <w:marBottom w:val="0"/>
      <w:divBdr>
        <w:top w:val="none" w:sz="0" w:space="0" w:color="auto"/>
        <w:left w:val="none" w:sz="0" w:space="0" w:color="auto"/>
        <w:bottom w:val="none" w:sz="0" w:space="0" w:color="auto"/>
        <w:right w:val="none" w:sz="0" w:space="0" w:color="auto"/>
      </w:divBdr>
      <w:divsChild>
        <w:div w:id="1844321621">
          <w:marLeft w:val="0"/>
          <w:marRight w:val="0"/>
          <w:marTop w:val="150"/>
          <w:marBottom w:val="150"/>
          <w:divBdr>
            <w:top w:val="none" w:sz="0" w:space="0" w:color="auto"/>
            <w:left w:val="none" w:sz="0" w:space="0" w:color="auto"/>
            <w:bottom w:val="none" w:sz="0" w:space="0" w:color="auto"/>
            <w:right w:val="none" w:sz="0" w:space="0" w:color="auto"/>
          </w:divBdr>
          <w:divsChild>
            <w:div w:id="1600093806">
              <w:marLeft w:val="0"/>
              <w:marRight w:val="0"/>
              <w:marTop w:val="0"/>
              <w:marBottom w:val="0"/>
              <w:divBdr>
                <w:top w:val="none" w:sz="0" w:space="0" w:color="auto"/>
                <w:left w:val="none" w:sz="0" w:space="0" w:color="auto"/>
                <w:bottom w:val="none" w:sz="0" w:space="0" w:color="auto"/>
                <w:right w:val="none" w:sz="0" w:space="0" w:color="auto"/>
              </w:divBdr>
              <w:divsChild>
                <w:div w:id="1726832182">
                  <w:marLeft w:val="0"/>
                  <w:marRight w:val="0"/>
                  <w:marTop w:val="150"/>
                  <w:marBottom w:val="0"/>
                  <w:divBdr>
                    <w:top w:val="single" w:sz="6" w:space="11" w:color="DDDDDD"/>
                    <w:left w:val="single" w:sz="6" w:space="11" w:color="DDDDDD"/>
                    <w:bottom w:val="single" w:sz="6" w:space="11" w:color="DDDDDD"/>
                    <w:right w:val="single" w:sz="6" w:space="11" w:color="DDDDDD"/>
                  </w:divBdr>
                  <w:divsChild>
                    <w:div w:id="2014910802">
                      <w:marLeft w:val="0"/>
                      <w:marRight w:val="0"/>
                      <w:marTop w:val="0"/>
                      <w:marBottom w:val="0"/>
                      <w:divBdr>
                        <w:top w:val="none" w:sz="0" w:space="0" w:color="auto"/>
                        <w:left w:val="none" w:sz="0" w:space="0" w:color="auto"/>
                        <w:bottom w:val="none" w:sz="0" w:space="0" w:color="auto"/>
                        <w:right w:val="none" w:sz="0" w:space="0" w:color="auto"/>
                      </w:divBdr>
                      <w:divsChild>
                        <w:div w:id="11402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020895">
      <w:bodyDiv w:val="1"/>
      <w:marLeft w:val="0"/>
      <w:marRight w:val="0"/>
      <w:marTop w:val="0"/>
      <w:marBottom w:val="0"/>
      <w:divBdr>
        <w:top w:val="none" w:sz="0" w:space="0" w:color="auto"/>
        <w:left w:val="none" w:sz="0" w:space="0" w:color="auto"/>
        <w:bottom w:val="none" w:sz="0" w:space="0" w:color="auto"/>
        <w:right w:val="none" w:sz="0" w:space="0" w:color="auto"/>
      </w:divBdr>
      <w:divsChild>
        <w:div w:id="1363824691">
          <w:marLeft w:val="0"/>
          <w:marRight w:val="0"/>
          <w:marTop w:val="150"/>
          <w:marBottom w:val="150"/>
          <w:divBdr>
            <w:top w:val="none" w:sz="0" w:space="0" w:color="auto"/>
            <w:left w:val="none" w:sz="0" w:space="0" w:color="auto"/>
            <w:bottom w:val="none" w:sz="0" w:space="0" w:color="auto"/>
            <w:right w:val="none" w:sz="0" w:space="0" w:color="auto"/>
          </w:divBdr>
          <w:divsChild>
            <w:div w:id="1619019750">
              <w:marLeft w:val="0"/>
              <w:marRight w:val="0"/>
              <w:marTop w:val="0"/>
              <w:marBottom w:val="0"/>
              <w:divBdr>
                <w:top w:val="none" w:sz="0" w:space="0" w:color="auto"/>
                <w:left w:val="none" w:sz="0" w:space="0" w:color="auto"/>
                <w:bottom w:val="none" w:sz="0" w:space="0" w:color="auto"/>
                <w:right w:val="none" w:sz="0" w:space="0" w:color="auto"/>
              </w:divBdr>
              <w:divsChild>
                <w:div w:id="1844779449">
                  <w:marLeft w:val="0"/>
                  <w:marRight w:val="0"/>
                  <w:marTop w:val="150"/>
                  <w:marBottom w:val="0"/>
                  <w:divBdr>
                    <w:top w:val="single" w:sz="6" w:space="11" w:color="DDDDDD"/>
                    <w:left w:val="single" w:sz="6" w:space="11" w:color="DDDDDD"/>
                    <w:bottom w:val="single" w:sz="6" w:space="11" w:color="DDDDDD"/>
                    <w:right w:val="single" w:sz="6" w:space="11" w:color="DDDDDD"/>
                  </w:divBdr>
                  <w:divsChild>
                    <w:div w:id="1733118030">
                      <w:marLeft w:val="0"/>
                      <w:marRight w:val="0"/>
                      <w:marTop w:val="0"/>
                      <w:marBottom w:val="0"/>
                      <w:divBdr>
                        <w:top w:val="none" w:sz="0" w:space="0" w:color="auto"/>
                        <w:left w:val="none" w:sz="0" w:space="0" w:color="auto"/>
                        <w:bottom w:val="none" w:sz="0" w:space="0" w:color="auto"/>
                        <w:right w:val="none" w:sz="0" w:space="0" w:color="auto"/>
                      </w:divBdr>
                      <w:divsChild>
                        <w:div w:id="16042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712561">
      <w:bodyDiv w:val="1"/>
      <w:marLeft w:val="0"/>
      <w:marRight w:val="0"/>
      <w:marTop w:val="0"/>
      <w:marBottom w:val="0"/>
      <w:divBdr>
        <w:top w:val="none" w:sz="0" w:space="0" w:color="auto"/>
        <w:left w:val="none" w:sz="0" w:space="0" w:color="auto"/>
        <w:bottom w:val="none" w:sz="0" w:space="0" w:color="auto"/>
        <w:right w:val="none" w:sz="0" w:space="0" w:color="auto"/>
      </w:divBdr>
    </w:div>
    <w:div w:id="1366757527">
      <w:bodyDiv w:val="1"/>
      <w:marLeft w:val="0"/>
      <w:marRight w:val="0"/>
      <w:marTop w:val="0"/>
      <w:marBottom w:val="0"/>
      <w:divBdr>
        <w:top w:val="none" w:sz="0" w:space="0" w:color="auto"/>
        <w:left w:val="none" w:sz="0" w:space="0" w:color="auto"/>
        <w:bottom w:val="none" w:sz="0" w:space="0" w:color="auto"/>
        <w:right w:val="none" w:sz="0" w:space="0" w:color="auto"/>
      </w:divBdr>
    </w:div>
    <w:div w:id="1385300999">
      <w:bodyDiv w:val="1"/>
      <w:marLeft w:val="0"/>
      <w:marRight w:val="0"/>
      <w:marTop w:val="0"/>
      <w:marBottom w:val="0"/>
      <w:divBdr>
        <w:top w:val="none" w:sz="0" w:space="0" w:color="auto"/>
        <w:left w:val="none" w:sz="0" w:space="0" w:color="auto"/>
        <w:bottom w:val="none" w:sz="0" w:space="0" w:color="auto"/>
        <w:right w:val="none" w:sz="0" w:space="0" w:color="auto"/>
      </w:divBdr>
      <w:divsChild>
        <w:div w:id="801850722">
          <w:marLeft w:val="0"/>
          <w:marRight w:val="0"/>
          <w:marTop w:val="0"/>
          <w:marBottom w:val="0"/>
          <w:divBdr>
            <w:top w:val="none" w:sz="0" w:space="0" w:color="auto"/>
            <w:left w:val="none" w:sz="0" w:space="0" w:color="auto"/>
            <w:bottom w:val="dashed" w:sz="6" w:space="0" w:color="CCCCCC"/>
            <w:right w:val="none" w:sz="0" w:space="0" w:color="auto"/>
          </w:divBdr>
        </w:div>
        <w:div w:id="1073814001">
          <w:marLeft w:val="0"/>
          <w:marRight w:val="0"/>
          <w:marTop w:val="0"/>
          <w:marBottom w:val="0"/>
          <w:divBdr>
            <w:top w:val="none" w:sz="0" w:space="0" w:color="auto"/>
            <w:left w:val="none" w:sz="0" w:space="0" w:color="auto"/>
            <w:bottom w:val="none" w:sz="0" w:space="0" w:color="auto"/>
            <w:right w:val="none" w:sz="0" w:space="0" w:color="auto"/>
          </w:divBdr>
          <w:divsChild>
            <w:div w:id="148898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17535">
      <w:bodyDiv w:val="1"/>
      <w:marLeft w:val="0"/>
      <w:marRight w:val="0"/>
      <w:marTop w:val="0"/>
      <w:marBottom w:val="0"/>
      <w:divBdr>
        <w:top w:val="none" w:sz="0" w:space="0" w:color="auto"/>
        <w:left w:val="none" w:sz="0" w:space="0" w:color="auto"/>
        <w:bottom w:val="none" w:sz="0" w:space="0" w:color="auto"/>
        <w:right w:val="none" w:sz="0" w:space="0" w:color="auto"/>
      </w:divBdr>
      <w:divsChild>
        <w:div w:id="654605550">
          <w:marLeft w:val="0"/>
          <w:marRight w:val="0"/>
          <w:marTop w:val="90"/>
          <w:marBottom w:val="105"/>
          <w:divBdr>
            <w:top w:val="none" w:sz="0" w:space="0" w:color="auto"/>
            <w:left w:val="none" w:sz="0" w:space="0" w:color="auto"/>
            <w:bottom w:val="none" w:sz="0" w:space="0" w:color="auto"/>
            <w:right w:val="none" w:sz="0" w:space="0" w:color="auto"/>
          </w:divBdr>
          <w:divsChild>
            <w:div w:id="1102992474">
              <w:marLeft w:val="0"/>
              <w:marRight w:val="0"/>
              <w:marTop w:val="0"/>
              <w:marBottom w:val="0"/>
              <w:divBdr>
                <w:top w:val="none" w:sz="0" w:space="0" w:color="auto"/>
                <w:left w:val="none" w:sz="0" w:space="0" w:color="auto"/>
                <w:bottom w:val="none" w:sz="0" w:space="0" w:color="auto"/>
                <w:right w:val="none" w:sz="0" w:space="0" w:color="auto"/>
              </w:divBdr>
              <w:divsChild>
                <w:div w:id="364256086">
                  <w:marLeft w:val="0"/>
                  <w:marRight w:val="0"/>
                  <w:marTop w:val="0"/>
                  <w:marBottom w:val="0"/>
                  <w:divBdr>
                    <w:top w:val="none" w:sz="0" w:space="0" w:color="auto"/>
                    <w:left w:val="none" w:sz="0" w:space="0" w:color="auto"/>
                    <w:bottom w:val="none" w:sz="0" w:space="0" w:color="auto"/>
                    <w:right w:val="none" w:sz="0" w:space="0" w:color="auto"/>
                  </w:divBdr>
                  <w:divsChild>
                    <w:div w:id="1807966809">
                      <w:marLeft w:val="0"/>
                      <w:marRight w:val="0"/>
                      <w:marTop w:val="0"/>
                      <w:marBottom w:val="0"/>
                      <w:divBdr>
                        <w:top w:val="none" w:sz="0" w:space="0" w:color="auto"/>
                        <w:left w:val="none" w:sz="0" w:space="0" w:color="auto"/>
                        <w:bottom w:val="none" w:sz="0" w:space="0" w:color="auto"/>
                        <w:right w:val="none" w:sz="0" w:space="0" w:color="auto"/>
                      </w:divBdr>
                      <w:divsChild>
                        <w:div w:id="1939214216">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1399354453">
      <w:bodyDiv w:val="1"/>
      <w:marLeft w:val="0"/>
      <w:marRight w:val="0"/>
      <w:marTop w:val="0"/>
      <w:marBottom w:val="0"/>
      <w:divBdr>
        <w:top w:val="none" w:sz="0" w:space="0" w:color="auto"/>
        <w:left w:val="none" w:sz="0" w:space="0" w:color="auto"/>
        <w:bottom w:val="none" w:sz="0" w:space="0" w:color="auto"/>
        <w:right w:val="none" w:sz="0" w:space="0" w:color="auto"/>
      </w:divBdr>
    </w:div>
    <w:div w:id="1434207619">
      <w:bodyDiv w:val="1"/>
      <w:marLeft w:val="0"/>
      <w:marRight w:val="0"/>
      <w:marTop w:val="0"/>
      <w:marBottom w:val="0"/>
      <w:divBdr>
        <w:top w:val="none" w:sz="0" w:space="0" w:color="auto"/>
        <w:left w:val="none" w:sz="0" w:space="0" w:color="auto"/>
        <w:bottom w:val="none" w:sz="0" w:space="0" w:color="auto"/>
        <w:right w:val="none" w:sz="0" w:space="0" w:color="auto"/>
      </w:divBdr>
      <w:divsChild>
        <w:div w:id="63375743">
          <w:marLeft w:val="0"/>
          <w:marRight w:val="0"/>
          <w:marTop w:val="0"/>
          <w:marBottom w:val="0"/>
          <w:divBdr>
            <w:top w:val="none" w:sz="0" w:space="0" w:color="auto"/>
            <w:left w:val="none" w:sz="0" w:space="0" w:color="auto"/>
            <w:bottom w:val="none" w:sz="0" w:space="0" w:color="auto"/>
            <w:right w:val="none" w:sz="0" w:space="0" w:color="auto"/>
          </w:divBdr>
          <w:divsChild>
            <w:div w:id="128284817">
              <w:marLeft w:val="0"/>
              <w:marRight w:val="0"/>
              <w:marTop w:val="0"/>
              <w:marBottom w:val="0"/>
              <w:divBdr>
                <w:top w:val="none" w:sz="0" w:space="0" w:color="auto"/>
                <w:left w:val="none" w:sz="0" w:space="0" w:color="auto"/>
                <w:bottom w:val="none" w:sz="0" w:space="0" w:color="auto"/>
                <w:right w:val="none" w:sz="0" w:space="0" w:color="auto"/>
              </w:divBdr>
              <w:divsChild>
                <w:div w:id="1012149818">
                  <w:marLeft w:val="0"/>
                  <w:marRight w:val="0"/>
                  <w:marTop w:val="0"/>
                  <w:marBottom w:val="0"/>
                  <w:divBdr>
                    <w:top w:val="none" w:sz="0" w:space="0" w:color="auto"/>
                    <w:left w:val="none" w:sz="0" w:space="0" w:color="auto"/>
                    <w:bottom w:val="none" w:sz="0" w:space="0" w:color="auto"/>
                    <w:right w:val="none" w:sz="0" w:space="0" w:color="auto"/>
                  </w:divBdr>
                  <w:divsChild>
                    <w:div w:id="124671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12795">
      <w:bodyDiv w:val="1"/>
      <w:marLeft w:val="0"/>
      <w:marRight w:val="0"/>
      <w:marTop w:val="0"/>
      <w:marBottom w:val="0"/>
      <w:divBdr>
        <w:top w:val="none" w:sz="0" w:space="0" w:color="auto"/>
        <w:left w:val="none" w:sz="0" w:space="0" w:color="auto"/>
        <w:bottom w:val="none" w:sz="0" w:space="0" w:color="auto"/>
        <w:right w:val="none" w:sz="0" w:space="0" w:color="auto"/>
      </w:divBdr>
      <w:divsChild>
        <w:div w:id="1716275351">
          <w:marLeft w:val="0"/>
          <w:marRight w:val="0"/>
          <w:marTop w:val="90"/>
          <w:marBottom w:val="105"/>
          <w:divBdr>
            <w:top w:val="none" w:sz="0" w:space="0" w:color="auto"/>
            <w:left w:val="none" w:sz="0" w:space="0" w:color="auto"/>
            <w:bottom w:val="none" w:sz="0" w:space="0" w:color="auto"/>
            <w:right w:val="none" w:sz="0" w:space="0" w:color="auto"/>
          </w:divBdr>
          <w:divsChild>
            <w:div w:id="822427165">
              <w:marLeft w:val="0"/>
              <w:marRight w:val="0"/>
              <w:marTop w:val="0"/>
              <w:marBottom w:val="0"/>
              <w:divBdr>
                <w:top w:val="none" w:sz="0" w:space="0" w:color="auto"/>
                <w:left w:val="none" w:sz="0" w:space="0" w:color="auto"/>
                <w:bottom w:val="none" w:sz="0" w:space="0" w:color="auto"/>
                <w:right w:val="none" w:sz="0" w:space="0" w:color="auto"/>
              </w:divBdr>
              <w:divsChild>
                <w:div w:id="1321421744">
                  <w:marLeft w:val="0"/>
                  <w:marRight w:val="0"/>
                  <w:marTop w:val="0"/>
                  <w:marBottom w:val="0"/>
                  <w:divBdr>
                    <w:top w:val="none" w:sz="0" w:space="0" w:color="auto"/>
                    <w:left w:val="none" w:sz="0" w:space="0" w:color="auto"/>
                    <w:bottom w:val="none" w:sz="0" w:space="0" w:color="auto"/>
                    <w:right w:val="none" w:sz="0" w:space="0" w:color="auto"/>
                  </w:divBdr>
                  <w:divsChild>
                    <w:div w:id="171648862">
                      <w:marLeft w:val="0"/>
                      <w:marRight w:val="0"/>
                      <w:marTop w:val="0"/>
                      <w:marBottom w:val="0"/>
                      <w:divBdr>
                        <w:top w:val="none" w:sz="0" w:space="0" w:color="auto"/>
                        <w:left w:val="none" w:sz="0" w:space="0" w:color="auto"/>
                        <w:bottom w:val="none" w:sz="0" w:space="0" w:color="auto"/>
                        <w:right w:val="none" w:sz="0" w:space="0" w:color="auto"/>
                      </w:divBdr>
                      <w:divsChild>
                        <w:div w:id="374155904">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1468931270">
      <w:bodyDiv w:val="1"/>
      <w:marLeft w:val="0"/>
      <w:marRight w:val="0"/>
      <w:marTop w:val="0"/>
      <w:marBottom w:val="0"/>
      <w:divBdr>
        <w:top w:val="none" w:sz="0" w:space="0" w:color="auto"/>
        <w:left w:val="none" w:sz="0" w:space="0" w:color="auto"/>
        <w:bottom w:val="none" w:sz="0" w:space="0" w:color="auto"/>
        <w:right w:val="none" w:sz="0" w:space="0" w:color="auto"/>
      </w:divBdr>
      <w:divsChild>
        <w:div w:id="1922256760">
          <w:marLeft w:val="0"/>
          <w:marRight w:val="0"/>
          <w:marTop w:val="0"/>
          <w:marBottom w:val="0"/>
          <w:divBdr>
            <w:top w:val="none" w:sz="0" w:space="0" w:color="auto"/>
            <w:left w:val="none" w:sz="0" w:space="0" w:color="auto"/>
            <w:bottom w:val="none" w:sz="0" w:space="0" w:color="auto"/>
            <w:right w:val="none" w:sz="0" w:space="0" w:color="auto"/>
          </w:divBdr>
          <w:divsChild>
            <w:div w:id="735008453">
              <w:marLeft w:val="0"/>
              <w:marRight w:val="0"/>
              <w:marTop w:val="0"/>
              <w:marBottom w:val="0"/>
              <w:divBdr>
                <w:top w:val="none" w:sz="0" w:space="0" w:color="auto"/>
                <w:left w:val="none" w:sz="0" w:space="0" w:color="auto"/>
                <w:bottom w:val="none" w:sz="0" w:space="0" w:color="auto"/>
                <w:right w:val="none" w:sz="0" w:space="0" w:color="auto"/>
              </w:divBdr>
              <w:divsChild>
                <w:div w:id="1468861779">
                  <w:marLeft w:val="0"/>
                  <w:marRight w:val="0"/>
                  <w:marTop w:val="0"/>
                  <w:marBottom w:val="0"/>
                  <w:divBdr>
                    <w:top w:val="none" w:sz="0" w:space="0" w:color="auto"/>
                    <w:left w:val="none" w:sz="0" w:space="0" w:color="auto"/>
                    <w:bottom w:val="none" w:sz="0" w:space="0" w:color="auto"/>
                    <w:right w:val="none" w:sz="0" w:space="0" w:color="auto"/>
                  </w:divBdr>
                  <w:divsChild>
                    <w:div w:id="9548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8986">
      <w:bodyDiv w:val="1"/>
      <w:marLeft w:val="0"/>
      <w:marRight w:val="0"/>
      <w:marTop w:val="0"/>
      <w:marBottom w:val="0"/>
      <w:divBdr>
        <w:top w:val="none" w:sz="0" w:space="0" w:color="auto"/>
        <w:left w:val="none" w:sz="0" w:space="0" w:color="auto"/>
        <w:bottom w:val="none" w:sz="0" w:space="0" w:color="auto"/>
        <w:right w:val="none" w:sz="0" w:space="0" w:color="auto"/>
      </w:divBdr>
    </w:div>
    <w:div w:id="1502623819">
      <w:bodyDiv w:val="1"/>
      <w:marLeft w:val="0"/>
      <w:marRight w:val="0"/>
      <w:marTop w:val="0"/>
      <w:marBottom w:val="0"/>
      <w:divBdr>
        <w:top w:val="none" w:sz="0" w:space="0" w:color="auto"/>
        <w:left w:val="none" w:sz="0" w:space="0" w:color="auto"/>
        <w:bottom w:val="none" w:sz="0" w:space="0" w:color="auto"/>
        <w:right w:val="none" w:sz="0" w:space="0" w:color="auto"/>
      </w:divBdr>
      <w:divsChild>
        <w:div w:id="1991206084">
          <w:marLeft w:val="0"/>
          <w:marRight w:val="0"/>
          <w:marTop w:val="0"/>
          <w:marBottom w:val="0"/>
          <w:divBdr>
            <w:top w:val="none" w:sz="0" w:space="0" w:color="auto"/>
            <w:left w:val="none" w:sz="0" w:space="0" w:color="auto"/>
            <w:bottom w:val="none" w:sz="0" w:space="0" w:color="auto"/>
            <w:right w:val="none" w:sz="0" w:space="0" w:color="auto"/>
          </w:divBdr>
          <w:divsChild>
            <w:div w:id="1974290010">
              <w:marLeft w:val="0"/>
              <w:marRight w:val="0"/>
              <w:marTop w:val="0"/>
              <w:marBottom w:val="0"/>
              <w:divBdr>
                <w:top w:val="none" w:sz="0" w:space="0" w:color="auto"/>
                <w:left w:val="none" w:sz="0" w:space="0" w:color="auto"/>
                <w:bottom w:val="none" w:sz="0" w:space="0" w:color="auto"/>
                <w:right w:val="none" w:sz="0" w:space="0" w:color="auto"/>
              </w:divBdr>
              <w:divsChild>
                <w:div w:id="450518065">
                  <w:marLeft w:val="0"/>
                  <w:marRight w:val="0"/>
                  <w:marTop w:val="0"/>
                  <w:marBottom w:val="0"/>
                  <w:divBdr>
                    <w:top w:val="single" w:sz="18" w:space="0" w:color="08237A"/>
                    <w:left w:val="none" w:sz="0" w:space="0" w:color="auto"/>
                    <w:bottom w:val="none" w:sz="0" w:space="0" w:color="auto"/>
                    <w:right w:val="none" w:sz="0" w:space="0" w:color="auto"/>
                  </w:divBdr>
                  <w:divsChild>
                    <w:div w:id="1902131485">
                      <w:marLeft w:val="0"/>
                      <w:marRight w:val="0"/>
                      <w:marTop w:val="0"/>
                      <w:marBottom w:val="0"/>
                      <w:divBdr>
                        <w:top w:val="single" w:sz="2" w:space="8" w:color="BBBBBB"/>
                        <w:left w:val="single" w:sz="6" w:space="0" w:color="BBBBBB"/>
                        <w:bottom w:val="single" w:sz="6" w:space="0" w:color="BBBBBB"/>
                        <w:right w:val="single" w:sz="6" w:space="0" w:color="BBBBBB"/>
                      </w:divBdr>
                      <w:divsChild>
                        <w:div w:id="1711877066">
                          <w:marLeft w:val="0"/>
                          <w:marRight w:val="0"/>
                          <w:marTop w:val="0"/>
                          <w:marBottom w:val="0"/>
                          <w:divBdr>
                            <w:top w:val="none" w:sz="0" w:space="0" w:color="auto"/>
                            <w:left w:val="none" w:sz="0" w:space="0" w:color="auto"/>
                            <w:bottom w:val="none" w:sz="0" w:space="0" w:color="auto"/>
                            <w:right w:val="none" w:sz="0" w:space="0" w:color="auto"/>
                          </w:divBdr>
                          <w:divsChild>
                            <w:div w:id="3974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592728">
      <w:bodyDiv w:val="1"/>
      <w:marLeft w:val="0"/>
      <w:marRight w:val="0"/>
      <w:marTop w:val="0"/>
      <w:marBottom w:val="0"/>
      <w:divBdr>
        <w:top w:val="none" w:sz="0" w:space="0" w:color="auto"/>
        <w:left w:val="none" w:sz="0" w:space="0" w:color="auto"/>
        <w:bottom w:val="none" w:sz="0" w:space="0" w:color="auto"/>
        <w:right w:val="none" w:sz="0" w:space="0" w:color="auto"/>
      </w:divBdr>
      <w:divsChild>
        <w:div w:id="151411053">
          <w:marLeft w:val="0"/>
          <w:marRight w:val="0"/>
          <w:marTop w:val="150"/>
          <w:marBottom w:val="150"/>
          <w:divBdr>
            <w:top w:val="none" w:sz="0" w:space="0" w:color="auto"/>
            <w:left w:val="none" w:sz="0" w:space="0" w:color="auto"/>
            <w:bottom w:val="none" w:sz="0" w:space="0" w:color="auto"/>
            <w:right w:val="none" w:sz="0" w:space="0" w:color="auto"/>
          </w:divBdr>
          <w:divsChild>
            <w:div w:id="700739295">
              <w:marLeft w:val="0"/>
              <w:marRight w:val="0"/>
              <w:marTop w:val="0"/>
              <w:marBottom w:val="0"/>
              <w:divBdr>
                <w:top w:val="none" w:sz="0" w:space="0" w:color="auto"/>
                <w:left w:val="none" w:sz="0" w:space="0" w:color="auto"/>
                <w:bottom w:val="none" w:sz="0" w:space="0" w:color="auto"/>
                <w:right w:val="none" w:sz="0" w:space="0" w:color="auto"/>
              </w:divBdr>
              <w:divsChild>
                <w:div w:id="1588222546">
                  <w:marLeft w:val="0"/>
                  <w:marRight w:val="0"/>
                  <w:marTop w:val="150"/>
                  <w:marBottom w:val="0"/>
                  <w:divBdr>
                    <w:top w:val="single" w:sz="6" w:space="11" w:color="DDDDDD"/>
                    <w:left w:val="single" w:sz="6" w:space="11" w:color="DDDDDD"/>
                    <w:bottom w:val="single" w:sz="6" w:space="11" w:color="DDDDDD"/>
                    <w:right w:val="single" w:sz="6" w:space="11" w:color="DDDDDD"/>
                  </w:divBdr>
                  <w:divsChild>
                    <w:div w:id="1118795573">
                      <w:marLeft w:val="0"/>
                      <w:marRight w:val="0"/>
                      <w:marTop w:val="0"/>
                      <w:marBottom w:val="0"/>
                      <w:divBdr>
                        <w:top w:val="none" w:sz="0" w:space="0" w:color="auto"/>
                        <w:left w:val="none" w:sz="0" w:space="0" w:color="auto"/>
                        <w:bottom w:val="none" w:sz="0" w:space="0" w:color="auto"/>
                        <w:right w:val="none" w:sz="0" w:space="0" w:color="auto"/>
                      </w:divBdr>
                      <w:divsChild>
                        <w:div w:id="9581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904061">
      <w:bodyDiv w:val="1"/>
      <w:marLeft w:val="0"/>
      <w:marRight w:val="0"/>
      <w:marTop w:val="0"/>
      <w:marBottom w:val="0"/>
      <w:divBdr>
        <w:top w:val="none" w:sz="0" w:space="0" w:color="auto"/>
        <w:left w:val="none" w:sz="0" w:space="0" w:color="auto"/>
        <w:bottom w:val="none" w:sz="0" w:space="0" w:color="auto"/>
        <w:right w:val="none" w:sz="0" w:space="0" w:color="auto"/>
      </w:divBdr>
      <w:divsChild>
        <w:div w:id="235626608">
          <w:marLeft w:val="0"/>
          <w:marRight w:val="0"/>
          <w:marTop w:val="0"/>
          <w:marBottom w:val="0"/>
          <w:divBdr>
            <w:top w:val="none" w:sz="0" w:space="0" w:color="auto"/>
            <w:left w:val="none" w:sz="0" w:space="0" w:color="auto"/>
            <w:bottom w:val="none" w:sz="0" w:space="0" w:color="auto"/>
            <w:right w:val="none" w:sz="0" w:space="0" w:color="auto"/>
          </w:divBdr>
          <w:divsChild>
            <w:div w:id="672218910">
              <w:marLeft w:val="0"/>
              <w:marRight w:val="0"/>
              <w:marTop w:val="0"/>
              <w:marBottom w:val="0"/>
              <w:divBdr>
                <w:top w:val="none" w:sz="0" w:space="0" w:color="auto"/>
                <w:left w:val="none" w:sz="0" w:space="0" w:color="auto"/>
                <w:bottom w:val="none" w:sz="0" w:space="0" w:color="auto"/>
                <w:right w:val="none" w:sz="0" w:space="0" w:color="auto"/>
              </w:divBdr>
              <w:divsChild>
                <w:div w:id="1490369494">
                  <w:marLeft w:val="0"/>
                  <w:marRight w:val="0"/>
                  <w:marTop w:val="0"/>
                  <w:marBottom w:val="0"/>
                  <w:divBdr>
                    <w:top w:val="none" w:sz="0" w:space="0" w:color="auto"/>
                    <w:left w:val="none" w:sz="0" w:space="0" w:color="auto"/>
                    <w:bottom w:val="none" w:sz="0" w:space="0" w:color="auto"/>
                    <w:right w:val="none" w:sz="0" w:space="0" w:color="auto"/>
                  </w:divBdr>
                  <w:divsChild>
                    <w:div w:id="1270090822">
                      <w:marLeft w:val="0"/>
                      <w:marRight w:val="0"/>
                      <w:marTop w:val="0"/>
                      <w:marBottom w:val="120"/>
                      <w:divBdr>
                        <w:top w:val="none" w:sz="0" w:space="0" w:color="auto"/>
                        <w:left w:val="none" w:sz="0" w:space="0" w:color="auto"/>
                        <w:bottom w:val="none" w:sz="0" w:space="0" w:color="auto"/>
                        <w:right w:val="none" w:sz="0" w:space="0" w:color="auto"/>
                      </w:divBdr>
                      <w:divsChild>
                        <w:div w:id="1497108069">
                          <w:marLeft w:val="0"/>
                          <w:marRight w:val="0"/>
                          <w:marTop w:val="0"/>
                          <w:marBottom w:val="0"/>
                          <w:divBdr>
                            <w:top w:val="none" w:sz="0" w:space="0" w:color="auto"/>
                            <w:left w:val="none" w:sz="0" w:space="0" w:color="auto"/>
                            <w:bottom w:val="none" w:sz="0" w:space="0" w:color="auto"/>
                            <w:right w:val="none" w:sz="0" w:space="0" w:color="auto"/>
                          </w:divBdr>
                          <w:divsChild>
                            <w:div w:id="629020829">
                              <w:marLeft w:val="0"/>
                              <w:marRight w:val="0"/>
                              <w:marTop w:val="0"/>
                              <w:marBottom w:val="0"/>
                              <w:divBdr>
                                <w:top w:val="none" w:sz="0" w:space="0" w:color="auto"/>
                                <w:left w:val="none" w:sz="0" w:space="0" w:color="auto"/>
                                <w:bottom w:val="none" w:sz="0" w:space="0" w:color="auto"/>
                                <w:right w:val="none" w:sz="0" w:space="0" w:color="auto"/>
                              </w:divBdr>
                              <w:divsChild>
                                <w:div w:id="991177345">
                                  <w:marLeft w:val="0"/>
                                  <w:marRight w:val="0"/>
                                  <w:marTop w:val="0"/>
                                  <w:marBottom w:val="0"/>
                                  <w:divBdr>
                                    <w:top w:val="none" w:sz="0" w:space="0" w:color="auto"/>
                                    <w:left w:val="none" w:sz="0" w:space="0" w:color="auto"/>
                                    <w:bottom w:val="none" w:sz="0" w:space="0" w:color="auto"/>
                                    <w:right w:val="none" w:sz="0" w:space="0" w:color="auto"/>
                                  </w:divBdr>
                                  <w:divsChild>
                                    <w:div w:id="78018847">
                                      <w:marLeft w:val="0"/>
                                      <w:marRight w:val="0"/>
                                      <w:marTop w:val="0"/>
                                      <w:marBottom w:val="0"/>
                                      <w:divBdr>
                                        <w:top w:val="none" w:sz="0" w:space="0" w:color="auto"/>
                                        <w:left w:val="none" w:sz="0" w:space="0" w:color="auto"/>
                                        <w:bottom w:val="none" w:sz="0" w:space="0" w:color="auto"/>
                                        <w:right w:val="none" w:sz="0" w:space="0" w:color="auto"/>
                                      </w:divBdr>
                                      <w:divsChild>
                                        <w:div w:id="9094592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852853">
      <w:bodyDiv w:val="1"/>
      <w:marLeft w:val="0"/>
      <w:marRight w:val="0"/>
      <w:marTop w:val="0"/>
      <w:marBottom w:val="0"/>
      <w:divBdr>
        <w:top w:val="none" w:sz="0" w:space="0" w:color="auto"/>
        <w:left w:val="none" w:sz="0" w:space="0" w:color="auto"/>
        <w:bottom w:val="none" w:sz="0" w:space="0" w:color="auto"/>
        <w:right w:val="none" w:sz="0" w:space="0" w:color="auto"/>
      </w:divBdr>
    </w:div>
    <w:div w:id="1568569801">
      <w:bodyDiv w:val="1"/>
      <w:marLeft w:val="0"/>
      <w:marRight w:val="0"/>
      <w:marTop w:val="0"/>
      <w:marBottom w:val="0"/>
      <w:divBdr>
        <w:top w:val="none" w:sz="0" w:space="0" w:color="auto"/>
        <w:left w:val="none" w:sz="0" w:space="0" w:color="auto"/>
        <w:bottom w:val="none" w:sz="0" w:space="0" w:color="auto"/>
        <w:right w:val="none" w:sz="0" w:space="0" w:color="auto"/>
      </w:divBdr>
    </w:div>
    <w:div w:id="1577786274">
      <w:bodyDiv w:val="1"/>
      <w:marLeft w:val="0"/>
      <w:marRight w:val="0"/>
      <w:marTop w:val="0"/>
      <w:marBottom w:val="0"/>
      <w:divBdr>
        <w:top w:val="none" w:sz="0" w:space="0" w:color="auto"/>
        <w:left w:val="none" w:sz="0" w:space="0" w:color="auto"/>
        <w:bottom w:val="none" w:sz="0" w:space="0" w:color="auto"/>
        <w:right w:val="none" w:sz="0" w:space="0" w:color="auto"/>
      </w:divBdr>
      <w:divsChild>
        <w:div w:id="2089157204">
          <w:marLeft w:val="0"/>
          <w:marRight w:val="0"/>
          <w:marTop w:val="0"/>
          <w:marBottom w:val="0"/>
          <w:divBdr>
            <w:top w:val="none" w:sz="0" w:space="0" w:color="auto"/>
            <w:left w:val="none" w:sz="0" w:space="0" w:color="auto"/>
            <w:bottom w:val="none" w:sz="0" w:space="0" w:color="auto"/>
            <w:right w:val="none" w:sz="0" w:space="0" w:color="auto"/>
          </w:divBdr>
          <w:divsChild>
            <w:div w:id="378013906">
              <w:marLeft w:val="0"/>
              <w:marRight w:val="0"/>
              <w:marTop w:val="0"/>
              <w:marBottom w:val="0"/>
              <w:divBdr>
                <w:top w:val="single" w:sz="6" w:space="4" w:color="DEDEB8"/>
                <w:left w:val="single" w:sz="6" w:space="4" w:color="DEDEB8"/>
                <w:bottom w:val="single" w:sz="6" w:space="4" w:color="DEDEB8"/>
                <w:right w:val="single" w:sz="6" w:space="4" w:color="DEDEB8"/>
              </w:divBdr>
              <w:divsChild>
                <w:div w:id="1705928">
                  <w:marLeft w:val="0"/>
                  <w:marRight w:val="0"/>
                  <w:marTop w:val="0"/>
                  <w:marBottom w:val="0"/>
                  <w:divBdr>
                    <w:top w:val="none" w:sz="0" w:space="0" w:color="auto"/>
                    <w:left w:val="none" w:sz="0" w:space="0" w:color="auto"/>
                    <w:bottom w:val="none" w:sz="0" w:space="0" w:color="auto"/>
                    <w:right w:val="none" w:sz="0" w:space="0" w:color="auto"/>
                  </w:divBdr>
                  <w:divsChild>
                    <w:div w:id="265621335">
                      <w:marLeft w:val="0"/>
                      <w:marRight w:val="0"/>
                      <w:marTop w:val="0"/>
                      <w:marBottom w:val="0"/>
                      <w:divBdr>
                        <w:top w:val="none" w:sz="0" w:space="0" w:color="auto"/>
                        <w:left w:val="none" w:sz="0" w:space="0" w:color="auto"/>
                        <w:bottom w:val="none" w:sz="0" w:space="0" w:color="auto"/>
                        <w:right w:val="none" w:sz="0" w:space="0" w:color="auto"/>
                      </w:divBdr>
                      <w:divsChild>
                        <w:div w:id="19505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634133">
      <w:bodyDiv w:val="1"/>
      <w:marLeft w:val="0"/>
      <w:marRight w:val="0"/>
      <w:marTop w:val="0"/>
      <w:marBottom w:val="0"/>
      <w:divBdr>
        <w:top w:val="none" w:sz="0" w:space="0" w:color="auto"/>
        <w:left w:val="none" w:sz="0" w:space="0" w:color="auto"/>
        <w:bottom w:val="none" w:sz="0" w:space="0" w:color="auto"/>
        <w:right w:val="none" w:sz="0" w:space="0" w:color="auto"/>
      </w:divBdr>
    </w:div>
    <w:div w:id="1586645691">
      <w:bodyDiv w:val="1"/>
      <w:marLeft w:val="0"/>
      <w:marRight w:val="0"/>
      <w:marTop w:val="0"/>
      <w:marBottom w:val="0"/>
      <w:divBdr>
        <w:top w:val="none" w:sz="0" w:space="0" w:color="auto"/>
        <w:left w:val="none" w:sz="0" w:space="0" w:color="auto"/>
        <w:bottom w:val="none" w:sz="0" w:space="0" w:color="auto"/>
        <w:right w:val="none" w:sz="0" w:space="0" w:color="auto"/>
      </w:divBdr>
      <w:divsChild>
        <w:div w:id="392002581">
          <w:marLeft w:val="0"/>
          <w:marRight w:val="0"/>
          <w:marTop w:val="0"/>
          <w:marBottom w:val="0"/>
          <w:divBdr>
            <w:top w:val="none" w:sz="0" w:space="0" w:color="auto"/>
            <w:left w:val="none" w:sz="0" w:space="0" w:color="auto"/>
            <w:bottom w:val="none" w:sz="0" w:space="0" w:color="auto"/>
            <w:right w:val="none" w:sz="0" w:space="0" w:color="auto"/>
          </w:divBdr>
          <w:divsChild>
            <w:div w:id="1039008091">
              <w:marLeft w:val="0"/>
              <w:marRight w:val="0"/>
              <w:marTop w:val="0"/>
              <w:marBottom w:val="0"/>
              <w:divBdr>
                <w:top w:val="none" w:sz="0" w:space="0" w:color="auto"/>
                <w:left w:val="none" w:sz="0" w:space="0" w:color="auto"/>
                <w:bottom w:val="none" w:sz="0" w:space="0" w:color="auto"/>
                <w:right w:val="none" w:sz="0" w:space="0" w:color="auto"/>
              </w:divBdr>
              <w:divsChild>
                <w:div w:id="1260336817">
                  <w:marLeft w:val="0"/>
                  <w:marRight w:val="0"/>
                  <w:marTop w:val="0"/>
                  <w:marBottom w:val="0"/>
                  <w:divBdr>
                    <w:top w:val="none" w:sz="0" w:space="0" w:color="auto"/>
                    <w:left w:val="none" w:sz="0" w:space="0" w:color="auto"/>
                    <w:bottom w:val="none" w:sz="0" w:space="0" w:color="auto"/>
                    <w:right w:val="none" w:sz="0" w:space="0" w:color="auto"/>
                  </w:divBdr>
                  <w:divsChild>
                    <w:div w:id="10840076">
                      <w:marLeft w:val="0"/>
                      <w:marRight w:val="0"/>
                      <w:marTop w:val="0"/>
                      <w:marBottom w:val="0"/>
                      <w:divBdr>
                        <w:top w:val="none" w:sz="0" w:space="0" w:color="auto"/>
                        <w:left w:val="none" w:sz="0" w:space="0" w:color="auto"/>
                        <w:bottom w:val="none" w:sz="0" w:space="0" w:color="auto"/>
                        <w:right w:val="none" w:sz="0" w:space="0" w:color="auto"/>
                      </w:divBdr>
                    </w:div>
                    <w:div w:id="1098646167">
                      <w:marLeft w:val="0"/>
                      <w:marRight w:val="0"/>
                      <w:marTop w:val="0"/>
                      <w:marBottom w:val="0"/>
                      <w:divBdr>
                        <w:top w:val="none" w:sz="0" w:space="0" w:color="auto"/>
                        <w:left w:val="none" w:sz="0" w:space="0" w:color="auto"/>
                        <w:bottom w:val="none" w:sz="0" w:space="0" w:color="auto"/>
                        <w:right w:val="none" w:sz="0" w:space="0" w:color="auto"/>
                      </w:divBdr>
                    </w:div>
                    <w:div w:id="178225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420146">
      <w:bodyDiv w:val="1"/>
      <w:marLeft w:val="0"/>
      <w:marRight w:val="0"/>
      <w:marTop w:val="0"/>
      <w:marBottom w:val="0"/>
      <w:divBdr>
        <w:top w:val="none" w:sz="0" w:space="0" w:color="auto"/>
        <w:left w:val="none" w:sz="0" w:space="0" w:color="auto"/>
        <w:bottom w:val="none" w:sz="0" w:space="0" w:color="auto"/>
        <w:right w:val="none" w:sz="0" w:space="0" w:color="auto"/>
      </w:divBdr>
      <w:divsChild>
        <w:div w:id="3948134">
          <w:marLeft w:val="0"/>
          <w:marRight w:val="0"/>
          <w:marTop w:val="150"/>
          <w:marBottom w:val="150"/>
          <w:divBdr>
            <w:top w:val="none" w:sz="0" w:space="0" w:color="auto"/>
            <w:left w:val="none" w:sz="0" w:space="0" w:color="auto"/>
            <w:bottom w:val="none" w:sz="0" w:space="0" w:color="auto"/>
            <w:right w:val="none" w:sz="0" w:space="0" w:color="auto"/>
          </w:divBdr>
          <w:divsChild>
            <w:div w:id="145361807">
              <w:marLeft w:val="0"/>
              <w:marRight w:val="0"/>
              <w:marTop w:val="0"/>
              <w:marBottom w:val="0"/>
              <w:divBdr>
                <w:top w:val="none" w:sz="0" w:space="0" w:color="auto"/>
                <w:left w:val="none" w:sz="0" w:space="0" w:color="auto"/>
                <w:bottom w:val="none" w:sz="0" w:space="0" w:color="auto"/>
                <w:right w:val="none" w:sz="0" w:space="0" w:color="auto"/>
              </w:divBdr>
              <w:divsChild>
                <w:div w:id="1038819951">
                  <w:marLeft w:val="0"/>
                  <w:marRight w:val="0"/>
                  <w:marTop w:val="150"/>
                  <w:marBottom w:val="0"/>
                  <w:divBdr>
                    <w:top w:val="single" w:sz="6" w:space="11" w:color="DDDDDD"/>
                    <w:left w:val="single" w:sz="6" w:space="11" w:color="DDDDDD"/>
                    <w:bottom w:val="single" w:sz="6" w:space="11" w:color="DDDDDD"/>
                    <w:right w:val="single" w:sz="6" w:space="11" w:color="DDDDDD"/>
                  </w:divBdr>
                  <w:divsChild>
                    <w:div w:id="2063670736">
                      <w:marLeft w:val="0"/>
                      <w:marRight w:val="0"/>
                      <w:marTop w:val="0"/>
                      <w:marBottom w:val="0"/>
                      <w:divBdr>
                        <w:top w:val="none" w:sz="0" w:space="0" w:color="auto"/>
                        <w:left w:val="none" w:sz="0" w:space="0" w:color="auto"/>
                        <w:bottom w:val="none" w:sz="0" w:space="0" w:color="auto"/>
                        <w:right w:val="none" w:sz="0" w:space="0" w:color="auto"/>
                      </w:divBdr>
                      <w:divsChild>
                        <w:div w:id="844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02712">
      <w:bodyDiv w:val="1"/>
      <w:marLeft w:val="0"/>
      <w:marRight w:val="0"/>
      <w:marTop w:val="0"/>
      <w:marBottom w:val="0"/>
      <w:divBdr>
        <w:top w:val="none" w:sz="0" w:space="0" w:color="auto"/>
        <w:left w:val="none" w:sz="0" w:space="0" w:color="auto"/>
        <w:bottom w:val="none" w:sz="0" w:space="0" w:color="auto"/>
        <w:right w:val="none" w:sz="0" w:space="0" w:color="auto"/>
      </w:divBdr>
      <w:divsChild>
        <w:div w:id="1367946246">
          <w:marLeft w:val="0"/>
          <w:marRight w:val="0"/>
          <w:marTop w:val="150"/>
          <w:marBottom w:val="150"/>
          <w:divBdr>
            <w:top w:val="none" w:sz="0" w:space="0" w:color="auto"/>
            <w:left w:val="none" w:sz="0" w:space="0" w:color="auto"/>
            <w:bottom w:val="none" w:sz="0" w:space="0" w:color="auto"/>
            <w:right w:val="none" w:sz="0" w:space="0" w:color="auto"/>
          </w:divBdr>
          <w:divsChild>
            <w:div w:id="1712266638">
              <w:marLeft w:val="0"/>
              <w:marRight w:val="0"/>
              <w:marTop w:val="0"/>
              <w:marBottom w:val="0"/>
              <w:divBdr>
                <w:top w:val="none" w:sz="0" w:space="0" w:color="auto"/>
                <w:left w:val="none" w:sz="0" w:space="0" w:color="auto"/>
                <w:bottom w:val="none" w:sz="0" w:space="0" w:color="auto"/>
                <w:right w:val="none" w:sz="0" w:space="0" w:color="auto"/>
              </w:divBdr>
              <w:divsChild>
                <w:div w:id="1720010049">
                  <w:marLeft w:val="0"/>
                  <w:marRight w:val="0"/>
                  <w:marTop w:val="150"/>
                  <w:marBottom w:val="0"/>
                  <w:divBdr>
                    <w:top w:val="single" w:sz="6" w:space="11" w:color="DDDDDD"/>
                    <w:left w:val="single" w:sz="6" w:space="11" w:color="DDDDDD"/>
                    <w:bottom w:val="single" w:sz="6" w:space="11" w:color="DDDDDD"/>
                    <w:right w:val="single" w:sz="6" w:space="11" w:color="DDDDDD"/>
                  </w:divBdr>
                  <w:divsChild>
                    <w:div w:id="507252793">
                      <w:marLeft w:val="0"/>
                      <w:marRight w:val="0"/>
                      <w:marTop w:val="0"/>
                      <w:marBottom w:val="0"/>
                      <w:divBdr>
                        <w:top w:val="none" w:sz="0" w:space="0" w:color="auto"/>
                        <w:left w:val="none" w:sz="0" w:space="0" w:color="auto"/>
                        <w:bottom w:val="none" w:sz="0" w:space="0" w:color="auto"/>
                        <w:right w:val="none" w:sz="0" w:space="0" w:color="auto"/>
                      </w:divBdr>
                      <w:divsChild>
                        <w:div w:id="21291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927528">
      <w:bodyDiv w:val="1"/>
      <w:marLeft w:val="0"/>
      <w:marRight w:val="0"/>
      <w:marTop w:val="0"/>
      <w:marBottom w:val="0"/>
      <w:divBdr>
        <w:top w:val="none" w:sz="0" w:space="0" w:color="auto"/>
        <w:left w:val="none" w:sz="0" w:space="0" w:color="auto"/>
        <w:bottom w:val="none" w:sz="0" w:space="0" w:color="auto"/>
        <w:right w:val="none" w:sz="0" w:space="0" w:color="auto"/>
      </w:divBdr>
    </w:div>
    <w:div w:id="1619683496">
      <w:bodyDiv w:val="1"/>
      <w:marLeft w:val="0"/>
      <w:marRight w:val="0"/>
      <w:marTop w:val="0"/>
      <w:marBottom w:val="0"/>
      <w:divBdr>
        <w:top w:val="none" w:sz="0" w:space="0" w:color="auto"/>
        <w:left w:val="none" w:sz="0" w:space="0" w:color="auto"/>
        <w:bottom w:val="none" w:sz="0" w:space="0" w:color="auto"/>
        <w:right w:val="none" w:sz="0" w:space="0" w:color="auto"/>
      </w:divBdr>
      <w:divsChild>
        <w:div w:id="745810192">
          <w:marLeft w:val="0"/>
          <w:marRight w:val="0"/>
          <w:marTop w:val="100"/>
          <w:marBottom w:val="100"/>
          <w:divBdr>
            <w:top w:val="none" w:sz="0" w:space="0" w:color="auto"/>
            <w:left w:val="none" w:sz="0" w:space="0" w:color="auto"/>
            <w:bottom w:val="none" w:sz="0" w:space="0" w:color="auto"/>
            <w:right w:val="none" w:sz="0" w:space="0" w:color="auto"/>
          </w:divBdr>
          <w:divsChild>
            <w:div w:id="150217001">
              <w:marLeft w:val="0"/>
              <w:marRight w:val="0"/>
              <w:marTop w:val="0"/>
              <w:marBottom w:val="0"/>
              <w:divBdr>
                <w:top w:val="none" w:sz="0" w:space="0" w:color="auto"/>
                <w:left w:val="none" w:sz="0" w:space="0" w:color="auto"/>
                <w:bottom w:val="none" w:sz="0" w:space="0" w:color="auto"/>
                <w:right w:val="none" w:sz="0" w:space="0" w:color="auto"/>
              </w:divBdr>
              <w:divsChild>
                <w:div w:id="935670724">
                  <w:marLeft w:val="0"/>
                  <w:marRight w:val="0"/>
                  <w:marTop w:val="0"/>
                  <w:marBottom w:val="0"/>
                  <w:divBdr>
                    <w:top w:val="single" w:sz="6" w:space="11" w:color="DDDEDE"/>
                    <w:left w:val="single" w:sz="6" w:space="11" w:color="DDDEDE"/>
                    <w:bottom w:val="single" w:sz="6" w:space="11" w:color="DDDEDE"/>
                    <w:right w:val="single" w:sz="6" w:space="11" w:color="DDDEDE"/>
                  </w:divBdr>
                </w:div>
              </w:divsChild>
            </w:div>
          </w:divsChild>
        </w:div>
      </w:divsChild>
    </w:div>
    <w:div w:id="1633633471">
      <w:bodyDiv w:val="1"/>
      <w:marLeft w:val="0"/>
      <w:marRight w:val="0"/>
      <w:marTop w:val="0"/>
      <w:marBottom w:val="0"/>
      <w:divBdr>
        <w:top w:val="none" w:sz="0" w:space="0" w:color="auto"/>
        <w:left w:val="none" w:sz="0" w:space="0" w:color="auto"/>
        <w:bottom w:val="none" w:sz="0" w:space="0" w:color="auto"/>
        <w:right w:val="none" w:sz="0" w:space="0" w:color="auto"/>
      </w:divBdr>
    </w:div>
    <w:div w:id="1656032612">
      <w:bodyDiv w:val="1"/>
      <w:marLeft w:val="0"/>
      <w:marRight w:val="0"/>
      <w:marTop w:val="0"/>
      <w:marBottom w:val="0"/>
      <w:divBdr>
        <w:top w:val="none" w:sz="0" w:space="0" w:color="auto"/>
        <w:left w:val="none" w:sz="0" w:space="0" w:color="auto"/>
        <w:bottom w:val="none" w:sz="0" w:space="0" w:color="auto"/>
        <w:right w:val="none" w:sz="0" w:space="0" w:color="auto"/>
      </w:divBdr>
      <w:divsChild>
        <w:div w:id="501237234">
          <w:marLeft w:val="0"/>
          <w:marRight w:val="335"/>
          <w:marTop w:val="167"/>
          <w:marBottom w:val="167"/>
          <w:divBdr>
            <w:top w:val="single" w:sz="6" w:space="3" w:color="CDCDCD"/>
            <w:left w:val="single" w:sz="6" w:space="3" w:color="CDCDCD"/>
            <w:bottom w:val="single" w:sz="6" w:space="3" w:color="CDCDCD"/>
            <w:right w:val="single" w:sz="6" w:space="3" w:color="CDCDCD"/>
          </w:divBdr>
        </w:div>
      </w:divsChild>
    </w:div>
    <w:div w:id="1656492961">
      <w:bodyDiv w:val="1"/>
      <w:marLeft w:val="0"/>
      <w:marRight w:val="0"/>
      <w:marTop w:val="0"/>
      <w:marBottom w:val="0"/>
      <w:divBdr>
        <w:top w:val="none" w:sz="0" w:space="0" w:color="auto"/>
        <w:left w:val="none" w:sz="0" w:space="0" w:color="auto"/>
        <w:bottom w:val="none" w:sz="0" w:space="0" w:color="auto"/>
        <w:right w:val="none" w:sz="0" w:space="0" w:color="auto"/>
      </w:divBdr>
      <w:divsChild>
        <w:div w:id="1807120765">
          <w:marLeft w:val="0"/>
          <w:marRight w:val="0"/>
          <w:marTop w:val="0"/>
          <w:marBottom w:val="0"/>
          <w:divBdr>
            <w:top w:val="none" w:sz="0" w:space="0" w:color="auto"/>
            <w:left w:val="none" w:sz="0" w:space="0" w:color="auto"/>
            <w:bottom w:val="none" w:sz="0" w:space="0" w:color="auto"/>
            <w:right w:val="none" w:sz="0" w:space="0" w:color="auto"/>
          </w:divBdr>
        </w:div>
      </w:divsChild>
    </w:div>
    <w:div w:id="1723213574">
      <w:bodyDiv w:val="1"/>
      <w:marLeft w:val="0"/>
      <w:marRight w:val="0"/>
      <w:marTop w:val="0"/>
      <w:marBottom w:val="0"/>
      <w:divBdr>
        <w:top w:val="none" w:sz="0" w:space="0" w:color="auto"/>
        <w:left w:val="none" w:sz="0" w:space="0" w:color="auto"/>
        <w:bottom w:val="none" w:sz="0" w:space="0" w:color="auto"/>
        <w:right w:val="none" w:sz="0" w:space="0" w:color="auto"/>
      </w:divBdr>
    </w:div>
    <w:div w:id="1731003069">
      <w:bodyDiv w:val="1"/>
      <w:marLeft w:val="0"/>
      <w:marRight w:val="0"/>
      <w:marTop w:val="0"/>
      <w:marBottom w:val="0"/>
      <w:divBdr>
        <w:top w:val="none" w:sz="0" w:space="0" w:color="auto"/>
        <w:left w:val="none" w:sz="0" w:space="0" w:color="auto"/>
        <w:bottom w:val="none" w:sz="0" w:space="0" w:color="auto"/>
        <w:right w:val="none" w:sz="0" w:space="0" w:color="auto"/>
      </w:divBdr>
    </w:div>
    <w:div w:id="1737124893">
      <w:bodyDiv w:val="1"/>
      <w:marLeft w:val="0"/>
      <w:marRight w:val="0"/>
      <w:marTop w:val="0"/>
      <w:marBottom w:val="0"/>
      <w:divBdr>
        <w:top w:val="none" w:sz="0" w:space="0" w:color="auto"/>
        <w:left w:val="none" w:sz="0" w:space="0" w:color="auto"/>
        <w:bottom w:val="none" w:sz="0" w:space="0" w:color="auto"/>
        <w:right w:val="none" w:sz="0" w:space="0" w:color="auto"/>
      </w:divBdr>
      <w:divsChild>
        <w:div w:id="824782250">
          <w:marLeft w:val="0"/>
          <w:marRight w:val="0"/>
          <w:marTop w:val="0"/>
          <w:marBottom w:val="0"/>
          <w:divBdr>
            <w:top w:val="none" w:sz="0" w:space="0" w:color="auto"/>
            <w:left w:val="none" w:sz="0" w:space="0" w:color="auto"/>
            <w:bottom w:val="none" w:sz="0" w:space="0" w:color="auto"/>
            <w:right w:val="none" w:sz="0" w:space="0" w:color="auto"/>
          </w:divBdr>
          <w:divsChild>
            <w:div w:id="165752389">
              <w:marLeft w:val="0"/>
              <w:marRight w:val="0"/>
              <w:marTop w:val="0"/>
              <w:marBottom w:val="0"/>
              <w:divBdr>
                <w:top w:val="none" w:sz="0" w:space="0" w:color="auto"/>
                <w:left w:val="none" w:sz="0" w:space="0" w:color="auto"/>
                <w:bottom w:val="none" w:sz="0" w:space="0" w:color="auto"/>
                <w:right w:val="none" w:sz="0" w:space="0" w:color="auto"/>
              </w:divBdr>
              <w:divsChild>
                <w:div w:id="1110199708">
                  <w:marLeft w:val="0"/>
                  <w:marRight w:val="150"/>
                  <w:marTop w:val="0"/>
                  <w:marBottom w:val="180"/>
                  <w:divBdr>
                    <w:top w:val="none" w:sz="0" w:space="0" w:color="auto"/>
                    <w:left w:val="none" w:sz="0" w:space="0" w:color="auto"/>
                    <w:bottom w:val="none" w:sz="0" w:space="0" w:color="auto"/>
                    <w:right w:val="none" w:sz="0" w:space="0" w:color="auto"/>
                  </w:divBdr>
                  <w:divsChild>
                    <w:div w:id="644311676">
                      <w:marLeft w:val="0"/>
                      <w:marRight w:val="0"/>
                      <w:marTop w:val="0"/>
                      <w:marBottom w:val="0"/>
                      <w:divBdr>
                        <w:top w:val="none" w:sz="0" w:space="0" w:color="auto"/>
                        <w:left w:val="none" w:sz="0" w:space="0" w:color="auto"/>
                        <w:bottom w:val="none" w:sz="0" w:space="0" w:color="auto"/>
                        <w:right w:val="none" w:sz="0" w:space="0" w:color="auto"/>
                      </w:divBdr>
                      <w:divsChild>
                        <w:div w:id="387345516">
                          <w:marLeft w:val="0"/>
                          <w:marRight w:val="0"/>
                          <w:marTop w:val="0"/>
                          <w:marBottom w:val="0"/>
                          <w:divBdr>
                            <w:top w:val="none" w:sz="0" w:space="0" w:color="auto"/>
                            <w:left w:val="none" w:sz="0" w:space="0" w:color="auto"/>
                            <w:bottom w:val="none" w:sz="0" w:space="0" w:color="auto"/>
                            <w:right w:val="none" w:sz="0" w:space="0" w:color="auto"/>
                          </w:divBdr>
                          <w:divsChild>
                            <w:div w:id="64863620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536719">
      <w:bodyDiv w:val="1"/>
      <w:marLeft w:val="0"/>
      <w:marRight w:val="0"/>
      <w:marTop w:val="0"/>
      <w:marBottom w:val="0"/>
      <w:divBdr>
        <w:top w:val="none" w:sz="0" w:space="0" w:color="auto"/>
        <w:left w:val="none" w:sz="0" w:space="0" w:color="auto"/>
        <w:bottom w:val="none" w:sz="0" w:space="0" w:color="auto"/>
        <w:right w:val="none" w:sz="0" w:space="0" w:color="auto"/>
      </w:divBdr>
      <w:divsChild>
        <w:div w:id="337007684">
          <w:marLeft w:val="0"/>
          <w:marRight w:val="0"/>
          <w:marTop w:val="0"/>
          <w:marBottom w:val="0"/>
          <w:divBdr>
            <w:top w:val="none" w:sz="0" w:space="0" w:color="auto"/>
            <w:left w:val="none" w:sz="0" w:space="0" w:color="auto"/>
            <w:bottom w:val="none" w:sz="0" w:space="0" w:color="auto"/>
            <w:right w:val="none" w:sz="0" w:space="0" w:color="auto"/>
          </w:divBdr>
        </w:div>
      </w:divsChild>
    </w:div>
    <w:div w:id="1752699739">
      <w:bodyDiv w:val="1"/>
      <w:marLeft w:val="0"/>
      <w:marRight w:val="0"/>
      <w:marTop w:val="0"/>
      <w:marBottom w:val="0"/>
      <w:divBdr>
        <w:top w:val="none" w:sz="0" w:space="0" w:color="auto"/>
        <w:left w:val="none" w:sz="0" w:space="0" w:color="auto"/>
        <w:bottom w:val="none" w:sz="0" w:space="0" w:color="auto"/>
        <w:right w:val="none" w:sz="0" w:space="0" w:color="auto"/>
      </w:divBdr>
    </w:div>
    <w:div w:id="1761219577">
      <w:bodyDiv w:val="1"/>
      <w:marLeft w:val="0"/>
      <w:marRight w:val="0"/>
      <w:marTop w:val="0"/>
      <w:marBottom w:val="0"/>
      <w:divBdr>
        <w:top w:val="none" w:sz="0" w:space="0" w:color="auto"/>
        <w:left w:val="none" w:sz="0" w:space="0" w:color="auto"/>
        <w:bottom w:val="none" w:sz="0" w:space="0" w:color="auto"/>
        <w:right w:val="none" w:sz="0" w:space="0" w:color="auto"/>
      </w:divBdr>
      <w:divsChild>
        <w:div w:id="2013218393">
          <w:marLeft w:val="0"/>
          <w:marRight w:val="0"/>
          <w:marTop w:val="0"/>
          <w:marBottom w:val="0"/>
          <w:divBdr>
            <w:top w:val="none" w:sz="0" w:space="0" w:color="auto"/>
            <w:left w:val="none" w:sz="0" w:space="0" w:color="auto"/>
            <w:bottom w:val="none" w:sz="0" w:space="0" w:color="auto"/>
            <w:right w:val="none" w:sz="0" w:space="0" w:color="auto"/>
          </w:divBdr>
          <w:divsChild>
            <w:div w:id="499931052">
              <w:marLeft w:val="0"/>
              <w:marRight w:val="0"/>
              <w:marTop w:val="0"/>
              <w:marBottom w:val="0"/>
              <w:divBdr>
                <w:top w:val="none" w:sz="0" w:space="0" w:color="auto"/>
                <w:left w:val="none" w:sz="0" w:space="0" w:color="auto"/>
                <w:bottom w:val="none" w:sz="0" w:space="0" w:color="auto"/>
                <w:right w:val="none" w:sz="0" w:space="0" w:color="auto"/>
              </w:divBdr>
              <w:divsChild>
                <w:div w:id="342779872">
                  <w:marLeft w:val="0"/>
                  <w:marRight w:val="0"/>
                  <w:marTop w:val="0"/>
                  <w:marBottom w:val="0"/>
                  <w:divBdr>
                    <w:top w:val="none" w:sz="0" w:space="0" w:color="auto"/>
                    <w:left w:val="none" w:sz="0" w:space="0" w:color="auto"/>
                    <w:bottom w:val="none" w:sz="0" w:space="0" w:color="auto"/>
                    <w:right w:val="none" w:sz="0" w:space="0" w:color="auto"/>
                  </w:divBdr>
                  <w:divsChild>
                    <w:div w:id="65422430">
                      <w:marLeft w:val="0"/>
                      <w:marRight w:val="0"/>
                      <w:marTop w:val="0"/>
                      <w:marBottom w:val="0"/>
                      <w:divBdr>
                        <w:top w:val="none" w:sz="0" w:space="0" w:color="auto"/>
                        <w:left w:val="none" w:sz="0" w:space="0" w:color="auto"/>
                        <w:bottom w:val="none" w:sz="0" w:space="0" w:color="auto"/>
                        <w:right w:val="none" w:sz="0" w:space="0" w:color="auto"/>
                      </w:divBdr>
                    </w:div>
                    <w:div w:id="987443908">
                      <w:marLeft w:val="0"/>
                      <w:marRight w:val="0"/>
                      <w:marTop w:val="0"/>
                      <w:marBottom w:val="0"/>
                      <w:divBdr>
                        <w:top w:val="none" w:sz="0" w:space="0" w:color="auto"/>
                        <w:left w:val="none" w:sz="0" w:space="0" w:color="auto"/>
                        <w:bottom w:val="none" w:sz="0" w:space="0" w:color="auto"/>
                        <w:right w:val="none" w:sz="0" w:space="0" w:color="auto"/>
                      </w:divBdr>
                    </w:div>
                    <w:div w:id="16645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5493">
      <w:bodyDiv w:val="1"/>
      <w:marLeft w:val="0"/>
      <w:marRight w:val="0"/>
      <w:marTop w:val="0"/>
      <w:marBottom w:val="0"/>
      <w:divBdr>
        <w:top w:val="none" w:sz="0" w:space="0" w:color="auto"/>
        <w:left w:val="none" w:sz="0" w:space="0" w:color="auto"/>
        <w:bottom w:val="none" w:sz="0" w:space="0" w:color="auto"/>
        <w:right w:val="none" w:sz="0" w:space="0" w:color="auto"/>
      </w:divBdr>
    </w:div>
    <w:div w:id="1785031252">
      <w:bodyDiv w:val="1"/>
      <w:marLeft w:val="0"/>
      <w:marRight w:val="0"/>
      <w:marTop w:val="0"/>
      <w:marBottom w:val="0"/>
      <w:divBdr>
        <w:top w:val="none" w:sz="0" w:space="0" w:color="auto"/>
        <w:left w:val="none" w:sz="0" w:space="0" w:color="auto"/>
        <w:bottom w:val="none" w:sz="0" w:space="0" w:color="auto"/>
        <w:right w:val="none" w:sz="0" w:space="0" w:color="auto"/>
      </w:divBdr>
      <w:divsChild>
        <w:div w:id="700741570">
          <w:marLeft w:val="0"/>
          <w:marRight w:val="0"/>
          <w:marTop w:val="0"/>
          <w:marBottom w:val="0"/>
          <w:divBdr>
            <w:top w:val="none" w:sz="0" w:space="0" w:color="auto"/>
            <w:left w:val="none" w:sz="0" w:space="0" w:color="auto"/>
            <w:bottom w:val="none" w:sz="0" w:space="0" w:color="auto"/>
            <w:right w:val="none" w:sz="0" w:space="0" w:color="auto"/>
          </w:divBdr>
        </w:div>
      </w:divsChild>
    </w:div>
    <w:div w:id="1802265476">
      <w:bodyDiv w:val="1"/>
      <w:marLeft w:val="0"/>
      <w:marRight w:val="0"/>
      <w:marTop w:val="0"/>
      <w:marBottom w:val="0"/>
      <w:divBdr>
        <w:top w:val="none" w:sz="0" w:space="0" w:color="auto"/>
        <w:left w:val="none" w:sz="0" w:space="0" w:color="auto"/>
        <w:bottom w:val="none" w:sz="0" w:space="0" w:color="auto"/>
        <w:right w:val="none" w:sz="0" w:space="0" w:color="auto"/>
      </w:divBdr>
      <w:divsChild>
        <w:div w:id="1996370747">
          <w:marLeft w:val="0"/>
          <w:marRight w:val="0"/>
          <w:marTop w:val="150"/>
          <w:marBottom w:val="150"/>
          <w:divBdr>
            <w:top w:val="none" w:sz="0" w:space="0" w:color="auto"/>
            <w:left w:val="none" w:sz="0" w:space="0" w:color="auto"/>
            <w:bottom w:val="none" w:sz="0" w:space="0" w:color="auto"/>
            <w:right w:val="none" w:sz="0" w:space="0" w:color="auto"/>
          </w:divBdr>
          <w:divsChild>
            <w:div w:id="115560874">
              <w:marLeft w:val="0"/>
              <w:marRight w:val="0"/>
              <w:marTop w:val="0"/>
              <w:marBottom w:val="0"/>
              <w:divBdr>
                <w:top w:val="none" w:sz="0" w:space="0" w:color="auto"/>
                <w:left w:val="none" w:sz="0" w:space="0" w:color="auto"/>
                <w:bottom w:val="none" w:sz="0" w:space="0" w:color="auto"/>
                <w:right w:val="none" w:sz="0" w:space="0" w:color="auto"/>
              </w:divBdr>
              <w:divsChild>
                <w:div w:id="754058634">
                  <w:marLeft w:val="0"/>
                  <w:marRight w:val="0"/>
                  <w:marTop w:val="150"/>
                  <w:marBottom w:val="0"/>
                  <w:divBdr>
                    <w:top w:val="single" w:sz="6" w:space="11" w:color="DDDDDD"/>
                    <w:left w:val="single" w:sz="6" w:space="11" w:color="DDDDDD"/>
                    <w:bottom w:val="single" w:sz="6" w:space="11" w:color="DDDDDD"/>
                    <w:right w:val="single" w:sz="6" w:space="11" w:color="DDDDDD"/>
                  </w:divBdr>
                  <w:divsChild>
                    <w:div w:id="1591887121">
                      <w:marLeft w:val="0"/>
                      <w:marRight w:val="0"/>
                      <w:marTop w:val="0"/>
                      <w:marBottom w:val="0"/>
                      <w:divBdr>
                        <w:top w:val="none" w:sz="0" w:space="0" w:color="auto"/>
                        <w:left w:val="none" w:sz="0" w:space="0" w:color="auto"/>
                        <w:bottom w:val="none" w:sz="0" w:space="0" w:color="auto"/>
                        <w:right w:val="none" w:sz="0" w:space="0" w:color="auto"/>
                      </w:divBdr>
                      <w:divsChild>
                        <w:div w:id="204763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005971">
      <w:bodyDiv w:val="1"/>
      <w:marLeft w:val="0"/>
      <w:marRight w:val="0"/>
      <w:marTop w:val="0"/>
      <w:marBottom w:val="0"/>
      <w:divBdr>
        <w:top w:val="none" w:sz="0" w:space="0" w:color="auto"/>
        <w:left w:val="none" w:sz="0" w:space="0" w:color="auto"/>
        <w:bottom w:val="none" w:sz="0" w:space="0" w:color="auto"/>
        <w:right w:val="none" w:sz="0" w:space="0" w:color="auto"/>
      </w:divBdr>
    </w:div>
    <w:div w:id="1813909986">
      <w:bodyDiv w:val="1"/>
      <w:marLeft w:val="0"/>
      <w:marRight w:val="0"/>
      <w:marTop w:val="0"/>
      <w:marBottom w:val="0"/>
      <w:divBdr>
        <w:top w:val="none" w:sz="0" w:space="0" w:color="auto"/>
        <w:left w:val="none" w:sz="0" w:space="0" w:color="auto"/>
        <w:bottom w:val="none" w:sz="0" w:space="0" w:color="auto"/>
        <w:right w:val="none" w:sz="0" w:space="0" w:color="auto"/>
      </w:divBdr>
      <w:divsChild>
        <w:div w:id="36861116">
          <w:marLeft w:val="0"/>
          <w:marRight w:val="0"/>
          <w:marTop w:val="0"/>
          <w:marBottom w:val="0"/>
          <w:divBdr>
            <w:top w:val="none" w:sz="0" w:space="0" w:color="auto"/>
            <w:left w:val="none" w:sz="0" w:space="0" w:color="auto"/>
            <w:bottom w:val="none" w:sz="0" w:space="0" w:color="auto"/>
            <w:right w:val="none" w:sz="0" w:space="0" w:color="auto"/>
          </w:divBdr>
          <w:divsChild>
            <w:div w:id="432477813">
              <w:marLeft w:val="0"/>
              <w:marRight w:val="0"/>
              <w:marTop w:val="0"/>
              <w:marBottom w:val="0"/>
              <w:divBdr>
                <w:top w:val="single" w:sz="6" w:space="4" w:color="DEDEB8"/>
                <w:left w:val="single" w:sz="6" w:space="4" w:color="DEDEB8"/>
                <w:bottom w:val="single" w:sz="6" w:space="4" w:color="DEDEB8"/>
                <w:right w:val="single" w:sz="6" w:space="4" w:color="DEDEB8"/>
              </w:divBdr>
              <w:divsChild>
                <w:div w:id="1138105960">
                  <w:marLeft w:val="0"/>
                  <w:marRight w:val="0"/>
                  <w:marTop w:val="0"/>
                  <w:marBottom w:val="0"/>
                  <w:divBdr>
                    <w:top w:val="none" w:sz="0" w:space="0" w:color="auto"/>
                    <w:left w:val="none" w:sz="0" w:space="0" w:color="auto"/>
                    <w:bottom w:val="none" w:sz="0" w:space="0" w:color="auto"/>
                    <w:right w:val="none" w:sz="0" w:space="0" w:color="auto"/>
                  </w:divBdr>
                  <w:divsChild>
                    <w:div w:id="1393191208">
                      <w:marLeft w:val="0"/>
                      <w:marRight w:val="0"/>
                      <w:marTop w:val="0"/>
                      <w:marBottom w:val="0"/>
                      <w:divBdr>
                        <w:top w:val="none" w:sz="0" w:space="0" w:color="auto"/>
                        <w:left w:val="none" w:sz="0" w:space="0" w:color="auto"/>
                        <w:bottom w:val="none" w:sz="0" w:space="0" w:color="auto"/>
                        <w:right w:val="none" w:sz="0" w:space="0" w:color="auto"/>
                      </w:divBdr>
                      <w:divsChild>
                        <w:div w:id="12043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183385">
      <w:bodyDiv w:val="1"/>
      <w:marLeft w:val="0"/>
      <w:marRight w:val="0"/>
      <w:marTop w:val="0"/>
      <w:marBottom w:val="0"/>
      <w:divBdr>
        <w:top w:val="none" w:sz="0" w:space="0" w:color="auto"/>
        <w:left w:val="none" w:sz="0" w:space="0" w:color="auto"/>
        <w:bottom w:val="none" w:sz="0" w:space="0" w:color="auto"/>
        <w:right w:val="none" w:sz="0" w:space="0" w:color="auto"/>
      </w:divBdr>
    </w:div>
    <w:div w:id="1843086587">
      <w:bodyDiv w:val="1"/>
      <w:marLeft w:val="0"/>
      <w:marRight w:val="0"/>
      <w:marTop w:val="0"/>
      <w:marBottom w:val="0"/>
      <w:divBdr>
        <w:top w:val="none" w:sz="0" w:space="0" w:color="auto"/>
        <w:left w:val="none" w:sz="0" w:space="0" w:color="auto"/>
        <w:bottom w:val="none" w:sz="0" w:space="0" w:color="auto"/>
        <w:right w:val="none" w:sz="0" w:space="0" w:color="auto"/>
      </w:divBdr>
      <w:divsChild>
        <w:div w:id="81877945">
          <w:marLeft w:val="0"/>
          <w:marRight w:val="0"/>
          <w:marTop w:val="150"/>
          <w:marBottom w:val="150"/>
          <w:divBdr>
            <w:top w:val="none" w:sz="0" w:space="0" w:color="auto"/>
            <w:left w:val="none" w:sz="0" w:space="0" w:color="auto"/>
            <w:bottom w:val="none" w:sz="0" w:space="0" w:color="auto"/>
            <w:right w:val="none" w:sz="0" w:space="0" w:color="auto"/>
          </w:divBdr>
          <w:divsChild>
            <w:div w:id="375280929">
              <w:marLeft w:val="0"/>
              <w:marRight w:val="0"/>
              <w:marTop w:val="0"/>
              <w:marBottom w:val="0"/>
              <w:divBdr>
                <w:top w:val="none" w:sz="0" w:space="0" w:color="auto"/>
                <w:left w:val="none" w:sz="0" w:space="0" w:color="auto"/>
                <w:bottom w:val="none" w:sz="0" w:space="0" w:color="auto"/>
                <w:right w:val="none" w:sz="0" w:space="0" w:color="auto"/>
              </w:divBdr>
              <w:divsChild>
                <w:div w:id="929585632">
                  <w:marLeft w:val="0"/>
                  <w:marRight w:val="0"/>
                  <w:marTop w:val="150"/>
                  <w:marBottom w:val="0"/>
                  <w:divBdr>
                    <w:top w:val="single" w:sz="6" w:space="11" w:color="DDDDDD"/>
                    <w:left w:val="single" w:sz="6" w:space="11" w:color="DDDDDD"/>
                    <w:bottom w:val="single" w:sz="6" w:space="11" w:color="DDDDDD"/>
                    <w:right w:val="single" w:sz="6" w:space="11" w:color="DDDDDD"/>
                  </w:divBdr>
                  <w:divsChild>
                    <w:div w:id="1926181536">
                      <w:marLeft w:val="0"/>
                      <w:marRight w:val="0"/>
                      <w:marTop w:val="0"/>
                      <w:marBottom w:val="0"/>
                      <w:divBdr>
                        <w:top w:val="none" w:sz="0" w:space="0" w:color="auto"/>
                        <w:left w:val="none" w:sz="0" w:space="0" w:color="auto"/>
                        <w:bottom w:val="none" w:sz="0" w:space="0" w:color="auto"/>
                        <w:right w:val="none" w:sz="0" w:space="0" w:color="auto"/>
                      </w:divBdr>
                      <w:divsChild>
                        <w:div w:id="183213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80988">
      <w:bodyDiv w:val="1"/>
      <w:marLeft w:val="0"/>
      <w:marRight w:val="0"/>
      <w:marTop w:val="0"/>
      <w:marBottom w:val="0"/>
      <w:divBdr>
        <w:top w:val="none" w:sz="0" w:space="0" w:color="auto"/>
        <w:left w:val="none" w:sz="0" w:space="0" w:color="auto"/>
        <w:bottom w:val="none" w:sz="0" w:space="0" w:color="auto"/>
        <w:right w:val="none" w:sz="0" w:space="0" w:color="auto"/>
      </w:divBdr>
      <w:divsChild>
        <w:div w:id="535896156">
          <w:marLeft w:val="0"/>
          <w:marRight w:val="0"/>
          <w:marTop w:val="150"/>
          <w:marBottom w:val="150"/>
          <w:divBdr>
            <w:top w:val="none" w:sz="0" w:space="0" w:color="auto"/>
            <w:left w:val="none" w:sz="0" w:space="0" w:color="auto"/>
            <w:bottom w:val="none" w:sz="0" w:space="0" w:color="auto"/>
            <w:right w:val="none" w:sz="0" w:space="0" w:color="auto"/>
          </w:divBdr>
          <w:divsChild>
            <w:div w:id="1420367204">
              <w:marLeft w:val="0"/>
              <w:marRight w:val="0"/>
              <w:marTop w:val="0"/>
              <w:marBottom w:val="0"/>
              <w:divBdr>
                <w:top w:val="none" w:sz="0" w:space="0" w:color="auto"/>
                <w:left w:val="none" w:sz="0" w:space="0" w:color="auto"/>
                <w:bottom w:val="none" w:sz="0" w:space="0" w:color="auto"/>
                <w:right w:val="none" w:sz="0" w:space="0" w:color="auto"/>
              </w:divBdr>
              <w:divsChild>
                <w:div w:id="132795509">
                  <w:marLeft w:val="0"/>
                  <w:marRight w:val="0"/>
                  <w:marTop w:val="150"/>
                  <w:marBottom w:val="0"/>
                  <w:divBdr>
                    <w:top w:val="single" w:sz="6" w:space="11" w:color="DDDDDD"/>
                    <w:left w:val="single" w:sz="6" w:space="11" w:color="DDDDDD"/>
                    <w:bottom w:val="single" w:sz="6" w:space="11" w:color="DDDDDD"/>
                    <w:right w:val="single" w:sz="6" w:space="11" w:color="DDDDDD"/>
                  </w:divBdr>
                  <w:divsChild>
                    <w:div w:id="120225174">
                      <w:marLeft w:val="0"/>
                      <w:marRight w:val="0"/>
                      <w:marTop w:val="0"/>
                      <w:marBottom w:val="0"/>
                      <w:divBdr>
                        <w:top w:val="none" w:sz="0" w:space="0" w:color="auto"/>
                        <w:left w:val="none" w:sz="0" w:space="0" w:color="auto"/>
                        <w:bottom w:val="none" w:sz="0" w:space="0" w:color="auto"/>
                        <w:right w:val="none" w:sz="0" w:space="0" w:color="auto"/>
                      </w:divBdr>
                      <w:divsChild>
                        <w:div w:id="21390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470174">
      <w:bodyDiv w:val="1"/>
      <w:marLeft w:val="0"/>
      <w:marRight w:val="0"/>
      <w:marTop w:val="0"/>
      <w:marBottom w:val="0"/>
      <w:divBdr>
        <w:top w:val="none" w:sz="0" w:space="0" w:color="auto"/>
        <w:left w:val="none" w:sz="0" w:space="0" w:color="auto"/>
        <w:bottom w:val="none" w:sz="0" w:space="0" w:color="auto"/>
        <w:right w:val="none" w:sz="0" w:space="0" w:color="auto"/>
      </w:divBdr>
    </w:div>
    <w:div w:id="1922134668">
      <w:bodyDiv w:val="1"/>
      <w:marLeft w:val="0"/>
      <w:marRight w:val="0"/>
      <w:marTop w:val="0"/>
      <w:marBottom w:val="0"/>
      <w:divBdr>
        <w:top w:val="none" w:sz="0" w:space="0" w:color="auto"/>
        <w:left w:val="none" w:sz="0" w:space="0" w:color="auto"/>
        <w:bottom w:val="none" w:sz="0" w:space="0" w:color="auto"/>
        <w:right w:val="none" w:sz="0" w:space="0" w:color="auto"/>
      </w:divBdr>
    </w:div>
    <w:div w:id="1944343217">
      <w:bodyDiv w:val="1"/>
      <w:marLeft w:val="0"/>
      <w:marRight w:val="0"/>
      <w:marTop w:val="0"/>
      <w:marBottom w:val="0"/>
      <w:divBdr>
        <w:top w:val="none" w:sz="0" w:space="0" w:color="auto"/>
        <w:left w:val="none" w:sz="0" w:space="0" w:color="auto"/>
        <w:bottom w:val="none" w:sz="0" w:space="0" w:color="auto"/>
        <w:right w:val="none" w:sz="0" w:space="0" w:color="auto"/>
      </w:divBdr>
      <w:divsChild>
        <w:div w:id="496841945">
          <w:marLeft w:val="547"/>
          <w:marRight w:val="0"/>
          <w:marTop w:val="96"/>
          <w:marBottom w:val="0"/>
          <w:divBdr>
            <w:top w:val="none" w:sz="0" w:space="0" w:color="auto"/>
            <w:left w:val="none" w:sz="0" w:space="0" w:color="auto"/>
            <w:bottom w:val="none" w:sz="0" w:space="0" w:color="auto"/>
            <w:right w:val="none" w:sz="0" w:space="0" w:color="auto"/>
          </w:divBdr>
        </w:div>
      </w:divsChild>
    </w:div>
    <w:div w:id="1958485688">
      <w:bodyDiv w:val="1"/>
      <w:marLeft w:val="0"/>
      <w:marRight w:val="0"/>
      <w:marTop w:val="0"/>
      <w:marBottom w:val="0"/>
      <w:divBdr>
        <w:top w:val="none" w:sz="0" w:space="0" w:color="auto"/>
        <w:left w:val="none" w:sz="0" w:space="0" w:color="auto"/>
        <w:bottom w:val="none" w:sz="0" w:space="0" w:color="auto"/>
        <w:right w:val="none" w:sz="0" w:space="0" w:color="auto"/>
      </w:divBdr>
      <w:divsChild>
        <w:div w:id="227688085">
          <w:marLeft w:val="0"/>
          <w:marRight w:val="0"/>
          <w:marTop w:val="90"/>
          <w:marBottom w:val="105"/>
          <w:divBdr>
            <w:top w:val="none" w:sz="0" w:space="0" w:color="auto"/>
            <w:left w:val="none" w:sz="0" w:space="0" w:color="auto"/>
            <w:bottom w:val="none" w:sz="0" w:space="0" w:color="auto"/>
            <w:right w:val="none" w:sz="0" w:space="0" w:color="auto"/>
          </w:divBdr>
          <w:divsChild>
            <w:div w:id="1860047637">
              <w:marLeft w:val="0"/>
              <w:marRight w:val="0"/>
              <w:marTop w:val="0"/>
              <w:marBottom w:val="0"/>
              <w:divBdr>
                <w:top w:val="none" w:sz="0" w:space="0" w:color="auto"/>
                <w:left w:val="none" w:sz="0" w:space="0" w:color="auto"/>
                <w:bottom w:val="none" w:sz="0" w:space="0" w:color="auto"/>
                <w:right w:val="none" w:sz="0" w:space="0" w:color="auto"/>
              </w:divBdr>
              <w:divsChild>
                <w:div w:id="1556811606">
                  <w:marLeft w:val="0"/>
                  <w:marRight w:val="0"/>
                  <w:marTop w:val="0"/>
                  <w:marBottom w:val="0"/>
                  <w:divBdr>
                    <w:top w:val="none" w:sz="0" w:space="0" w:color="auto"/>
                    <w:left w:val="none" w:sz="0" w:space="0" w:color="auto"/>
                    <w:bottom w:val="none" w:sz="0" w:space="0" w:color="auto"/>
                    <w:right w:val="none" w:sz="0" w:space="0" w:color="auto"/>
                  </w:divBdr>
                  <w:divsChild>
                    <w:div w:id="463698261">
                      <w:marLeft w:val="0"/>
                      <w:marRight w:val="0"/>
                      <w:marTop w:val="0"/>
                      <w:marBottom w:val="0"/>
                      <w:divBdr>
                        <w:top w:val="none" w:sz="0" w:space="0" w:color="auto"/>
                        <w:left w:val="none" w:sz="0" w:space="0" w:color="auto"/>
                        <w:bottom w:val="none" w:sz="0" w:space="0" w:color="auto"/>
                        <w:right w:val="none" w:sz="0" w:space="0" w:color="auto"/>
                      </w:divBdr>
                      <w:divsChild>
                        <w:div w:id="1345130971">
                          <w:marLeft w:val="0"/>
                          <w:marRight w:val="0"/>
                          <w:marTop w:val="0"/>
                          <w:marBottom w:val="0"/>
                          <w:divBdr>
                            <w:top w:val="single" w:sz="6" w:space="11" w:color="82D0F4"/>
                            <w:left w:val="single" w:sz="6" w:space="11" w:color="82D0F4"/>
                            <w:bottom w:val="single" w:sz="6" w:space="4" w:color="82D0F4"/>
                            <w:right w:val="single" w:sz="6" w:space="11" w:color="82D0F4"/>
                          </w:divBdr>
                        </w:div>
                      </w:divsChild>
                    </w:div>
                  </w:divsChild>
                </w:div>
              </w:divsChild>
            </w:div>
          </w:divsChild>
        </w:div>
      </w:divsChild>
    </w:div>
    <w:div w:id="1973825034">
      <w:bodyDiv w:val="1"/>
      <w:marLeft w:val="0"/>
      <w:marRight w:val="0"/>
      <w:marTop w:val="0"/>
      <w:marBottom w:val="0"/>
      <w:divBdr>
        <w:top w:val="none" w:sz="0" w:space="0" w:color="auto"/>
        <w:left w:val="none" w:sz="0" w:space="0" w:color="auto"/>
        <w:bottom w:val="none" w:sz="0" w:space="0" w:color="auto"/>
        <w:right w:val="none" w:sz="0" w:space="0" w:color="auto"/>
      </w:divBdr>
      <w:divsChild>
        <w:div w:id="52968855">
          <w:marLeft w:val="0"/>
          <w:marRight w:val="0"/>
          <w:marTop w:val="0"/>
          <w:marBottom w:val="0"/>
          <w:divBdr>
            <w:top w:val="none" w:sz="0" w:space="0" w:color="auto"/>
            <w:left w:val="none" w:sz="0" w:space="0" w:color="auto"/>
            <w:bottom w:val="none" w:sz="0" w:space="0" w:color="auto"/>
            <w:right w:val="none" w:sz="0" w:space="0" w:color="auto"/>
          </w:divBdr>
          <w:divsChild>
            <w:div w:id="1738553571">
              <w:marLeft w:val="0"/>
              <w:marRight w:val="0"/>
              <w:marTop w:val="0"/>
              <w:marBottom w:val="0"/>
              <w:divBdr>
                <w:top w:val="none" w:sz="0" w:space="0" w:color="auto"/>
                <w:left w:val="none" w:sz="0" w:space="0" w:color="auto"/>
                <w:bottom w:val="none" w:sz="0" w:space="0" w:color="auto"/>
                <w:right w:val="none" w:sz="0" w:space="0" w:color="auto"/>
              </w:divBdr>
              <w:divsChild>
                <w:div w:id="143083564">
                  <w:marLeft w:val="0"/>
                  <w:marRight w:val="0"/>
                  <w:marTop w:val="0"/>
                  <w:marBottom w:val="0"/>
                  <w:divBdr>
                    <w:top w:val="single" w:sz="18" w:space="0" w:color="08237A"/>
                    <w:left w:val="none" w:sz="0" w:space="0" w:color="auto"/>
                    <w:bottom w:val="none" w:sz="0" w:space="0" w:color="auto"/>
                    <w:right w:val="none" w:sz="0" w:space="0" w:color="auto"/>
                  </w:divBdr>
                  <w:divsChild>
                    <w:div w:id="1715694593">
                      <w:marLeft w:val="0"/>
                      <w:marRight w:val="0"/>
                      <w:marTop w:val="0"/>
                      <w:marBottom w:val="0"/>
                      <w:divBdr>
                        <w:top w:val="single" w:sz="2" w:space="8" w:color="BBBBBB"/>
                        <w:left w:val="single" w:sz="6" w:space="0" w:color="BBBBBB"/>
                        <w:bottom w:val="single" w:sz="6" w:space="0" w:color="BBBBBB"/>
                        <w:right w:val="single" w:sz="6" w:space="0" w:color="BBBBBB"/>
                      </w:divBdr>
                      <w:divsChild>
                        <w:div w:id="1163279797">
                          <w:marLeft w:val="0"/>
                          <w:marRight w:val="0"/>
                          <w:marTop w:val="0"/>
                          <w:marBottom w:val="0"/>
                          <w:divBdr>
                            <w:top w:val="none" w:sz="0" w:space="0" w:color="auto"/>
                            <w:left w:val="none" w:sz="0" w:space="0" w:color="auto"/>
                            <w:bottom w:val="none" w:sz="0" w:space="0" w:color="auto"/>
                            <w:right w:val="none" w:sz="0" w:space="0" w:color="auto"/>
                          </w:divBdr>
                          <w:divsChild>
                            <w:div w:id="18726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276404">
      <w:bodyDiv w:val="1"/>
      <w:marLeft w:val="0"/>
      <w:marRight w:val="0"/>
      <w:marTop w:val="0"/>
      <w:marBottom w:val="0"/>
      <w:divBdr>
        <w:top w:val="none" w:sz="0" w:space="0" w:color="auto"/>
        <w:left w:val="none" w:sz="0" w:space="0" w:color="auto"/>
        <w:bottom w:val="none" w:sz="0" w:space="0" w:color="auto"/>
        <w:right w:val="none" w:sz="0" w:space="0" w:color="auto"/>
      </w:divBdr>
    </w:div>
    <w:div w:id="2008897979">
      <w:bodyDiv w:val="1"/>
      <w:marLeft w:val="0"/>
      <w:marRight w:val="0"/>
      <w:marTop w:val="0"/>
      <w:marBottom w:val="0"/>
      <w:divBdr>
        <w:top w:val="none" w:sz="0" w:space="0" w:color="auto"/>
        <w:left w:val="none" w:sz="0" w:space="0" w:color="auto"/>
        <w:bottom w:val="none" w:sz="0" w:space="0" w:color="auto"/>
        <w:right w:val="none" w:sz="0" w:space="0" w:color="auto"/>
      </w:divBdr>
    </w:div>
    <w:div w:id="2022005081">
      <w:bodyDiv w:val="1"/>
      <w:marLeft w:val="0"/>
      <w:marRight w:val="0"/>
      <w:marTop w:val="0"/>
      <w:marBottom w:val="0"/>
      <w:divBdr>
        <w:top w:val="none" w:sz="0" w:space="0" w:color="auto"/>
        <w:left w:val="none" w:sz="0" w:space="0" w:color="auto"/>
        <w:bottom w:val="none" w:sz="0" w:space="0" w:color="auto"/>
        <w:right w:val="none" w:sz="0" w:space="0" w:color="auto"/>
      </w:divBdr>
      <w:divsChild>
        <w:div w:id="1875842763">
          <w:marLeft w:val="0"/>
          <w:marRight w:val="0"/>
          <w:marTop w:val="0"/>
          <w:marBottom w:val="0"/>
          <w:divBdr>
            <w:top w:val="none" w:sz="0" w:space="0" w:color="auto"/>
            <w:left w:val="none" w:sz="0" w:space="0" w:color="auto"/>
            <w:bottom w:val="none" w:sz="0" w:space="0" w:color="auto"/>
            <w:right w:val="none" w:sz="0" w:space="0" w:color="auto"/>
          </w:divBdr>
          <w:divsChild>
            <w:div w:id="62799389">
              <w:marLeft w:val="0"/>
              <w:marRight w:val="0"/>
              <w:marTop w:val="0"/>
              <w:marBottom w:val="0"/>
              <w:divBdr>
                <w:top w:val="none" w:sz="0" w:space="0" w:color="auto"/>
                <w:left w:val="none" w:sz="0" w:space="0" w:color="auto"/>
                <w:bottom w:val="none" w:sz="0" w:space="0" w:color="auto"/>
                <w:right w:val="none" w:sz="0" w:space="0" w:color="auto"/>
              </w:divBdr>
              <w:divsChild>
                <w:div w:id="830755148">
                  <w:marLeft w:val="0"/>
                  <w:marRight w:val="0"/>
                  <w:marTop w:val="0"/>
                  <w:marBottom w:val="0"/>
                  <w:divBdr>
                    <w:top w:val="single" w:sz="18" w:space="0" w:color="08237A"/>
                    <w:left w:val="none" w:sz="0" w:space="0" w:color="auto"/>
                    <w:bottom w:val="none" w:sz="0" w:space="0" w:color="auto"/>
                    <w:right w:val="none" w:sz="0" w:space="0" w:color="auto"/>
                  </w:divBdr>
                  <w:divsChild>
                    <w:div w:id="163669884">
                      <w:marLeft w:val="0"/>
                      <w:marRight w:val="0"/>
                      <w:marTop w:val="0"/>
                      <w:marBottom w:val="0"/>
                      <w:divBdr>
                        <w:top w:val="single" w:sz="2" w:space="8" w:color="BBBBBB"/>
                        <w:left w:val="single" w:sz="6" w:space="0" w:color="BBBBBB"/>
                        <w:bottom w:val="single" w:sz="6" w:space="0" w:color="BBBBBB"/>
                        <w:right w:val="single" w:sz="6" w:space="0" w:color="BBBBBB"/>
                      </w:divBdr>
                      <w:divsChild>
                        <w:div w:id="1844130316">
                          <w:marLeft w:val="0"/>
                          <w:marRight w:val="0"/>
                          <w:marTop w:val="0"/>
                          <w:marBottom w:val="0"/>
                          <w:divBdr>
                            <w:top w:val="none" w:sz="0" w:space="0" w:color="auto"/>
                            <w:left w:val="none" w:sz="0" w:space="0" w:color="auto"/>
                            <w:bottom w:val="none" w:sz="0" w:space="0" w:color="auto"/>
                            <w:right w:val="none" w:sz="0" w:space="0" w:color="auto"/>
                          </w:divBdr>
                          <w:divsChild>
                            <w:div w:id="3163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309147">
      <w:bodyDiv w:val="1"/>
      <w:marLeft w:val="0"/>
      <w:marRight w:val="0"/>
      <w:marTop w:val="0"/>
      <w:marBottom w:val="0"/>
      <w:divBdr>
        <w:top w:val="none" w:sz="0" w:space="0" w:color="auto"/>
        <w:left w:val="none" w:sz="0" w:space="0" w:color="auto"/>
        <w:bottom w:val="none" w:sz="0" w:space="0" w:color="auto"/>
        <w:right w:val="none" w:sz="0" w:space="0" w:color="auto"/>
      </w:divBdr>
    </w:div>
    <w:div w:id="2043632792">
      <w:bodyDiv w:val="1"/>
      <w:marLeft w:val="0"/>
      <w:marRight w:val="0"/>
      <w:marTop w:val="0"/>
      <w:marBottom w:val="0"/>
      <w:divBdr>
        <w:top w:val="none" w:sz="0" w:space="0" w:color="auto"/>
        <w:left w:val="none" w:sz="0" w:space="0" w:color="auto"/>
        <w:bottom w:val="none" w:sz="0" w:space="0" w:color="auto"/>
        <w:right w:val="none" w:sz="0" w:space="0" w:color="auto"/>
      </w:divBdr>
      <w:divsChild>
        <w:div w:id="2097859">
          <w:marLeft w:val="0"/>
          <w:marRight w:val="0"/>
          <w:marTop w:val="0"/>
          <w:marBottom w:val="0"/>
          <w:divBdr>
            <w:top w:val="none" w:sz="0" w:space="0" w:color="auto"/>
            <w:left w:val="none" w:sz="0" w:space="0" w:color="auto"/>
            <w:bottom w:val="none" w:sz="0" w:space="0" w:color="auto"/>
            <w:right w:val="none" w:sz="0" w:space="0" w:color="auto"/>
          </w:divBdr>
          <w:divsChild>
            <w:div w:id="1297180676">
              <w:marLeft w:val="0"/>
              <w:marRight w:val="0"/>
              <w:marTop w:val="0"/>
              <w:marBottom w:val="0"/>
              <w:divBdr>
                <w:top w:val="none" w:sz="0" w:space="0" w:color="auto"/>
                <w:left w:val="none" w:sz="0" w:space="0" w:color="auto"/>
                <w:bottom w:val="none" w:sz="0" w:space="0" w:color="auto"/>
                <w:right w:val="none" w:sz="0" w:space="0" w:color="auto"/>
              </w:divBdr>
              <w:divsChild>
                <w:div w:id="138151545">
                  <w:marLeft w:val="0"/>
                  <w:marRight w:val="150"/>
                  <w:marTop w:val="0"/>
                  <w:marBottom w:val="180"/>
                  <w:divBdr>
                    <w:top w:val="none" w:sz="0" w:space="0" w:color="auto"/>
                    <w:left w:val="none" w:sz="0" w:space="0" w:color="auto"/>
                    <w:bottom w:val="none" w:sz="0" w:space="0" w:color="auto"/>
                    <w:right w:val="none" w:sz="0" w:space="0" w:color="auto"/>
                  </w:divBdr>
                  <w:divsChild>
                    <w:div w:id="1335499014">
                      <w:marLeft w:val="0"/>
                      <w:marRight w:val="0"/>
                      <w:marTop w:val="0"/>
                      <w:marBottom w:val="0"/>
                      <w:divBdr>
                        <w:top w:val="none" w:sz="0" w:space="0" w:color="auto"/>
                        <w:left w:val="none" w:sz="0" w:space="0" w:color="auto"/>
                        <w:bottom w:val="none" w:sz="0" w:space="0" w:color="auto"/>
                        <w:right w:val="none" w:sz="0" w:space="0" w:color="auto"/>
                      </w:divBdr>
                      <w:divsChild>
                        <w:div w:id="984629218">
                          <w:marLeft w:val="0"/>
                          <w:marRight w:val="0"/>
                          <w:marTop w:val="0"/>
                          <w:marBottom w:val="0"/>
                          <w:divBdr>
                            <w:top w:val="none" w:sz="0" w:space="0" w:color="auto"/>
                            <w:left w:val="none" w:sz="0" w:space="0" w:color="auto"/>
                            <w:bottom w:val="none" w:sz="0" w:space="0" w:color="auto"/>
                            <w:right w:val="none" w:sz="0" w:space="0" w:color="auto"/>
                          </w:divBdr>
                          <w:divsChild>
                            <w:div w:id="159424333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595750">
      <w:bodyDiv w:val="1"/>
      <w:marLeft w:val="0"/>
      <w:marRight w:val="0"/>
      <w:marTop w:val="0"/>
      <w:marBottom w:val="0"/>
      <w:divBdr>
        <w:top w:val="none" w:sz="0" w:space="0" w:color="auto"/>
        <w:left w:val="none" w:sz="0" w:space="0" w:color="auto"/>
        <w:bottom w:val="none" w:sz="0" w:space="0" w:color="auto"/>
        <w:right w:val="none" w:sz="0" w:space="0" w:color="auto"/>
      </w:divBdr>
      <w:divsChild>
        <w:div w:id="1325282658">
          <w:marLeft w:val="0"/>
          <w:marRight w:val="0"/>
          <w:marTop w:val="150"/>
          <w:marBottom w:val="150"/>
          <w:divBdr>
            <w:top w:val="none" w:sz="0" w:space="0" w:color="auto"/>
            <w:left w:val="none" w:sz="0" w:space="0" w:color="auto"/>
            <w:bottom w:val="none" w:sz="0" w:space="0" w:color="auto"/>
            <w:right w:val="none" w:sz="0" w:space="0" w:color="auto"/>
          </w:divBdr>
          <w:divsChild>
            <w:div w:id="1524435414">
              <w:marLeft w:val="0"/>
              <w:marRight w:val="0"/>
              <w:marTop w:val="0"/>
              <w:marBottom w:val="0"/>
              <w:divBdr>
                <w:top w:val="none" w:sz="0" w:space="0" w:color="auto"/>
                <w:left w:val="none" w:sz="0" w:space="0" w:color="auto"/>
                <w:bottom w:val="none" w:sz="0" w:space="0" w:color="auto"/>
                <w:right w:val="none" w:sz="0" w:space="0" w:color="auto"/>
              </w:divBdr>
              <w:divsChild>
                <w:div w:id="960963312">
                  <w:marLeft w:val="0"/>
                  <w:marRight w:val="0"/>
                  <w:marTop w:val="150"/>
                  <w:marBottom w:val="0"/>
                  <w:divBdr>
                    <w:top w:val="single" w:sz="6" w:space="11" w:color="DDDDDD"/>
                    <w:left w:val="single" w:sz="6" w:space="11" w:color="DDDDDD"/>
                    <w:bottom w:val="single" w:sz="6" w:space="11" w:color="DDDDDD"/>
                    <w:right w:val="single" w:sz="6" w:space="11" w:color="DDDDDD"/>
                  </w:divBdr>
                  <w:divsChild>
                    <w:div w:id="338848987">
                      <w:marLeft w:val="0"/>
                      <w:marRight w:val="0"/>
                      <w:marTop w:val="0"/>
                      <w:marBottom w:val="0"/>
                      <w:divBdr>
                        <w:top w:val="none" w:sz="0" w:space="0" w:color="auto"/>
                        <w:left w:val="none" w:sz="0" w:space="0" w:color="auto"/>
                        <w:bottom w:val="none" w:sz="0" w:space="0" w:color="auto"/>
                        <w:right w:val="none" w:sz="0" w:space="0" w:color="auto"/>
                      </w:divBdr>
                      <w:divsChild>
                        <w:div w:id="15055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975539">
      <w:bodyDiv w:val="1"/>
      <w:marLeft w:val="0"/>
      <w:marRight w:val="0"/>
      <w:marTop w:val="0"/>
      <w:marBottom w:val="0"/>
      <w:divBdr>
        <w:top w:val="none" w:sz="0" w:space="0" w:color="auto"/>
        <w:left w:val="none" w:sz="0" w:space="0" w:color="auto"/>
        <w:bottom w:val="none" w:sz="0" w:space="0" w:color="auto"/>
        <w:right w:val="none" w:sz="0" w:space="0" w:color="auto"/>
      </w:divBdr>
      <w:divsChild>
        <w:div w:id="907542594">
          <w:marLeft w:val="0"/>
          <w:marRight w:val="0"/>
          <w:marTop w:val="0"/>
          <w:marBottom w:val="0"/>
          <w:divBdr>
            <w:top w:val="none" w:sz="0" w:space="0" w:color="auto"/>
            <w:left w:val="none" w:sz="0" w:space="0" w:color="auto"/>
            <w:bottom w:val="none" w:sz="0" w:space="0" w:color="auto"/>
            <w:right w:val="none" w:sz="0" w:space="0" w:color="auto"/>
          </w:divBdr>
          <w:divsChild>
            <w:div w:id="1577936891">
              <w:marLeft w:val="0"/>
              <w:marRight w:val="0"/>
              <w:marTop w:val="0"/>
              <w:marBottom w:val="0"/>
              <w:divBdr>
                <w:top w:val="none" w:sz="0" w:space="0" w:color="auto"/>
                <w:left w:val="none" w:sz="0" w:space="0" w:color="auto"/>
                <w:bottom w:val="none" w:sz="0" w:space="0" w:color="auto"/>
                <w:right w:val="none" w:sz="0" w:space="0" w:color="auto"/>
              </w:divBdr>
              <w:divsChild>
                <w:div w:id="272520577">
                  <w:marLeft w:val="0"/>
                  <w:marRight w:val="150"/>
                  <w:marTop w:val="0"/>
                  <w:marBottom w:val="180"/>
                  <w:divBdr>
                    <w:top w:val="none" w:sz="0" w:space="0" w:color="auto"/>
                    <w:left w:val="none" w:sz="0" w:space="0" w:color="auto"/>
                    <w:bottom w:val="none" w:sz="0" w:space="0" w:color="auto"/>
                    <w:right w:val="none" w:sz="0" w:space="0" w:color="auto"/>
                  </w:divBdr>
                  <w:divsChild>
                    <w:div w:id="2007048425">
                      <w:marLeft w:val="0"/>
                      <w:marRight w:val="0"/>
                      <w:marTop w:val="0"/>
                      <w:marBottom w:val="0"/>
                      <w:divBdr>
                        <w:top w:val="none" w:sz="0" w:space="0" w:color="auto"/>
                        <w:left w:val="none" w:sz="0" w:space="0" w:color="auto"/>
                        <w:bottom w:val="none" w:sz="0" w:space="0" w:color="auto"/>
                        <w:right w:val="none" w:sz="0" w:space="0" w:color="auto"/>
                      </w:divBdr>
                      <w:divsChild>
                        <w:div w:id="1809080857">
                          <w:marLeft w:val="0"/>
                          <w:marRight w:val="0"/>
                          <w:marTop w:val="0"/>
                          <w:marBottom w:val="0"/>
                          <w:divBdr>
                            <w:top w:val="none" w:sz="0" w:space="0" w:color="auto"/>
                            <w:left w:val="none" w:sz="0" w:space="0" w:color="auto"/>
                            <w:bottom w:val="none" w:sz="0" w:space="0" w:color="auto"/>
                            <w:right w:val="none" w:sz="0" w:space="0" w:color="auto"/>
                          </w:divBdr>
                          <w:divsChild>
                            <w:div w:id="21354309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664491">
      <w:bodyDiv w:val="1"/>
      <w:marLeft w:val="0"/>
      <w:marRight w:val="0"/>
      <w:marTop w:val="0"/>
      <w:marBottom w:val="0"/>
      <w:divBdr>
        <w:top w:val="none" w:sz="0" w:space="0" w:color="auto"/>
        <w:left w:val="none" w:sz="0" w:space="0" w:color="auto"/>
        <w:bottom w:val="none" w:sz="0" w:space="0" w:color="auto"/>
        <w:right w:val="none" w:sz="0" w:space="0" w:color="auto"/>
      </w:divBdr>
    </w:div>
    <w:div w:id="2085494136">
      <w:bodyDiv w:val="1"/>
      <w:marLeft w:val="0"/>
      <w:marRight w:val="0"/>
      <w:marTop w:val="0"/>
      <w:marBottom w:val="0"/>
      <w:divBdr>
        <w:top w:val="none" w:sz="0" w:space="0" w:color="auto"/>
        <w:left w:val="none" w:sz="0" w:space="0" w:color="auto"/>
        <w:bottom w:val="none" w:sz="0" w:space="0" w:color="auto"/>
        <w:right w:val="none" w:sz="0" w:space="0" w:color="auto"/>
      </w:divBdr>
      <w:divsChild>
        <w:div w:id="198129130">
          <w:marLeft w:val="0"/>
          <w:marRight w:val="0"/>
          <w:marTop w:val="0"/>
          <w:marBottom w:val="0"/>
          <w:divBdr>
            <w:top w:val="none" w:sz="0" w:space="0" w:color="auto"/>
            <w:left w:val="none" w:sz="0" w:space="0" w:color="auto"/>
            <w:bottom w:val="none" w:sz="0" w:space="0" w:color="auto"/>
            <w:right w:val="none" w:sz="0" w:space="0" w:color="auto"/>
          </w:divBdr>
          <w:divsChild>
            <w:div w:id="278995514">
              <w:marLeft w:val="0"/>
              <w:marRight w:val="0"/>
              <w:marTop w:val="0"/>
              <w:marBottom w:val="0"/>
              <w:divBdr>
                <w:top w:val="none" w:sz="0" w:space="0" w:color="auto"/>
                <w:left w:val="none" w:sz="0" w:space="0" w:color="auto"/>
                <w:bottom w:val="none" w:sz="0" w:space="0" w:color="auto"/>
                <w:right w:val="none" w:sz="0" w:space="0" w:color="auto"/>
              </w:divBdr>
              <w:divsChild>
                <w:div w:id="1145004866">
                  <w:marLeft w:val="0"/>
                  <w:marRight w:val="0"/>
                  <w:marTop w:val="0"/>
                  <w:marBottom w:val="0"/>
                  <w:divBdr>
                    <w:top w:val="single" w:sz="18" w:space="0" w:color="08237A"/>
                    <w:left w:val="none" w:sz="0" w:space="0" w:color="auto"/>
                    <w:bottom w:val="none" w:sz="0" w:space="0" w:color="auto"/>
                    <w:right w:val="none" w:sz="0" w:space="0" w:color="auto"/>
                  </w:divBdr>
                  <w:divsChild>
                    <w:div w:id="984430271">
                      <w:marLeft w:val="0"/>
                      <w:marRight w:val="0"/>
                      <w:marTop w:val="0"/>
                      <w:marBottom w:val="0"/>
                      <w:divBdr>
                        <w:top w:val="single" w:sz="2" w:space="8" w:color="BBBBBB"/>
                        <w:left w:val="single" w:sz="6" w:space="0" w:color="BBBBBB"/>
                        <w:bottom w:val="single" w:sz="6" w:space="0" w:color="BBBBBB"/>
                        <w:right w:val="single" w:sz="6" w:space="0" w:color="BBBBBB"/>
                      </w:divBdr>
                      <w:divsChild>
                        <w:div w:id="1183006889">
                          <w:marLeft w:val="0"/>
                          <w:marRight w:val="0"/>
                          <w:marTop w:val="0"/>
                          <w:marBottom w:val="0"/>
                          <w:divBdr>
                            <w:top w:val="none" w:sz="0" w:space="0" w:color="auto"/>
                            <w:left w:val="none" w:sz="0" w:space="0" w:color="auto"/>
                            <w:bottom w:val="none" w:sz="0" w:space="0" w:color="auto"/>
                            <w:right w:val="none" w:sz="0" w:space="0" w:color="auto"/>
                          </w:divBdr>
                          <w:divsChild>
                            <w:div w:id="10369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633078">
      <w:bodyDiv w:val="1"/>
      <w:marLeft w:val="0"/>
      <w:marRight w:val="0"/>
      <w:marTop w:val="0"/>
      <w:marBottom w:val="0"/>
      <w:divBdr>
        <w:top w:val="none" w:sz="0" w:space="0" w:color="auto"/>
        <w:left w:val="none" w:sz="0" w:space="0" w:color="auto"/>
        <w:bottom w:val="none" w:sz="0" w:space="0" w:color="auto"/>
        <w:right w:val="none" w:sz="0" w:space="0" w:color="auto"/>
      </w:divBdr>
    </w:div>
    <w:div w:id="211354947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png"/><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7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26700;&#38754;\&#26032;&#20844;&#21496;&#25253;&#21578;&#27169;&#29256;\&#26041;&#27491;&#26399;&#36135;&#32929;&#25351;&#26399;&#36135;&#25237;&#36164;&#25253;&#21578;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90EF7-83EC-4D2A-9843-304147292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方正期货股指期货投资报告2.dot</Template>
  <TotalTime>805</TotalTime>
  <Pages>67</Pages>
  <Words>4580</Words>
  <Characters>26106</Characters>
  <Application>Microsoft Office Word</Application>
  <DocSecurity>0</DocSecurity>
  <PresentationFormat/>
  <Lines>217</Lines>
  <Paragraphs>61</Paragraphs>
  <Slides>0</Slides>
  <Notes>0</Notes>
  <HiddenSlides>0</HiddenSlides>
  <MMClips>0</MMClips>
  <ScaleCrop>false</ScaleCrop>
  <Company>微软中国</Company>
  <LinksUpToDate>false</LinksUpToDate>
  <CharactersWithSpaces>30625</CharactersWithSpaces>
  <SharedDoc>false</SharedDoc>
  <HLinks>
    <vt:vector size="6" baseType="variant">
      <vt:variant>
        <vt:i4>8192032</vt:i4>
      </vt:variant>
      <vt:variant>
        <vt:i4>0</vt:i4>
      </vt:variant>
      <vt:variant>
        <vt:i4>0</vt:i4>
      </vt:variant>
      <vt:variant>
        <vt:i4>5</vt:i4>
      </vt:variant>
      <vt:variant>
        <vt:lpwstr>http://finance.sina.com.cn/money/future/CL/quote.shtml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FOUNDER FUTURES</dc:creator>
  <cp:lastModifiedBy>yanfa1</cp:lastModifiedBy>
  <cp:revision>53</cp:revision>
  <cp:lastPrinted>2012-12-17T00:34:00Z</cp:lastPrinted>
  <dcterms:created xsi:type="dcterms:W3CDTF">2014-11-06T16:36:00Z</dcterms:created>
  <dcterms:modified xsi:type="dcterms:W3CDTF">2014-11-08T15:15:00Z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2052-6.6.0.2877</vt:lpwstr>
  </property>
</Properties>
</file>