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豆油阶段性区间震荡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十大研发团队--新世纪期货2队  郑钦龙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USDA报告利空不断，但是现阶段</w:t>
      </w:r>
      <w:r>
        <w:rPr>
          <w:rFonts w:hint="eastAsia" w:ascii="宋体" w:hAnsi="宋体" w:eastAsia="宋体" w:cs="宋体"/>
          <w:sz w:val="24"/>
          <w:szCs w:val="24"/>
        </w:rPr>
        <w:t>国内大豆到港量较少，油厂开机率维持较低水平，棕榈油去库存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进度较快；豆棕价差处于最近几年的较低水平，豆油商业库存从高位开始回落，豆油基差维持反向市场。多空交织，使得豆油行情呈现阶段性震荡，豆油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震荡区间为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[5700，6200]，策略上采取区间震荡思路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4"/>
          <w:rFonts w:hint="eastAsia" w:ascii="宋体" w:hAnsi="宋体" w:eastAsia="宋体" w:cs="宋体"/>
          <w:lang w:val="en-US" w:eastAsia="zh-CN"/>
        </w:rPr>
        <w:t>一、豆油基本面分析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1、USDA报告分析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月10日，USDA报告将美豆大豆单产从上月的47.1蒲式耳/英亩调高至47.5蒲式耳/英亩，市场平均预测为47.608蒲式耳/英亩；大豆期末库存维持4.5亿蒲式耳不变，市场平均预测为4.42亿蒲式耳；收割面积维持8340万英亩，维持不变；大豆产量为39.58亿蒲式耳，平均预测为39.67亿蒲式耳，10月份预估为39.27亿蒲式耳。11月美国大豆库存消费比为12.45%，7月预估为11.72%，8月预估为12.14%，9月预估为13.26%，10预估为12.56%，13/14榨季为2.65%。报告预估2014/15榨季,阿根廷大豆产量为5500万吨，巴西大豆产量为9400万吨，创历史之最。从上面数据看出，美豆丰产大背景下，油脂供应压力依然较大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美豆收获进度加快</w:t>
      </w:r>
    </w:p>
    <w:p>
      <w:pPr>
        <w:widowControl/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图1 美豆收获率</w:t>
      </w:r>
    </w:p>
    <w:p>
      <w:pPr>
        <w:widowControl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 w:fldLock="1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Settings\\Administrator\\Application Data\\Tencent\\Users\\448401776\\QQ\\WinTemp\\RichOle\\$I[QP{4]8B{O3_D07I`0%(L.jpg" \* MERGEFORMATINET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025" o:spid="_x0000_s1026" type="#_x0000_t75" style="height:132.25pt;width:353.9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</w:p>
    <w:p>
      <w:pPr>
        <w:widowControl/>
        <w:numPr>
          <w:numId w:val="0"/>
        </w:numPr>
        <w:spacing w:line="360" w:lineRule="auto"/>
        <w:jc w:val="righ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资料来源：汇易网</w:t>
      </w:r>
    </w:p>
    <w:p>
      <w:pPr>
        <w:widowControl/>
        <w:numPr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USDA每周作为生长报告显示，截至11月9日，美豆收割率为90%，之前一周为83%，五年均值为90%。美豆收割接近五年均值，后市关注出口情况和南美新豆播种情况。</w:t>
      </w:r>
    </w:p>
    <w:p>
      <w:pPr>
        <w:widowControl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3、南美播种进度相对较慢</w:t>
      </w:r>
    </w:p>
    <w:p>
      <w:pPr>
        <w:widowControl/>
        <w:numPr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农业咨询机构AgRural报道，截止11月7日，巴西大豆种植进度为46%，环比增加17%，但比五年均值61%还差一大截。巴西大豆播种较为缓慢，后续密切关注播种情况，若播种进度未能如期进行，则南美大豆产量有调低的可能。</w:t>
      </w:r>
    </w:p>
    <w:p>
      <w:pPr>
        <w:widowControl/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MPOB报告分析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马来西亚棕榈油局(MPOB)公布报告称，马来西亚9月底棕榈油库存较上月同期上升1.8%，至2089859吨。库存数据高于市场预期的205万吨。马来西亚 9 月毛棕榈油产量环比减少6.6%至190万吨，也高于市场预期的181 万吨。马来西亚9月棕榈油出口量环比增加13%至160万吨。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报告中性偏空</w:t>
      </w: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二、国内豆油基本面情况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1、国内豆油基差分析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 豆油基差图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" o:spid="_x0000_s1027" type="#_x0000_t75" style="height:160.75pt;width:340.1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资料来源：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wind资讯，新世纪研究院。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豆油基差从6月份的-300多到目前的50左右，说明豆油的高商业库存未能进一步打压豆油的现货价格大幅走低，另外说明美豆丰产预期打压油脂期价走弱预期，目前豆油现货报价在6000附近运行，基差支撑豆油期价维持震荡走势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sz w:val="35"/>
          <w:szCs w:val="35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2、油脂油料进口情况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海关总署公布，中国10月份进口大豆410万吨，9月份进口大豆503万吨，1-10月份大豆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累计</w:t>
      </w:r>
      <w:r>
        <w:rPr>
          <w:rFonts w:hint="eastAsia" w:ascii="宋体" w:hAnsi="宋体" w:eastAsia="宋体" w:cs="宋体"/>
          <w:sz w:val="24"/>
          <w:szCs w:val="24"/>
        </w:rPr>
        <w:t>进口总量为5684万吨；去年同期累计为4994万吨，同比增加13.8%。中国10月份进口食用植物油38万吨，9月份进口食用植物油43万吨，1-10月份食用植物油进口总量为552万吨；去年同期累计为652万吨，同比减少15.4%。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3、国内油脂油料库存情况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图3 豆油商业库存图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3" o:spid="_x0000_s1028" type="#_x0000_t75" style="height:104.35pt;width:303.9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资料来源：wind资讯，新世纪研究院。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据天下粮仓网报道，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因11月上旬大豆到港量依然不多，因缺豆停机的油厂较多，部分油厂开机计划推迟，11月1日-11月7日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当周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，国内油厂开机率大幅下降，大豆压榨开机率为40.19%，较上周的46.91%减少6.72个百分点。全国各地油厂大豆压榨总量1198250吨（出粕952608吨，出油215685吨），较上周的1382150吨降13.30%。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预计随着</w:t>
      </w:r>
      <w:r>
        <w:rPr>
          <w:rFonts w:hint="eastAsia" w:ascii="宋体" w:hAnsi="宋体" w:eastAsia="宋体" w:cs="宋体"/>
          <w:kern w:val="0"/>
          <w:sz w:val="24"/>
          <w:szCs w:val="24"/>
        </w:rPr>
        <w:t>部分油厂大豆陆续到港，油厂陆续恢复开机，油厂开机率将有所提高，不过总体开机水平仍不高，按目前油厂的开机计划核算，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接下去一周（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11月8日-15日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全国各油厂大豆压榨总量将小幅提高至128万吨，较本周的119.825万吨略增6.82%。</w:t>
      </w:r>
    </w:p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图4 棕榈油港口库存 </w:t>
      </w:r>
    </w:p>
    <w:p>
      <w:pPr>
        <w:widowControl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 w:fldLock="1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Settings\\Administrator\\Application Data\\Tencent\\Users\\448401776\\QQ\\WinTemp\\RichOle\\%7R]TAX~9O5IRK]$([%UF8G.jpg" \* MERGEFORMATINET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026" o:spid="_x0000_s1029" type="#_x0000_t75" style="height:150.85pt;width:365.4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</w:p>
    <w:p>
      <w:pPr>
        <w:numPr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资料来源：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wind资讯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，新世纪研究院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受信贷风波影响，国内银行收紧对融资进口信用证的开取，油脂融资性进口减少，有利于国内油脂库存消化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，收益最大的为棕榈油的去库存进度，数据也证实这一点，截止到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11月10号，国内棕榈油港口库存为57.2万吨，为近三年来最低水平</w:t>
      </w:r>
      <w:r>
        <w:rPr>
          <w:rFonts w:hint="eastAsia" w:ascii="宋体" w:hAnsi="宋体" w:eastAsia="宋体" w:cs="宋体"/>
          <w:sz w:val="24"/>
          <w:szCs w:val="24"/>
        </w:rPr>
        <w:t>。我国豆油商业库存约为131.4万吨，基本与9月中旬水平持平。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4、油脂消费情况分析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第四季度为油脂消费旺季，对油脂价格有一定的支撑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油脂后期走势的决定权在消费，就消费而言，受国内政策影响，“三公”消费受限制，大型餐馆油脂消费减弱，对油脂形成重创。虽然后期有春节备货需求提振，但消费能否明显提升仍是未知数。若消费未见大起色，油脂反弹难以持续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从历史数据看，一般第三季度为棕榈油去库存阶段，这与棕榈油消费季节性规律一致。随后，进入冬季，国内棕榈油由于融点问题消费需求相对下降，在进口量不减的情况下棕榈油库存将在第四季度逐月增加。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目前豆油和棕榈油的价差为数年来低位，这是棕榈油去库存进度较快，豆油商业库存较大所致，后期豆油有替代棕榈油消费的可能。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豆油仓单情况</w:t>
      </w:r>
    </w:p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图5 豆油注册仓单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5" o:spid="_x0000_s1030" type="#_x0000_t75" style="height:164.95pt;width:29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jc w:val="righ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eastAsia="zh-CN"/>
        </w:rPr>
        <w:t>资料来源：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wind资讯，新世纪研究院。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11月10日，豆油交易所注册仓单为12853张，为较高水平，豆油的仓单每年3月份要注销，故而1月份的豆油受到仓单的压力较大。根据区间震荡思路，我们做多选择豆油1505合约，做空选择1501合约。</w:t>
      </w:r>
    </w:p>
    <w:p>
      <w:pPr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综上所致，目前豆油基本面多空交织，阶段性维持震荡走势，我们对豆油期价采取区间震荡的思路。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策略一：做多选择豆油1505合约；策略二：做空选择1501合约；策略三：若两者价差合适，可以进行买豆油1505卖豆油1501反套操作。单边策略不同时操作，套利和单边策略可以结合操作。具体操作策略如下：</w:t>
      </w:r>
    </w:p>
    <w:tbl>
      <w:tblPr>
        <w:tblStyle w:val="9"/>
        <w:tblW w:w="8519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28"/>
        <w:gridCol w:w="1572"/>
        <w:gridCol w:w="1573"/>
        <w:gridCol w:w="1573"/>
        <w:gridCol w:w="157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操作策略</w:t>
            </w:r>
          </w:p>
        </w:tc>
        <w:tc>
          <w:tcPr>
            <w:tcW w:w="157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开仓区间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开仓比例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目标区间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止损区间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做多y1505</w:t>
            </w:r>
          </w:p>
        </w:tc>
        <w:tc>
          <w:tcPr>
            <w:tcW w:w="157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[5800，6000]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[6000,6200]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[5700,5800]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做空y1501</w:t>
            </w:r>
          </w:p>
        </w:tc>
        <w:tc>
          <w:tcPr>
            <w:tcW w:w="157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[6100,6200]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[5700,6100]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6200之上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买y1505抛y1501</w:t>
            </w:r>
          </w:p>
        </w:tc>
        <w:tc>
          <w:tcPr>
            <w:tcW w:w="157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[0,40]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[40,150]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[-20，0]</w:t>
            </w:r>
          </w:p>
        </w:tc>
      </w:tr>
    </w:tbl>
    <w:p>
      <w:pPr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榛戜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5682498">
    <w:nsid w:val="546199C2"/>
    <w:multiLevelType w:val="singleLevel"/>
    <w:tmpl w:val="546199C2"/>
    <w:lvl w:ilvl="0" w:tentative="1">
      <w:start w:val="2"/>
      <w:numFmt w:val="decimal"/>
      <w:suff w:val="nothing"/>
      <w:lvlText w:val="%1、"/>
      <w:lvlJc w:val="left"/>
    </w:lvl>
  </w:abstractNum>
  <w:abstractNum w:abstractNumId="1415688304">
    <w:nsid w:val="5461B070"/>
    <w:multiLevelType w:val="singleLevel"/>
    <w:tmpl w:val="5461B070"/>
    <w:lvl w:ilvl="0" w:tentative="1">
      <w:start w:val="4"/>
      <w:numFmt w:val="decimal"/>
      <w:suff w:val="nothing"/>
      <w:lvlText w:val="%1、"/>
      <w:lvlJc w:val="left"/>
    </w:lvl>
  </w:abstractNum>
  <w:num w:numId="1">
    <w:abstractNumId w:val="1415682498"/>
  </w:num>
  <w:num w:numId="2">
    <w:abstractNumId w:val="14156883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628EF"/>
    <w:rsid w:val="003F4F97"/>
    <w:rsid w:val="004628EF"/>
    <w:rsid w:val="006F5C1E"/>
    <w:rsid w:val="00767974"/>
    <w:rsid w:val="007D31AA"/>
    <w:rsid w:val="007E3D44"/>
    <w:rsid w:val="008A0CB6"/>
    <w:rsid w:val="009D6A8B"/>
    <w:rsid w:val="049E6222"/>
    <w:rsid w:val="065B3BFA"/>
    <w:rsid w:val="2D726F1C"/>
    <w:rsid w:val="42F02361"/>
    <w:rsid w:val="4A7B1496"/>
    <w:rsid w:val="58450D5F"/>
    <w:rsid w:val="5DF47CB1"/>
    <w:rsid w:val="69FD72F2"/>
    <w:rsid w:val="6F8C379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847</Characters>
  <Lines>7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2014-11-10T11:40:00Z</dcterms:created>
  <dc:creator>asus</dc:creator>
  <cp:lastModifiedBy>Administrator</cp:lastModifiedBy>
  <dcterms:modified xsi:type="dcterms:W3CDTF">2014-11-11T07:21:56Z</dcterms:modified>
  <dc:title>豆油阶段性区间震荡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