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spacing w:line="360" w:lineRule="auto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豆油阶段性区间震荡</w:t>
      </w:r>
    </w:p>
    <w:p>
      <w:pPr>
        <w:spacing w:line="360" w:lineRule="auto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十大研发团队--新世纪期货2队  郑钦龙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USDA报告利空不断，但是现阶段</w:t>
      </w:r>
      <w:r>
        <w:rPr>
          <w:rFonts w:hint="eastAsia" w:ascii="宋体" w:hAnsi="宋体" w:eastAsia="宋体" w:cs="宋体"/>
          <w:sz w:val="24"/>
          <w:szCs w:val="24"/>
        </w:rPr>
        <w:t>国内大豆到港量较少，油厂开机率维持较低水平，棕榈油去库存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进度较快；豆棕价差处于最近几年的较低水平，豆油商业库存从高位开始回落，豆油基差维持反向市场。多空交织，使得豆油行情呈现阶段性震荡，豆油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震荡区间为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[5700，6200]，策略上采取区间震荡思路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Style w:val="14"/>
          <w:rFonts w:hint="eastAsia" w:ascii="宋体" w:hAnsi="宋体" w:eastAsia="宋体" w:cs="宋体"/>
          <w:lang w:val="en-US" w:eastAsia="zh-CN"/>
        </w:rPr>
        <w:t>一、豆油基本面分析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1、USDA报告分析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11月10日，USDA报告将美豆大豆单产从上月的47.1蒲式耳/英亩调高至47.5蒲式耳/英亩，市场平均预测为47.608蒲式耳/英亩；大豆期末库存维持4.5亿蒲式耳不变，市场平均预测为4.42亿蒲式耳；收割面积维持8340万英亩，维持不变；大豆产量为39.58亿蒲式耳，平均预测为39.67亿蒲式耳，10月份预估为39.27亿蒲式耳。11月美国大豆库存消费比为12.45%，7月预估为11.72%，8月预估为12.14%，9月预估为13.26%，10预估为12.56%，13/14榨季为2.65%。报告预估2014/15榨季,阿根廷大豆产量为5500万吨，巴西大豆产量为9400万吨，创历史之最。从上面数据看出，美豆丰产大背景下，油脂供应压力依然较大。</w:t>
      </w:r>
    </w:p>
    <w:p>
      <w:pPr>
        <w:widowControl/>
        <w:numPr>
          <w:ilvl w:val="0"/>
          <w:numId w:val="1"/>
        </w:num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美豆收获进度加快</w:t>
      </w:r>
    </w:p>
    <w:p>
      <w:pPr>
        <w:widowControl/>
        <w:numPr>
          <w:numId w:val="0"/>
        </w:numPr>
        <w:spacing w:line="360" w:lineRule="auto"/>
        <w:jc w:val="center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图1 美豆收获率</w:t>
      </w:r>
    </w:p>
    <w:p>
      <w:pPr>
        <w:widowControl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fldChar w:fldCharType="begin" w:fldLock="1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instrText xml:space="preserve">INCLUDEPICTURE \d "C:\\Documents and Settings\\Administrator\\Application Data\\Tencent\\Users\\448401776\\QQ\\WinTemp\\RichOle\\$I[QP{4]8B{O3_D07I`0%(L.jpg" \* MERGEFORMATINET </w:instrTex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pict>
          <v:shape id="图片 1025" o:spid="_x0000_s1026" type="#_x0000_t75" style="height:132.25pt;width:353.95pt;rotation:0f;" o:ole="f" fillcolor="#FFFFFF" filled="f" o:preferrelative="t" stroked="f" coordorigin="0,0" coordsize="21600,21600">
            <v:fill on="f" color2="#FFFFFF" focus="0%"/>
            <v:imagedata gain="65536f" blacklevel="0f" gamma="0" o:title="IMG_256" r:id="rId7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fldChar w:fldCharType="end"/>
      </w:r>
    </w:p>
    <w:p>
      <w:pPr>
        <w:widowControl/>
        <w:numPr>
          <w:numId w:val="0"/>
        </w:numPr>
        <w:spacing w:line="360" w:lineRule="auto"/>
        <w:jc w:val="right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资料来源：汇易网</w:t>
      </w:r>
    </w:p>
    <w:p>
      <w:pPr>
        <w:widowControl/>
        <w:numPr>
          <w:numId w:val="0"/>
        </w:numPr>
        <w:spacing w:line="360" w:lineRule="auto"/>
        <w:ind w:firstLine="420" w:firstLineChars="200"/>
        <w:jc w:val="both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USDA每周作为生长报告显示，截至11月9日，美豆收割率为90%，之前一周为83%，五年均值为90%。美豆收割接近五年均值，后市关注出口情况和南美新豆播种情况。</w:t>
      </w:r>
    </w:p>
    <w:p>
      <w:pPr>
        <w:widowControl/>
        <w:numPr>
          <w:numId w:val="0"/>
        </w:numPr>
        <w:spacing w:line="360" w:lineRule="auto"/>
        <w:jc w:val="both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3、南美播种进度相对较慢</w:t>
      </w:r>
    </w:p>
    <w:p>
      <w:pPr>
        <w:widowControl/>
        <w:numPr>
          <w:numId w:val="0"/>
        </w:numPr>
        <w:spacing w:line="360" w:lineRule="auto"/>
        <w:ind w:firstLine="420" w:firstLineChars="200"/>
        <w:jc w:val="both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根据农业咨询机构AgRural报道，截止11月7日，巴西大豆种植进度为46%，环比增加17%，但比五年均值61%还差一大截。巴西大豆播种较为缓慢，后续密切关注播种情况，若播种进度未能如期进行，则南美大豆产量有调低的可能。</w:t>
      </w:r>
    </w:p>
    <w:p>
      <w:pPr>
        <w:widowControl/>
        <w:numPr>
          <w:ilvl w:val="0"/>
          <w:numId w:val="2"/>
        </w:numPr>
        <w:spacing w:line="360" w:lineRule="auto"/>
        <w:jc w:val="both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MPOB报告分析</w:t>
      </w:r>
    </w:p>
    <w:p>
      <w:pPr>
        <w:spacing w:line="360" w:lineRule="auto"/>
        <w:ind w:firstLine="360" w:firstLineChars="15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马来西亚棕榈油局(MPOB)公布报告称，马来西亚9月底棕榈油库存较上月同期上升1.8%，至2089859吨。库存数据高于市场预期的205万吨。马来西亚 9 月毛棕榈油产量环比减少6.6%至190万吨，也高于市场预期的181 万吨。马来西亚9月棕榈油出口量环比增加13%至160万吨。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报告中性偏空</w:t>
      </w:r>
    </w:p>
    <w:p>
      <w:pPr>
        <w:pStyle w:val="3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二、国内豆油基本面情况</w:t>
      </w:r>
    </w:p>
    <w:p>
      <w:pPr>
        <w:widowControl/>
        <w:numPr>
          <w:numId w:val="0"/>
        </w:num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1、国内豆油基差分析</w:t>
      </w:r>
    </w:p>
    <w:p>
      <w:pPr>
        <w:spacing w:line="360" w:lineRule="auto"/>
        <w:ind w:firstLine="480" w:firstLineChars="200"/>
        <w:jc w:val="center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图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 豆油基差图</w:t>
      </w:r>
    </w:p>
    <w:p>
      <w:pPr>
        <w:widowControl/>
        <w:spacing w:line="360" w:lineRule="auto"/>
        <w:jc w:val="center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pict>
          <v:shape id="图片 1" o:spid="_x0000_s1027" type="#_x0000_t75" style="height:160.75pt;width:340.15pt;rotation:0f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/>
        <w:spacing w:line="360" w:lineRule="auto"/>
        <w:jc w:val="right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资料来源：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wind资讯，新世纪研究院。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豆油基差从6月份的-300多到目前的50左右，说明豆油的高商业库存未能进一步打压豆油的现货价格大幅走低，另外说明美豆丰产预期打压油脂期价走弱预期，目前豆油现货报价在6000附近运行，基差支撑豆油期价维持震荡走势。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b/>
          <w:bCs/>
          <w:color w:val="000000"/>
          <w:sz w:val="35"/>
          <w:szCs w:val="35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2、油脂油料进口情况</w:t>
      </w:r>
    </w:p>
    <w:p>
      <w:pPr>
        <w:spacing w:line="360" w:lineRule="auto"/>
        <w:ind w:firstLine="360" w:firstLineChars="15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海关总署公布，中国10月份进口大豆410万吨，9月份进口大豆503万吨，1-10月份大豆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累计</w:t>
      </w:r>
      <w:r>
        <w:rPr>
          <w:rFonts w:hint="eastAsia" w:ascii="宋体" w:hAnsi="宋体" w:eastAsia="宋体" w:cs="宋体"/>
          <w:sz w:val="24"/>
          <w:szCs w:val="24"/>
        </w:rPr>
        <w:t>进口总量为5684万吨；去年同期累计为4994万吨，同比增加13.8%。中国10月份进口食用植物油38万吨，9月份进口食用植物油43万吨，1-10月份食用植物油进口总量为552万吨；去年同期累计为652万吨，同比减少15.4%。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3、国内油脂油料库存情况</w:t>
      </w:r>
    </w:p>
    <w:p>
      <w:pPr>
        <w:widowControl/>
        <w:spacing w:line="360" w:lineRule="auto"/>
        <w:jc w:val="center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图3 豆油商业库存图</w:t>
      </w:r>
    </w:p>
    <w:p>
      <w:pPr>
        <w:widowControl/>
        <w:spacing w:line="360" w:lineRule="auto"/>
        <w:jc w:val="center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pict>
          <v:shape id="图片 3" o:spid="_x0000_s1028" type="#_x0000_t75" style="height:104.35pt;width:303.9pt;rotation:0f;" o:ole="f" fillcolor="#FFFFFF" filled="f" o:preferrelative="t" stroked="f" coordorigin="0,0" coordsize="21600,21600">
            <v:fill on="f" color2="#FFFFFF" focus="0%"/>
            <v:imagedata gain="65536f" blacklevel="0f" gamma="0" o:title="" r:id="rId9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/>
        <w:spacing w:line="360" w:lineRule="auto"/>
        <w:jc w:val="righ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资料来源：wind资讯，新世纪研究院。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据天下粮仓网报道，</w:t>
      </w:r>
      <w:r>
        <w:rPr>
          <w:rFonts w:hint="eastAsia" w:ascii="宋体" w:hAnsi="宋体" w:eastAsia="宋体" w:cs="宋体"/>
          <w:kern w:val="0"/>
          <w:sz w:val="24"/>
          <w:szCs w:val="24"/>
        </w:rPr>
        <w:t>因11月上旬大豆到港量依然不多，因缺豆停机的油厂较多，部分油厂开机计划推迟，11月1日-11月7日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当周</w:t>
      </w:r>
      <w:r>
        <w:rPr>
          <w:rFonts w:hint="eastAsia" w:ascii="宋体" w:hAnsi="宋体" w:eastAsia="宋体" w:cs="宋体"/>
          <w:kern w:val="0"/>
          <w:sz w:val="24"/>
          <w:szCs w:val="24"/>
        </w:rPr>
        <w:t>，国内油厂开机率大幅下降，大豆压榨开机率为40.19%，较上周的46.91%减少6.72个百分点。全国各地油厂大豆压榨总量1198250吨（出粕952608吨，出油215685吨），较上周的1382150吨降13.30%。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预计随着</w:t>
      </w:r>
      <w:r>
        <w:rPr>
          <w:rFonts w:hint="eastAsia" w:ascii="宋体" w:hAnsi="宋体" w:eastAsia="宋体" w:cs="宋体"/>
          <w:kern w:val="0"/>
          <w:sz w:val="24"/>
          <w:szCs w:val="24"/>
        </w:rPr>
        <w:t>部分油厂大豆陆续到港，油厂陆续恢复开机，油厂开机率将有所提高，不过总体开机水平仍不高，按目前油厂的开机计划核算，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接下去一周（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11月8日-15日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kern w:val="0"/>
          <w:sz w:val="24"/>
          <w:szCs w:val="24"/>
        </w:rPr>
        <w:t>全国各油厂大豆压榨总量将小幅提高至128万吨，较本周的119.825万吨略增6.82%。</w:t>
      </w:r>
    </w:p>
    <w:p>
      <w:pPr>
        <w:numPr>
          <w:numId w:val="0"/>
        </w:numPr>
        <w:spacing w:line="360" w:lineRule="auto"/>
        <w:jc w:val="center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图4 棕榈油港口库存 </w:t>
      </w:r>
    </w:p>
    <w:p>
      <w:pPr>
        <w:widowControl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fldChar w:fldCharType="begin" w:fldLock="1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instrText xml:space="preserve">INCLUDEPICTURE \d "C:\\Documents and Settings\\Administrator\\Application Data\\Tencent\\Users\\448401776\\QQ\\WinTemp\\RichOle\\%7R]TAX~9O5IRK]$([%UF8G.jpg" \* MERGEFORMATINET </w:instrTex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pict>
          <v:shape id="图片 1026" o:spid="_x0000_s1029" type="#_x0000_t75" style="height:150.85pt;width:365.4pt;rotation:0f;" o:ole="f" fillcolor="#FFFFFF" filled="f" o:preferrelative="t" stroked="f" coordorigin="0,0" coordsize="21600,21600">
            <v:fill on="f" color2="#FFFFFF" focus="0%"/>
            <v:imagedata gain="65536f" blacklevel="0f" gamma="0" o:title="IMG_256" r:id="rId10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fldChar w:fldCharType="end"/>
      </w:r>
    </w:p>
    <w:p>
      <w:pPr>
        <w:numPr>
          <w:numId w:val="0"/>
        </w:numPr>
        <w:spacing w:line="360" w:lineRule="auto"/>
        <w:jc w:val="righ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资料来源：</w:t>
      </w:r>
      <w:r>
        <w:rPr>
          <w:rFonts w:hint="eastAsia" w:ascii="宋体" w:hAnsi="宋体" w:cs="宋体"/>
          <w:sz w:val="21"/>
          <w:szCs w:val="21"/>
          <w:lang w:val="en-US" w:eastAsia="zh-CN"/>
        </w:rPr>
        <w:t>wind资讯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，新世纪研究院</w:t>
      </w:r>
      <w:r>
        <w:rPr>
          <w:rFonts w:hint="eastAsia" w:ascii="宋体" w:hAnsi="宋体" w:cs="宋体"/>
          <w:sz w:val="21"/>
          <w:szCs w:val="21"/>
          <w:lang w:val="en-US" w:eastAsia="zh-CN"/>
        </w:rPr>
        <w:t>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受信贷风波影响，国内银行收紧对融资进口信用证的开取，油脂融资性进口减少，有利于国内油脂库存消化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，收益最大的为棕榈油的去库存进度，数据也证实这一点，截止到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11月10号，国内棕榈油港口库存为57.2万吨，为近三年来最低水平</w:t>
      </w:r>
      <w:r>
        <w:rPr>
          <w:rFonts w:hint="eastAsia" w:ascii="宋体" w:hAnsi="宋体" w:eastAsia="宋体" w:cs="宋体"/>
          <w:sz w:val="24"/>
          <w:szCs w:val="24"/>
        </w:rPr>
        <w:t>。我国豆油商业库存约为131.4万吨，基本与9月中旬水平持平。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4、油脂消费情况分析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第四季度为油脂消费旺季，对油脂价格有一定的支撑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油脂后期走势的决定权在消费，就消费而言，受国内政策影响，“三公”消费受限制，大型餐馆油脂消费减弱，对油脂形成重创。虽然后期有春节备货需求提振，但消费能否明显提升仍是未知数。若消费未见大起色，油脂反弹难以持续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从历史数据看，一般第三季度为棕榈油去库存阶段，这与棕榈油消费季节性规律一致。随后，进入冬季，国内棕榈油由于融点问题消费需求相对下降，在进口量不减的情况下棕榈油库存将在第四季度逐月增加。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目前豆油和棕榈油的价差为数年来低位，这是棕榈油去库存进度较快，豆油商业库存较大所致，后期豆油有替代棕榈油消费的可能。</w:t>
      </w:r>
    </w:p>
    <w:p>
      <w:pPr>
        <w:numPr>
          <w:ilvl w:val="0"/>
          <w:numId w:val="2"/>
        </w:numPr>
        <w:spacing w:line="360" w:lineRule="auto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豆油仓单情况</w:t>
      </w:r>
    </w:p>
    <w:p>
      <w:pPr>
        <w:numPr>
          <w:numId w:val="0"/>
        </w:numPr>
        <w:spacing w:line="360" w:lineRule="auto"/>
        <w:jc w:val="center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图5 豆油注册仓单</w:t>
      </w:r>
    </w:p>
    <w:p>
      <w:pPr>
        <w:widowControl/>
        <w:jc w:val="center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pict>
          <v:shape id="图片 5" o:spid="_x0000_s1030" type="#_x0000_t75" style="height:164.95pt;width:293pt;rotation:0f;" o:ole="f" fillcolor="#FFFFFF" filled="f" o:preferrelative="t" stroked="f" coordorigin="0,0" coordsize="21600,21600">
            <v:fill on="f" color2="#FFFFFF" focus="0%"/>
            <v:imagedata gain="65536f" blacklevel="0f" gamma="0" o:title="" r:id="rId11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/>
        <w:jc w:val="right"/>
        <w:rPr>
          <w:rFonts w:hint="eastAsia" w:ascii="宋体" w:hAnsi="宋体" w:eastAsia="宋体" w:cs="宋体"/>
          <w:kern w:val="0"/>
          <w:sz w:val="21"/>
          <w:szCs w:val="21"/>
          <w:lang w:eastAsia="zh-CN"/>
        </w:rPr>
      </w:pPr>
      <w:r>
        <w:rPr>
          <w:rFonts w:hint="eastAsia" w:ascii="宋体" w:hAnsi="宋体" w:cs="宋体"/>
          <w:kern w:val="0"/>
          <w:sz w:val="21"/>
          <w:szCs w:val="21"/>
          <w:lang w:eastAsia="zh-CN"/>
        </w:rPr>
        <w:t>资料来源：</w:t>
      </w: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wind资讯，新世纪研究院。</w:t>
      </w:r>
    </w:p>
    <w:p>
      <w:pPr>
        <w:spacing w:line="360" w:lineRule="auto"/>
        <w:ind w:firstLine="360" w:firstLineChars="150"/>
        <w:jc w:val="left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截止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11月10日，豆油交易所注册仓单为12853张，为较高水平，豆油的仓单每年3月份要注销，故而1月份的豆油受到仓单的压力较大。根据区间震荡思路，我们做多选择豆油1505合约，做空选择1501合约。</w:t>
      </w:r>
    </w:p>
    <w:p>
      <w:pPr>
        <w:spacing w:line="360" w:lineRule="auto"/>
        <w:ind w:firstLine="360" w:firstLineChars="150"/>
        <w:jc w:val="left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综上所致，目前豆油基本面多空交织，阶段性维持震荡走势，我们对豆油期价采取区间震荡的思路。</w:t>
      </w:r>
      <w:bookmarkStart w:id="0" w:name="_GoBack"/>
      <w:bookmarkEnd w:id="0"/>
      <w:r>
        <w:rPr>
          <w:rFonts w:hint="eastAsia" w:ascii="宋体" w:hAnsi="宋体" w:cs="宋体"/>
          <w:sz w:val="24"/>
          <w:szCs w:val="24"/>
          <w:lang w:val="en-US" w:eastAsia="zh-CN"/>
        </w:rPr>
        <w:t>策略一：做多选择豆油1505合约；策略二：做空选择1501合约；策略三：若两者价差合适，可以进行买豆油1505卖豆油1501反套操作。单边策略不同时操作，套利和单边策略可以结合操作。具体操作策略如下：</w:t>
      </w:r>
    </w:p>
    <w:tbl>
      <w:tblPr>
        <w:tblStyle w:val="9"/>
        <w:tblW w:w="8519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228"/>
        <w:gridCol w:w="1572"/>
        <w:gridCol w:w="1573"/>
        <w:gridCol w:w="1573"/>
        <w:gridCol w:w="1573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228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操作策略</w:t>
            </w:r>
          </w:p>
        </w:tc>
        <w:tc>
          <w:tcPr>
            <w:tcW w:w="1572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开仓区间</w:t>
            </w:r>
          </w:p>
        </w:tc>
        <w:tc>
          <w:tcPr>
            <w:tcW w:w="1573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开仓比例</w:t>
            </w:r>
          </w:p>
        </w:tc>
        <w:tc>
          <w:tcPr>
            <w:tcW w:w="1573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目标区间</w:t>
            </w:r>
          </w:p>
        </w:tc>
        <w:tc>
          <w:tcPr>
            <w:tcW w:w="1573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止损区间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28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做多y1505</w:t>
            </w:r>
          </w:p>
        </w:tc>
        <w:tc>
          <w:tcPr>
            <w:tcW w:w="1572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[5800，6000]</w:t>
            </w:r>
          </w:p>
        </w:tc>
        <w:tc>
          <w:tcPr>
            <w:tcW w:w="1573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30%</w:t>
            </w:r>
          </w:p>
        </w:tc>
        <w:tc>
          <w:tcPr>
            <w:tcW w:w="1573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[6000,6200]</w:t>
            </w:r>
          </w:p>
        </w:tc>
        <w:tc>
          <w:tcPr>
            <w:tcW w:w="1573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[5700,5800]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228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做空y1501</w:t>
            </w:r>
          </w:p>
        </w:tc>
        <w:tc>
          <w:tcPr>
            <w:tcW w:w="1572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[6100,6200]</w:t>
            </w:r>
          </w:p>
        </w:tc>
        <w:tc>
          <w:tcPr>
            <w:tcW w:w="1573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30%</w:t>
            </w:r>
          </w:p>
        </w:tc>
        <w:tc>
          <w:tcPr>
            <w:tcW w:w="1573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[5700,6100]</w:t>
            </w:r>
          </w:p>
        </w:tc>
        <w:tc>
          <w:tcPr>
            <w:tcW w:w="1573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6200之上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28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买y1505抛y1501</w:t>
            </w:r>
          </w:p>
        </w:tc>
        <w:tc>
          <w:tcPr>
            <w:tcW w:w="1572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[0,40]</w:t>
            </w:r>
          </w:p>
        </w:tc>
        <w:tc>
          <w:tcPr>
            <w:tcW w:w="1573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20%</w:t>
            </w:r>
          </w:p>
        </w:tc>
        <w:tc>
          <w:tcPr>
            <w:tcW w:w="1573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[40,150]</w:t>
            </w:r>
          </w:p>
        </w:tc>
        <w:tc>
          <w:tcPr>
            <w:tcW w:w="1573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[-20，0]</w:t>
            </w:r>
          </w:p>
        </w:tc>
      </w:tr>
    </w:tbl>
    <w:p>
      <w:pPr>
        <w:spacing w:line="360" w:lineRule="auto"/>
        <w:ind w:firstLine="360" w:firstLineChars="150"/>
        <w:jc w:val="left"/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spacing w:line="360" w:lineRule="auto"/>
        <w:ind w:firstLine="360" w:firstLineChars="150"/>
        <w:jc w:val="left"/>
        <w:rPr>
          <w:rFonts w:hint="eastAsia" w:ascii="宋体" w:hAnsi="宋体" w:cs="宋体"/>
          <w:sz w:val="24"/>
          <w:szCs w:val="24"/>
          <w:lang w:val="en-US" w:eastAsia="zh-CN"/>
        </w:rPr>
      </w:pP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榛戜綋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15682498">
    <w:nsid w:val="546199C2"/>
    <w:multiLevelType w:val="singleLevel"/>
    <w:tmpl w:val="546199C2"/>
    <w:lvl w:ilvl="0" w:tentative="1">
      <w:start w:val="2"/>
      <w:numFmt w:val="decimal"/>
      <w:suff w:val="nothing"/>
      <w:lvlText w:val="%1、"/>
      <w:lvlJc w:val="left"/>
    </w:lvl>
  </w:abstractNum>
  <w:abstractNum w:abstractNumId="1415688304">
    <w:nsid w:val="5461B070"/>
    <w:multiLevelType w:val="singleLevel"/>
    <w:tmpl w:val="5461B070"/>
    <w:lvl w:ilvl="0" w:tentative="1">
      <w:start w:val="4"/>
      <w:numFmt w:val="decimal"/>
      <w:suff w:val="nothing"/>
      <w:lvlText w:val="%1、"/>
      <w:lvlJc w:val="left"/>
    </w:lvl>
  </w:abstractNum>
  <w:num w:numId="1">
    <w:abstractNumId w:val="1415682498"/>
  </w:num>
  <w:num w:numId="2">
    <w:abstractNumId w:val="141568830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628EF"/>
    <w:rsid w:val="003F4F97"/>
    <w:rsid w:val="004628EF"/>
    <w:rsid w:val="006F5C1E"/>
    <w:rsid w:val="00767974"/>
    <w:rsid w:val="007D31AA"/>
    <w:rsid w:val="007E3D44"/>
    <w:rsid w:val="008A0CB6"/>
    <w:rsid w:val="009D6A8B"/>
    <w:rsid w:val="049E6222"/>
    <w:rsid w:val="065B3BFA"/>
    <w:rsid w:val="2D726F1C"/>
    <w:rsid w:val="42F02361"/>
    <w:rsid w:val="4A7B1496"/>
    <w:rsid w:val="58450D5F"/>
    <w:rsid w:val="5DF47CB1"/>
    <w:rsid w:val="69FD72F2"/>
    <w:rsid w:val="6F8C3791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4">
    <w:name w:val="Balloon Text"/>
    <w:basedOn w:val="1"/>
    <w:link w:val="13"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10">
    <w:name w:val="页眉 Char"/>
    <w:basedOn w:val="7"/>
    <w:link w:val="6"/>
    <w:semiHidden/>
    <w:uiPriority w:val="99"/>
    <w:rPr>
      <w:sz w:val="18"/>
      <w:szCs w:val="18"/>
    </w:rPr>
  </w:style>
  <w:style w:type="character" w:customStyle="1" w:styleId="11">
    <w:name w:val="页脚 Char"/>
    <w:basedOn w:val="7"/>
    <w:link w:val="5"/>
    <w:semiHidden/>
    <w:uiPriority w:val="99"/>
    <w:rPr>
      <w:sz w:val="18"/>
      <w:szCs w:val="18"/>
    </w:rPr>
  </w:style>
  <w:style w:type="character" w:customStyle="1" w:styleId="12">
    <w:name w:val="标题 1 Char"/>
    <w:basedOn w:val="7"/>
    <w:link w:val="2"/>
    <w:uiPriority w:val="9"/>
    <w:rPr>
      <w:b/>
      <w:bCs/>
      <w:kern w:val="44"/>
      <w:sz w:val="44"/>
      <w:szCs w:val="44"/>
    </w:rPr>
  </w:style>
  <w:style w:type="character" w:customStyle="1" w:styleId="13">
    <w:name w:val="批注框文本 Char"/>
    <w:basedOn w:val="7"/>
    <w:link w:val="4"/>
    <w:semiHidden/>
    <w:uiPriority w:val="99"/>
    <w:rPr>
      <w:sz w:val="18"/>
      <w:szCs w:val="18"/>
    </w:rPr>
  </w:style>
  <w:style w:type="character" w:customStyle="1" w:styleId="14">
    <w:name w:val="标题 2 Char"/>
    <w:link w:val="3"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5.jpeg"/><Relationship Id="rId10" Type="http://schemas.openxmlformats.org/officeDocument/2006/relationships/image" Target="media/image4.jpeg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148</Words>
  <Characters>847</Characters>
  <Lines>7</Lines>
  <Paragraphs>1</Paragraphs>
  <TotalTime>0</TotalTime>
  <ScaleCrop>false</ScaleCrop>
  <LinksUpToDate>false</LinksUpToDate>
  <CharactersWithSpaces>0</CharactersWithSpaces>
  <Application>WPS Office 个人版_9.1.0.4867_{F1E327BC-269C-435d-A152-05C5408002CA}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2014-11-10T11:40:00Z</dcterms:created>
  <dc:creator>asus</dc:creator>
  <cp:lastModifiedBy>Administrator</cp:lastModifiedBy>
  <dcterms:modified xsi:type="dcterms:W3CDTF">2014-11-11T07:21:56Z</dcterms:modified>
  <dc:title>豆油阶段性区间震荡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