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4639" w:rsidRDefault="00814639" w:rsidP="009A2E63">
      <w:pPr>
        <w:spacing w:before="100" w:beforeAutospacing="1" w:after="100" w:afterAutospacing="1"/>
        <w:jc w:val="center"/>
        <w:rPr>
          <w:rFonts w:ascii="新宋体" w:eastAsia="新宋体" w:hAnsi="新宋体"/>
          <w:b/>
          <w:color w:val="000000" w:themeColor="text1"/>
          <w:sz w:val="32"/>
          <w:szCs w:val="32"/>
        </w:rPr>
      </w:pPr>
      <w:r>
        <w:rPr>
          <w:rFonts w:ascii="新宋体" w:eastAsia="新宋体" w:hAnsi="新宋体" w:hint="eastAsia"/>
          <w:b/>
          <w:color w:val="000000" w:themeColor="text1"/>
          <w:sz w:val="32"/>
          <w:szCs w:val="32"/>
        </w:rPr>
        <w:t>方正中期工业品操作策略</w:t>
      </w:r>
    </w:p>
    <w:p w:rsidR="00814639" w:rsidRDefault="00814639" w:rsidP="009A2E63">
      <w:pPr>
        <w:spacing w:before="100" w:beforeAutospacing="1" w:after="100" w:afterAutospacing="1"/>
        <w:jc w:val="center"/>
        <w:rPr>
          <w:rFonts w:ascii="新宋体" w:eastAsia="新宋体" w:hAnsi="新宋体"/>
          <w:b/>
          <w:color w:val="000000" w:themeColor="text1"/>
          <w:sz w:val="32"/>
          <w:szCs w:val="32"/>
        </w:rPr>
      </w:pPr>
      <w:r>
        <w:rPr>
          <w:rFonts w:ascii="新宋体" w:eastAsia="新宋体" w:hAnsi="新宋体" w:hint="eastAsia"/>
          <w:b/>
          <w:color w:val="000000" w:themeColor="text1"/>
          <w:sz w:val="21"/>
          <w:szCs w:val="21"/>
        </w:rPr>
        <w:t>方正中期2队</w:t>
      </w:r>
    </w:p>
    <w:p w:rsidR="009A2E63" w:rsidRPr="00DB3E7F" w:rsidRDefault="00814639" w:rsidP="009A2E63">
      <w:pPr>
        <w:spacing w:before="100" w:beforeAutospacing="1" w:after="100" w:afterAutospacing="1"/>
        <w:jc w:val="center"/>
        <w:rPr>
          <w:rFonts w:ascii="新宋体" w:eastAsia="新宋体" w:hAnsi="新宋体"/>
          <w:b/>
          <w:color w:val="000000" w:themeColor="text1"/>
          <w:sz w:val="32"/>
          <w:szCs w:val="32"/>
        </w:rPr>
      </w:pPr>
      <w:r>
        <w:rPr>
          <w:rFonts w:ascii="新宋体" w:eastAsia="新宋体" w:hAnsi="新宋体" w:hint="eastAsia"/>
          <w:b/>
          <w:color w:val="000000" w:themeColor="text1"/>
          <w:sz w:val="32"/>
          <w:szCs w:val="32"/>
        </w:rPr>
        <w:t>一、</w:t>
      </w:r>
      <w:r w:rsidR="009A2E63" w:rsidRPr="00DB3E7F">
        <w:rPr>
          <w:rFonts w:ascii="新宋体" w:eastAsia="新宋体" w:hAnsi="新宋体" w:hint="eastAsia"/>
          <w:b/>
          <w:color w:val="000000" w:themeColor="text1"/>
          <w:sz w:val="32"/>
          <w:szCs w:val="32"/>
        </w:rPr>
        <w:t>塑料和PP交易策略</w:t>
      </w:r>
    </w:p>
    <w:p w:rsidR="00551DA3" w:rsidRPr="00DB3E7F" w:rsidRDefault="00551DA3" w:rsidP="00551DA3">
      <w:pPr>
        <w:spacing w:before="100" w:beforeAutospacing="1" w:after="100" w:afterAutospacing="1"/>
        <w:jc w:val="right"/>
        <w:rPr>
          <w:rFonts w:ascii="新宋体" w:eastAsia="新宋体" w:hAnsi="新宋体"/>
          <w:b/>
          <w:color w:val="000000" w:themeColor="text1"/>
          <w:sz w:val="21"/>
          <w:szCs w:val="21"/>
        </w:rPr>
      </w:pPr>
      <w:r w:rsidRPr="00DB3E7F">
        <w:rPr>
          <w:rFonts w:ascii="新宋体" w:eastAsia="新宋体" w:hAnsi="新宋体" w:hint="eastAsia"/>
          <w:color w:val="000000" w:themeColor="text1"/>
          <w:sz w:val="32"/>
          <w:szCs w:val="32"/>
        </w:rPr>
        <w:t xml:space="preserve">    </w:t>
      </w:r>
    </w:p>
    <w:p w:rsidR="009A2E63" w:rsidRPr="00DB3E7F" w:rsidRDefault="00B5448C" w:rsidP="00B5448C">
      <w:pPr>
        <w:spacing w:before="100" w:beforeAutospacing="1" w:after="100" w:afterAutospacing="1"/>
        <w:rPr>
          <w:rFonts w:ascii="新宋体" w:eastAsia="新宋体" w:hAnsi="新宋体"/>
          <w:b/>
          <w:color w:val="000000" w:themeColor="text1"/>
          <w:sz w:val="21"/>
          <w:szCs w:val="21"/>
        </w:rPr>
      </w:pPr>
      <w:r>
        <w:rPr>
          <w:rFonts w:ascii="新宋体" w:eastAsia="新宋体" w:hAnsi="新宋体" w:cs="宋体" w:hint="eastAsia"/>
          <w:b/>
          <w:color w:val="000000"/>
          <w:kern w:val="2"/>
          <w:sz w:val="21"/>
          <w:szCs w:val="21"/>
        </w:rPr>
        <w:t>中长期保持偏空思路操作</w:t>
      </w:r>
    </w:p>
    <w:p w:rsidR="00B5448C" w:rsidRPr="005B4D80" w:rsidRDefault="00B5448C" w:rsidP="00B5448C">
      <w:pPr>
        <w:spacing w:line="360" w:lineRule="auto"/>
        <w:rPr>
          <w:rFonts w:ascii="新宋体" w:eastAsia="新宋体" w:hAnsi="新宋体" w:cs="宋体"/>
          <w:b/>
          <w:color w:val="000000"/>
          <w:kern w:val="2"/>
          <w:sz w:val="21"/>
          <w:szCs w:val="21"/>
        </w:rPr>
      </w:pPr>
      <w:r w:rsidRPr="005B4D80">
        <w:rPr>
          <w:rFonts w:ascii="新宋体" w:eastAsia="新宋体" w:hAnsi="新宋体" w:cs="宋体" w:hint="eastAsia"/>
          <w:b/>
          <w:color w:val="000000"/>
          <w:kern w:val="2"/>
          <w:sz w:val="21"/>
          <w:szCs w:val="21"/>
        </w:rPr>
        <w:t>1、库存处高位，大幅下降或不易</w:t>
      </w:r>
    </w:p>
    <w:p w:rsidR="00B5448C" w:rsidRDefault="00B5448C" w:rsidP="00B5448C">
      <w:pPr>
        <w:spacing w:line="360" w:lineRule="auto"/>
        <w:ind w:firstLineChars="200" w:firstLine="420"/>
        <w:rPr>
          <w:rFonts w:ascii="新宋体" w:eastAsia="新宋体" w:hAnsi="新宋体" w:cs="宋体"/>
          <w:color w:val="000000"/>
          <w:kern w:val="2"/>
          <w:sz w:val="21"/>
          <w:szCs w:val="21"/>
        </w:rPr>
      </w:pPr>
      <w:r w:rsidRPr="00CA2157">
        <w:rPr>
          <w:rFonts w:ascii="新宋体" w:eastAsia="新宋体" w:hAnsi="新宋体" w:cs="宋体" w:hint="eastAsia"/>
          <w:color w:val="000000"/>
          <w:kern w:val="2"/>
          <w:sz w:val="21"/>
          <w:szCs w:val="21"/>
        </w:rPr>
        <w:t>在煤化工发展迅速，冲击市场加大的背景下，石化去库存的动力增强，9月以来，石化厂家接连下调出厂价，以期刺激下游备货，但石化去库存效果并不明显。截至10月24日当周，石化库存（含ABS）为100万吨，仍为年内较高水平，石化库存的压力仍大。而由于终端消费疲软，社会库存也有继续增加的迹象。由于后期PP</w:t>
      </w:r>
      <w:r>
        <w:rPr>
          <w:rFonts w:ascii="新宋体" w:eastAsia="新宋体" w:hAnsi="新宋体" w:cs="宋体" w:hint="eastAsia"/>
          <w:color w:val="000000"/>
          <w:kern w:val="2"/>
          <w:sz w:val="21"/>
          <w:szCs w:val="21"/>
        </w:rPr>
        <w:t>新增产能较多，而今年需求较为平稳</w:t>
      </w:r>
      <w:r w:rsidRPr="00CA2157">
        <w:rPr>
          <w:rFonts w:ascii="新宋体" w:eastAsia="新宋体" w:hAnsi="新宋体" w:cs="宋体" w:hint="eastAsia"/>
          <w:color w:val="000000"/>
          <w:kern w:val="2"/>
          <w:sz w:val="21"/>
          <w:szCs w:val="21"/>
        </w:rPr>
        <w:t>，因此PP后期库存压力仍较大。</w:t>
      </w:r>
    </w:p>
    <w:p w:rsidR="00B5448C" w:rsidRPr="005B4D80" w:rsidRDefault="00B5448C" w:rsidP="00B5448C">
      <w:pPr>
        <w:spacing w:line="360" w:lineRule="auto"/>
        <w:rPr>
          <w:rFonts w:ascii="新宋体" w:eastAsia="新宋体" w:hAnsi="新宋体" w:cs="宋体"/>
          <w:b/>
          <w:color w:val="000000"/>
          <w:kern w:val="2"/>
          <w:sz w:val="21"/>
          <w:szCs w:val="21"/>
        </w:rPr>
      </w:pPr>
      <w:r w:rsidRPr="005B4D80">
        <w:rPr>
          <w:rFonts w:ascii="新宋体" w:eastAsia="新宋体" w:hAnsi="新宋体" w:cs="宋体" w:hint="eastAsia"/>
          <w:b/>
          <w:color w:val="000000"/>
          <w:kern w:val="2"/>
          <w:sz w:val="21"/>
          <w:szCs w:val="21"/>
        </w:rPr>
        <w:t>2、11月中旬检修装置陆续开工</w:t>
      </w:r>
      <w:r>
        <w:rPr>
          <w:rFonts w:ascii="新宋体" w:eastAsia="新宋体" w:hAnsi="新宋体" w:cs="宋体" w:hint="eastAsia"/>
          <w:b/>
          <w:color w:val="000000"/>
          <w:kern w:val="2"/>
          <w:sz w:val="21"/>
          <w:szCs w:val="21"/>
        </w:rPr>
        <w:t xml:space="preserve">  新增产能陆续投放</w:t>
      </w:r>
    </w:p>
    <w:p w:rsidR="00B5448C" w:rsidRPr="00E1487F" w:rsidRDefault="00B5448C" w:rsidP="00B5448C">
      <w:pPr>
        <w:spacing w:after="0" w:line="240" w:lineRule="auto"/>
        <w:jc w:val="center"/>
        <w:rPr>
          <w:rFonts w:ascii="新宋体" w:eastAsia="新宋体" w:hAnsi="新宋体" w:cs="宋体"/>
          <w:color w:val="000000"/>
          <w:kern w:val="2"/>
          <w:sz w:val="21"/>
          <w:szCs w:val="21"/>
        </w:rPr>
      </w:pPr>
      <w:r w:rsidRPr="00E1487F">
        <w:rPr>
          <w:rFonts w:ascii="新宋体" w:eastAsia="新宋体" w:hAnsi="新宋体" w:cs="宋体" w:hint="eastAsia"/>
          <w:color w:val="000000"/>
          <w:kern w:val="2"/>
          <w:sz w:val="21"/>
          <w:szCs w:val="21"/>
        </w:rPr>
        <w:t>表1：PP装置检修计划</w:t>
      </w:r>
    </w:p>
    <w:tbl>
      <w:tblPr>
        <w:tblW w:w="7924" w:type="dxa"/>
        <w:jc w:val="center"/>
        <w:tblInd w:w="93" w:type="dxa"/>
        <w:tblBorders>
          <w:top w:val="single" w:sz="4" w:space="0" w:color="948A54"/>
          <w:left w:val="single" w:sz="4" w:space="0" w:color="948A54"/>
          <w:bottom w:val="single" w:sz="4" w:space="0" w:color="948A54"/>
          <w:right w:val="single" w:sz="4" w:space="0" w:color="948A54"/>
          <w:insideH w:val="single" w:sz="4" w:space="0" w:color="948A54"/>
          <w:insideV w:val="single" w:sz="4" w:space="0" w:color="948A54"/>
        </w:tblBorders>
        <w:tblLook w:val="04A0" w:firstRow="1" w:lastRow="0" w:firstColumn="1" w:lastColumn="0" w:noHBand="0" w:noVBand="1"/>
      </w:tblPr>
      <w:tblGrid>
        <w:gridCol w:w="1392"/>
        <w:gridCol w:w="1418"/>
        <w:gridCol w:w="1275"/>
        <w:gridCol w:w="1759"/>
        <w:gridCol w:w="2080"/>
      </w:tblGrid>
      <w:tr w:rsidR="00B5448C" w:rsidRPr="007E1B94" w:rsidTr="00D9454E">
        <w:trPr>
          <w:trHeight w:val="270"/>
          <w:jc w:val="center"/>
        </w:trPr>
        <w:tc>
          <w:tcPr>
            <w:tcW w:w="1392" w:type="dxa"/>
            <w:shd w:val="clear" w:color="auto" w:fill="auto"/>
            <w:vAlign w:val="center"/>
            <w:hideMark/>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石化名称</w:t>
            </w:r>
          </w:p>
        </w:tc>
        <w:tc>
          <w:tcPr>
            <w:tcW w:w="1418" w:type="dxa"/>
            <w:shd w:val="clear" w:color="auto" w:fill="auto"/>
            <w:vAlign w:val="center"/>
            <w:hideMark/>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停车产能</w:t>
            </w:r>
          </w:p>
        </w:tc>
        <w:tc>
          <w:tcPr>
            <w:tcW w:w="1275" w:type="dxa"/>
            <w:shd w:val="clear" w:color="auto" w:fill="auto"/>
            <w:vAlign w:val="center"/>
            <w:hideMark/>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停车原因</w:t>
            </w:r>
          </w:p>
        </w:tc>
        <w:tc>
          <w:tcPr>
            <w:tcW w:w="1759" w:type="dxa"/>
            <w:shd w:val="clear" w:color="auto" w:fill="auto"/>
            <w:vAlign w:val="center"/>
            <w:hideMark/>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停车时间</w:t>
            </w:r>
          </w:p>
        </w:tc>
        <w:tc>
          <w:tcPr>
            <w:tcW w:w="2080" w:type="dxa"/>
            <w:shd w:val="clear" w:color="auto" w:fill="auto"/>
            <w:vAlign w:val="center"/>
            <w:hideMark/>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开车时间</w:t>
            </w:r>
          </w:p>
        </w:tc>
      </w:tr>
      <w:tr w:rsidR="00B5448C" w:rsidRPr="007E1B94" w:rsidTr="00D9454E">
        <w:trPr>
          <w:trHeight w:val="540"/>
          <w:jc w:val="center"/>
        </w:trPr>
        <w:tc>
          <w:tcPr>
            <w:tcW w:w="1392" w:type="dxa"/>
            <w:shd w:val="clear" w:color="auto" w:fill="auto"/>
            <w:vAlign w:val="center"/>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大唐多伦</w:t>
            </w:r>
          </w:p>
        </w:tc>
        <w:tc>
          <w:tcPr>
            <w:tcW w:w="1418" w:type="dxa"/>
            <w:shd w:val="clear" w:color="auto" w:fill="auto"/>
            <w:vAlign w:val="center"/>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二线25万吨</w:t>
            </w:r>
          </w:p>
        </w:tc>
        <w:tc>
          <w:tcPr>
            <w:tcW w:w="1275" w:type="dxa"/>
            <w:shd w:val="clear" w:color="auto" w:fill="auto"/>
            <w:vAlign w:val="center"/>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停车检修</w:t>
            </w:r>
          </w:p>
        </w:tc>
        <w:tc>
          <w:tcPr>
            <w:tcW w:w="1759" w:type="dxa"/>
            <w:shd w:val="clear" w:color="auto" w:fill="auto"/>
            <w:vAlign w:val="center"/>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14年6月9日</w:t>
            </w:r>
          </w:p>
        </w:tc>
        <w:tc>
          <w:tcPr>
            <w:tcW w:w="2080" w:type="dxa"/>
            <w:shd w:val="clear" w:color="auto" w:fill="auto"/>
            <w:vAlign w:val="center"/>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待定</w:t>
            </w:r>
          </w:p>
        </w:tc>
      </w:tr>
      <w:tr w:rsidR="00B5448C" w:rsidRPr="007E1B94" w:rsidTr="00D9454E">
        <w:trPr>
          <w:trHeight w:val="540"/>
          <w:jc w:val="center"/>
        </w:trPr>
        <w:tc>
          <w:tcPr>
            <w:tcW w:w="1392" w:type="dxa"/>
            <w:shd w:val="clear" w:color="auto" w:fill="auto"/>
            <w:vAlign w:val="center"/>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大唐多伦</w:t>
            </w:r>
          </w:p>
        </w:tc>
        <w:tc>
          <w:tcPr>
            <w:tcW w:w="1418" w:type="dxa"/>
            <w:shd w:val="clear" w:color="auto" w:fill="auto"/>
            <w:vAlign w:val="center"/>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一线25万吨</w:t>
            </w:r>
          </w:p>
        </w:tc>
        <w:tc>
          <w:tcPr>
            <w:tcW w:w="1275" w:type="dxa"/>
            <w:shd w:val="clear" w:color="auto" w:fill="auto"/>
            <w:vAlign w:val="center"/>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计划检修</w:t>
            </w:r>
          </w:p>
        </w:tc>
        <w:tc>
          <w:tcPr>
            <w:tcW w:w="1759" w:type="dxa"/>
            <w:shd w:val="clear" w:color="auto" w:fill="auto"/>
            <w:vAlign w:val="center"/>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14年8月底</w:t>
            </w:r>
          </w:p>
        </w:tc>
        <w:tc>
          <w:tcPr>
            <w:tcW w:w="2080" w:type="dxa"/>
            <w:shd w:val="clear" w:color="auto" w:fill="auto"/>
            <w:vAlign w:val="center"/>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待定</w:t>
            </w:r>
          </w:p>
        </w:tc>
      </w:tr>
      <w:tr w:rsidR="00B5448C" w:rsidRPr="007E1B94" w:rsidTr="00D9454E">
        <w:trPr>
          <w:trHeight w:val="540"/>
          <w:jc w:val="center"/>
        </w:trPr>
        <w:tc>
          <w:tcPr>
            <w:tcW w:w="1392" w:type="dxa"/>
            <w:shd w:val="clear" w:color="auto" w:fill="auto"/>
            <w:vAlign w:val="center"/>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海天石化</w:t>
            </w:r>
          </w:p>
        </w:tc>
        <w:tc>
          <w:tcPr>
            <w:tcW w:w="1418" w:type="dxa"/>
            <w:shd w:val="clear" w:color="auto" w:fill="auto"/>
            <w:vAlign w:val="center"/>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20万吨</w:t>
            </w:r>
          </w:p>
        </w:tc>
        <w:tc>
          <w:tcPr>
            <w:tcW w:w="1275" w:type="dxa"/>
            <w:shd w:val="clear" w:color="auto" w:fill="auto"/>
            <w:vAlign w:val="center"/>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停车待料</w:t>
            </w:r>
          </w:p>
        </w:tc>
        <w:tc>
          <w:tcPr>
            <w:tcW w:w="1759" w:type="dxa"/>
            <w:shd w:val="clear" w:color="auto" w:fill="auto"/>
            <w:vAlign w:val="center"/>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14年10月13日</w:t>
            </w:r>
          </w:p>
        </w:tc>
        <w:tc>
          <w:tcPr>
            <w:tcW w:w="2080" w:type="dxa"/>
            <w:shd w:val="clear" w:color="auto" w:fill="auto"/>
            <w:vAlign w:val="center"/>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待定</w:t>
            </w:r>
          </w:p>
        </w:tc>
      </w:tr>
      <w:tr w:rsidR="00B5448C" w:rsidRPr="007E1B94" w:rsidTr="00D9454E">
        <w:trPr>
          <w:trHeight w:val="540"/>
          <w:jc w:val="center"/>
        </w:trPr>
        <w:tc>
          <w:tcPr>
            <w:tcW w:w="1392" w:type="dxa"/>
            <w:shd w:val="clear" w:color="auto" w:fill="auto"/>
            <w:vAlign w:val="center"/>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九江石化</w:t>
            </w:r>
          </w:p>
        </w:tc>
        <w:tc>
          <w:tcPr>
            <w:tcW w:w="1418" w:type="dxa"/>
            <w:shd w:val="clear" w:color="auto" w:fill="auto"/>
            <w:vAlign w:val="center"/>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10万吨</w:t>
            </w:r>
          </w:p>
        </w:tc>
        <w:tc>
          <w:tcPr>
            <w:tcW w:w="1275" w:type="dxa"/>
            <w:shd w:val="clear" w:color="auto" w:fill="auto"/>
            <w:vAlign w:val="center"/>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停车检修</w:t>
            </w:r>
          </w:p>
        </w:tc>
        <w:tc>
          <w:tcPr>
            <w:tcW w:w="1759" w:type="dxa"/>
            <w:shd w:val="clear" w:color="auto" w:fill="auto"/>
            <w:vAlign w:val="center"/>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14年11月4日</w:t>
            </w:r>
          </w:p>
        </w:tc>
        <w:tc>
          <w:tcPr>
            <w:tcW w:w="2080" w:type="dxa"/>
            <w:shd w:val="clear" w:color="auto" w:fill="auto"/>
            <w:vAlign w:val="center"/>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50天左右</w:t>
            </w:r>
          </w:p>
        </w:tc>
      </w:tr>
      <w:tr w:rsidR="00B5448C" w:rsidRPr="007E1B94" w:rsidTr="00D9454E">
        <w:trPr>
          <w:trHeight w:val="360"/>
          <w:jc w:val="center"/>
        </w:trPr>
        <w:tc>
          <w:tcPr>
            <w:tcW w:w="1392" w:type="dxa"/>
            <w:shd w:val="clear" w:color="auto" w:fill="auto"/>
            <w:vAlign w:val="center"/>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青岛大炼油</w:t>
            </w:r>
          </w:p>
        </w:tc>
        <w:tc>
          <w:tcPr>
            <w:tcW w:w="1418" w:type="dxa"/>
            <w:shd w:val="clear" w:color="auto" w:fill="auto"/>
            <w:vAlign w:val="center"/>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20万吨</w:t>
            </w:r>
          </w:p>
        </w:tc>
        <w:tc>
          <w:tcPr>
            <w:tcW w:w="1275" w:type="dxa"/>
            <w:shd w:val="clear" w:color="auto" w:fill="auto"/>
            <w:vAlign w:val="center"/>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停车检修</w:t>
            </w:r>
          </w:p>
        </w:tc>
        <w:tc>
          <w:tcPr>
            <w:tcW w:w="1759" w:type="dxa"/>
            <w:shd w:val="clear" w:color="auto" w:fill="auto"/>
            <w:vAlign w:val="center"/>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14年10月27日</w:t>
            </w:r>
          </w:p>
        </w:tc>
        <w:tc>
          <w:tcPr>
            <w:tcW w:w="2080" w:type="dxa"/>
            <w:shd w:val="clear" w:color="auto" w:fill="auto"/>
            <w:vAlign w:val="center"/>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11月4日</w:t>
            </w:r>
          </w:p>
        </w:tc>
      </w:tr>
      <w:tr w:rsidR="00B5448C" w:rsidRPr="007E1B94" w:rsidTr="00D9454E">
        <w:trPr>
          <w:trHeight w:val="360"/>
          <w:jc w:val="center"/>
        </w:trPr>
        <w:tc>
          <w:tcPr>
            <w:tcW w:w="1392" w:type="dxa"/>
            <w:shd w:val="clear" w:color="auto" w:fill="auto"/>
            <w:vAlign w:val="center"/>
            <w:hideMark/>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神华宁煤</w:t>
            </w:r>
          </w:p>
        </w:tc>
        <w:tc>
          <w:tcPr>
            <w:tcW w:w="1418" w:type="dxa"/>
            <w:shd w:val="clear" w:color="auto" w:fill="auto"/>
            <w:vAlign w:val="center"/>
            <w:hideMark/>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二期50</w:t>
            </w:r>
          </w:p>
        </w:tc>
        <w:tc>
          <w:tcPr>
            <w:tcW w:w="1275" w:type="dxa"/>
            <w:shd w:val="clear" w:color="auto" w:fill="auto"/>
            <w:vAlign w:val="center"/>
            <w:hideMark/>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计划检修</w:t>
            </w:r>
          </w:p>
        </w:tc>
        <w:tc>
          <w:tcPr>
            <w:tcW w:w="1759" w:type="dxa"/>
            <w:shd w:val="clear" w:color="auto" w:fill="auto"/>
            <w:vAlign w:val="center"/>
            <w:hideMark/>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2014年10月27日</w:t>
            </w:r>
          </w:p>
        </w:tc>
        <w:tc>
          <w:tcPr>
            <w:tcW w:w="2080" w:type="dxa"/>
            <w:shd w:val="clear" w:color="auto" w:fill="auto"/>
            <w:vAlign w:val="center"/>
            <w:hideMark/>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11月3日</w:t>
            </w:r>
          </w:p>
        </w:tc>
      </w:tr>
      <w:tr w:rsidR="00B5448C" w:rsidRPr="007E1B94" w:rsidTr="00D9454E">
        <w:trPr>
          <w:trHeight w:val="315"/>
          <w:jc w:val="center"/>
        </w:trPr>
        <w:tc>
          <w:tcPr>
            <w:tcW w:w="1392" w:type="dxa"/>
            <w:shd w:val="clear" w:color="auto" w:fill="auto"/>
            <w:vAlign w:val="center"/>
            <w:hideMark/>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中煤榆林</w:t>
            </w:r>
          </w:p>
        </w:tc>
        <w:tc>
          <w:tcPr>
            <w:tcW w:w="1418" w:type="dxa"/>
            <w:shd w:val="clear" w:color="auto" w:fill="auto"/>
            <w:vAlign w:val="center"/>
            <w:hideMark/>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30</w:t>
            </w:r>
          </w:p>
        </w:tc>
        <w:tc>
          <w:tcPr>
            <w:tcW w:w="1275" w:type="dxa"/>
            <w:shd w:val="clear" w:color="auto" w:fill="auto"/>
            <w:vAlign w:val="center"/>
            <w:hideMark/>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故障停车</w:t>
            </w:r>
          </w:p>
        </w:tc>
        <w:tc>
          <w:tcPr>
            <w:tcW w:w="1759" w:type="dxa"/>
            <w:shd w:val="clear" w:color="auto" w:fill="auto"/>
            <w:vAlign w:val="center"/>
            <w:hideMark/>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2014年10月24日</w:t>
            </w:r>
          </w:p>
        </w:tc>
        <w:tc>
          <w:tcPr>
            <w:tcW w:w="2080" w:type="dxa"/>
            <w:shd w:val="clear" w:color="auto" w:fill="auto"/>
            <w:vAlign w:val="center"/>
            <w:hideMark/>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10天左右</w:t>
            </w:r>
          </w:p>
        </w:tc>
      </w:tr>
      <w:tr w:rsidR="00B5448C" w:rsidRPr="007E1B94" w:rsidTr="00D9454E">
        <w:trPr>
          <w:trHeight w:val="375"/>
          <w:jc w:val="center"/>
        </w:trPr>
        <w:tc>
          <w:tcPr>
            <w:tcW w:w="1392" w:type="dxa"/>
            <w:shd w:val="clear" w:color="auto" w:fill="auto"/>
            <w:vAlign w:val="center"/>
            <w:hideMark/>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延长中煤</w:t>
            </w:r>
          </w:p>
        </w:tc>
        <w:tc>
          <w:tcPr>
            <w:tcW w:w="1418" w:type="dxa"/>
            <w:shd w:val="clear" w:color="auto" w:fill="auto"/>
            <w:vAlign w:val="center"/>
            <w:hideMark/>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PP2线30</w:t>
            </w:r>
          </w:p>
        </w:tc>
        <w:tc>
          <w:tcPr>
            <w:tcW w:w="1275" w:type="dxa"/>
            <w:shd w:val="clear" w:color="auto" w:fill="auto"/>
            <w:vAlign w:val="center"/>
            <w:hideMark/>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原料不足</w:t>
            </w:r>
          </w:p>
        </w:tc>
        <w:tc>
          <w:tcPr>
            <w:tcW w:w="1759" w:type="dxa"/>
            <w:shd w:val="clear" w:color="auto" w:fill="auto"/>
            <w:vAlign w:val="center"/>
            <w:hideMark/>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2014年10月28日</w:t>
            </w:r>
          </w:p>
        </w:tc>
        <w:tc>
          <w:tcPr>
            <w:tcW w:w="2080" w:type="dxa"/>
            <w:shd w:val="clear" w:color="auto" w:fill="auto"/>
            <w:vAlign w:val="center"/>
            <w:hideMark/>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计划明年开车</w:t>
            </w:r>
          </w:p>
        </w:tc>
      </w:tr>
      <w:tr w:rsidR="00B5448C" w:rsidRPr="007E1B94" w:rsidTr="00D9454E">
        <w:trPr>
          <w:trHeight w:val="465"/>
          <w:jc w:val="center"/>
        </w:trPr>
        <w:tc>
          <w:tcPr>
            <w:tcW w:w="1392" w:type="dxa"/>
            <w:shd w:val="clear" w:color="auto" w:fill="auto"/>
            <w:vAlign w:val="center"/>
            <w:hideMark/>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宁波富德</w:t>
            </w:r>
          </w:p>
        </w:tc>
        <w:tc>
          <w:tcPr>
            <w:tcW w:w="1418" w:type="dxa"/>
            <w:shd w:val="clear" w:color="auto" w:fill="auto"/>
            <w:vAlign w:val="center"/>
            <w:hideMark/>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40</w:t>
            </w:r>
          </w:p>
        </w:tc>
        <w:tc>
          <w:tcPr>
            <w:tcW w:w="1275" w:type="dxa"/>
            <w:shd w:val="clear" w:color="auto" w:fill="auto"/>
            <w:vAlign w:val="center"/>
            <w:hideMark/>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计划检修</w:t>
            </w:r>
          </w:p>
        </w:tc>
        <w:tc>
          <w:tcPr>
            <w:tcW w:w="1759" w:type="dxa"/>
            <w:shd w:val="clear" w:color="auto" w:fill="auto"/>
            <w:vAlign w:val="center"/>
            <w:hideMark/>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2014年11月7日</w:t>
            </w:r>
          </w:p>
        </w:tc>
        <w:tc>
          <w:tcPr>
            <w:tcW w:w="2080" w:type="dxa"/>
            <w:shd w:val="clear" w:color="auto" w:fill="auto"/>
            <w:vAlign w:val="center"/>
            <w:hideMark/>
          </w:tcPr>
          <w:p w:rsidR="00B5448C" w:rsidRPr="00005314" w:rsidRDefault="00B5448C" w:rsidP="00D9454E">
            <w:pPr>
              <w:spacing w:after="0" w:line="240" w:lineRule="auto"/>
              <w:jc w:val="center"/>
              <w:rPr>
                <w:rFonts w:ascii="新宋体" w:eastAsia="新宋体" w:hAnsi="新宋体" w:cs="宋体"/>
                <w:color w:val="000000"/>
                <w:kern w:val="2"/>
                <w:sz w:val="21"/>
                <w:szCs w:val="21"/>
              </w:rPr>
            </w:pPr>
            <w:r w:rsidRPr="00005314">
              <w:rPr>
                <w:rFonts w:ascii="新宋体" w:eastAsia="新宋体" w:hAnsi="新宋体" w:cs="宋体" w:hint="eastAsia"/>
                <w:color w:val="000000"/>
                <w:kern w:val="2"/>
                <w:sz w:val="21"/>
                <w:szCs w:val="21"/>
              </w:rPr>
              <w:t>20-30天</w:t>
            </w:r>
          </w:p>
        </w:tc>
      </w:tr>
    </w:tbl>
    <w:p w:rsidR="00B5448C" w:rsidRPr="00E1487F" w:rsidRDefault="00B5448C" w:rsidP="00B5448C">
      <w:pPr>
        <w:spacing w:after="0" w:line="240" w:lineRule="auto"/>
        <w:rPr>
          <w:rFonts w:ascii="新宋体" w:eastAsia="新宋体" w:hAnsi="新宋体" w:cs="宋体"/>
          <w:color w:val="000000"/>
          <w:kern w:val="2"/>
          <w:sz w:val="21"/>
          <w:szCs w:val="21"/>
        </w:rPr>
      </w:pPr>
      <w:r>
        <w:rPr>
          <w:rFonts w:ascii="新宋体" w:eastAsia="新宋体" w:hAnsi="新宋体" w:cs="宋体" w:hint="eastAsia"/>
          <w:color w:val="000000"/>
          <w:kern w:val="2"/>
          <w:sz w:val="21"/>
          <w:szCs w:val="21"/>
        </w:rPr>
        <w:t xml:space="preserve"> </w:t>
      </w:r>
      <w:r w:rsidRPr="00E1487F">
        <w:rPr>
          <w:rFonts w:ascii="新宋体" w:eastAsia="新宋体" w:hAnsi="新宋体" w:cs="宋体" w:hint="eastAsia"/>
          <w:color w:val="000000"/>
          <w:kern w:val="2"/>
          <w:sz w:val="21"/>
          <w:szCs w:val="21"/>
        </w:rPr>
        <w:t>资料来源：</w:t>
      </w:r>
      <w:proofErr w:type="gramStart"/>
      <w:r w:rsidRPr="00E1487F">
        <w:rPr>
          <w:rFonts w:ascii="新宋体" w:eastAsia="新宋体" w:hAnsi="新宋体" w:cs="宋体" w:hint="eastAsia"/>
          <w:color w:val="000000"/>
          <w:kern w:val="2"/>
          <w:sz w:val="21"/>
          <w:szCs w:val="21"/>
        </w:rPr>
        <w:t>卓创资讯</w:t>
      </w:r>
      <w:proofErr w:type="gramEnd"/>
      <w:r w:rsidRPr="00E1487F">
        <w:rPr>
          <w:rFonts w:ascii="新宋体" w:eastAsia="新宋体" w:hAnsi="新宋体" w:cs="宋体" w:hint="eastAsia"/>
          <w:color w:val="000000"/>
          <w:kern w:val="2"/>
          <w:sz w:val="21"/>
          <w:szCs w:val="21"/>
        </w:rPr>
        <w:t>，方正中期研究院</w:t>
      </w:r>
    </w:p>
    <w:p w:rsidR="00B5448C" w:rsidRPr="00A550E3" w:rsidRDefault="00B5448C" w:rsidP="00B5448C">
      <w:pPr>
        <w:pStyle w:val="a3"/>
        <w:spacing w:before="0" w:beforeAutospacing="0" w:line="480" w:lineRule="atLeast"/>
        <w:ind w:firstLineChars="200" w:firstLine="420"/>
        <w:rPr>
          <w:rFonts w:ascii="新宋体" w:eastAsia="新宋体" w:hAnsi="新宋体"/>
          <w:color w:val="000000" w:themeColor="text1"/>
          <w:sz w:val="21"/>
          <w:szCs w:val="21"/>
        </w:rPr>
      </w:pPr>
      <w:r w:rsidRPr="00D81DFE">
        <w:rPr>
          <w:rFonts w:ascii="新宋体" w:eastAsia="新宋体" w:hAnsi="新宋体" w:cs="宋体" w:hint="eastAsia"/>
          <w:color w:val="000000"/>
          <w:sz w:val="21"/>
          <w:szCs w:val="21"/>
        </w:rPr>
        <w:lastRenderedPageBreak/>
        <w:t>如表1中可以看出，九江石化PP装置产能10万吨/年从11月4日开始停车检修，宁波富德能源有限公司（原宁波禾元）PP装置（40万吨/年）预计11月7日左右停车检修，预计20-30天左右。因装置检修损失的产量在5万吨左右，尤其是宁波富德主要生产拉丝T30S，短期内PP拉丝低价货源减少，货源</w:t>
      </w:r>
      <w:proofErr w:type="gramStart"/>
      <w:r w:rsidRPr="00D81DFE">
        <w:rPr>
          <w:rFonts w:ascii="新宋体" w:eastAsia="新宋体" w:hAnsi="新宋体" w:cs="宋体" w:hint="eastAsia"/>
          <w:color w:val="000000"/>
          <w:sz w:val="21"/>
          <w:szCs w:val="21"/>
        </w:rPr>
        <w:t>供应面</w:t>
      </w:r>
      <w:proofErr w:type="gramEnd"/>
      <w:r w:rsidRPr="00D81DFE">
        <w:rPr>
          <w:rFonts w:ascii="新宋体" w:eastAsia="新宋体" w:hAnsi="新宋体" w:cs="宋体" w:hint="eastAsia"/>
          <w:color w:val="000000"/>
          <w:sz w:val="21"/>
          <w:szCs w:val="21"/>
        </w:rPr>
        <w:t>有所趋紧。但考虑到青岛大炼油、神华宁煤和中煤榆林等装置陆续开工，货源供应有望增加。</w:t>
      </w:r>
    </w:p>
    <w:p w:rsidR="00B5448C" w:rsidRPr="00D81DFE" w:rsidRDefault="00B5448C" w:rsidP="00B5448C">
      <w:pPr>
        <w:spacing w:before="100" w:beforeAutospacing="1" w:after="100" w:afterAutospacing="1"/>
        <w:jc w:val="center"/>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表</w:t>
      </w:r>
      <w:r>
        <w:rPr>
          <w:rFonts w:ascii="新宋体" w:eastAsia="新宋体" w:hAnsi="新宋体" w:cs="宋体" w:hint="eastAsia"/>
          <w:color w:val="000000"/>
          <w:sz w:val="21"/>
          <w:szCs w:val="21"/>
        </w:rPr>
        <w:t>2</w:t>
      </w:r>
      <w:r w:rsidRPr="00D81DFE">
        <w:rPr>
          <w:rFonts w:ascii="新宋体" w:eastAsia="新宋体" w:hAnsi="新宋体" w:cs="宋体" w:hint="eastAsia"/>
          <w:color w:val="000000"/>
          <w:sz w:val="21"/>
          <w:szCs w:val="21"/>
        </w:rPr>
        <w:t>：近期计划投产PP装置汇总</w:t>
      </w:r>
    </w:p>
    <w:tbl>
      <w:tblPr>
        <w:tblW w:w="8760" w:type="dxa"/>
        <w:jc w:val="center"/>
        <w:tblInd w:w="93" w:type="dxa"/>
        <w:tblBorders>
          <w:top w:val="single" w:sz="4" w:space="0" w:color="948A54"/>
          <w:left w:val="single" w:sz="4" w:space="0" w:color="948A54"/>
          <w:bottom w:val="single" w:sz="4" w:space="0" w:color="948A54"/>
          <w:right w:val="single" w:sz="4" w:space="0" w:color="948A54"/>
          <w:insideH w:val="single" w:sz="4" w:space="0" w:color="948A54"/>
          <w:insideV w:val="single" w:sz="4" w:space="0" w:color="948A54"/>
        </w:tblBorders>
        <w:tblLook w:val="04A0" w:firstRow="1" w:lastRow="0" w:firstColumn="1" w:lastColumn="0" w:noHBand="0" w:noVBand="1"/>
      </w:tblPr>
      <w:tblGrid>
        <w:gridCol w:w="1600"/>
        <w:gridCol w:w="1460"/>
        <w:gridCol w:w="1080"/>
        <w:gridCol w:w="1080"/>
        <w:gridCol w:w="1460"/>
        <w:gridCol w:w="2080"/>
      </w:tblGrid>
      <w:tr w:rsidR="00B5448C" w:rsidRPr="00D81DFE" w:rsidTr="00D9454E">
        <w:trPr>
          <w:trHeight w:val="270"/>
          <w:jc w:val="center"/>
        </w:trPr>
        <w:tc>
          <w:tcPr>
            <w:tcW w:w="1600" w:type="dxa"/>
            <w:shd w:val="clear" w:color="auto" w:fill="auto"/>
            <w:vAlign w:val="center"/>
            <w:hideMark/>
          </w:tcPr>
          <w:p w:rsidR="00B5448C" w:rsidRPr="00D81DFE" w:rsidRDefault="00B5448C" w:rsidP="00D9454E">
            <w:pPr>
              <w:spacing w:before="100" w:beforeAutospacing="1" w:after="100" w:afterAutospacing="1"/>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公司名称</w:t>
            </w:r>
          </w:p>
        </w:tc>
        <w:tc>
          <w:tcPr>
            <w:tcW w:w="1460" w:type="dxa"/>
            <w:shd w:val="clear" w:color="auto" w:fill="auto"/>
            <w:vAlign w:val="center"/>
            <w:hideMark/>
          </w:tcPr>
          <w:p w:rsidR="00B5448C" w:rsidRPr="00D81DFE" w:rsidRDefault="00B5448C" w:rsidP="00D9454E">
            <w:pPr>
              <w:spacing w:before="100" w:beforeAutospacing="1" w:after="100" w:afterAutospacing="1"/>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地址</w:t>
            </w:r>
          </w:p>
        </w:tc>
        <w:tc>
          <w:tcPr>
            <w:tcW w:w="1080" w:type="dxa"/>
            <w:shd w:val="clear" w:color="auto" w:fill="auto"/>
            <w:vAlign w:val="center"/>
            <w:hideMark/>
          </w:tcPr>
          <w:p w:rsidR="00B5448C" w:rsidRPr="00D81DFE" w:rsidRDefault="00B5448C" w:rsidP="00D9454E">
            <w:pPr>
              <w:spacing w:before="100" w:beforeAutospacing="1" w:after="100" w:afterAutospacing="1"/>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PP产能</w:t>
            </w:r>
          </w:p>
        </w:tc>
        <w:tc>
          <w:tcPr>
            <w:tcW w:w="1080" w:type="dxa"/>
            <w:shd w:val="clear" w:color="auto" w:fill="auto"/>
            <w:vAlign w:val="center"/>
            <w:hideMark/>
          </w:tcPr>
          <w:p w:rsidR="00B5448C" w:rsidRPr="00D81DFE" w:rsidRDefault="00B5448C" w:rsidP="00D9454E">
            <w:pPr>
              <w:spacing w:before="100" w:beforeAutospacing="1" w:after="100" w:afterAutospacing="1"/>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原料来源</w:t>
            </w:r>
          </w:p>
        </w:tc>
        <w:tc>
          <w:tcPr>
            <w:tcW w:w="1460" w:type="dxa"/>
            <w:shd w:val="clear" w:color="auto" w:fill="auto"/>
            <w:vAlign w:val="center"/>
            <w:hideMark/>
          </w:tcPr>
          <w:p w:rsidR="00B5448C" w:rsidRPr="00D81DFE" w:rsidRDefault="00B5448C" w:rsidP="00D9454E">
            <w:pPr>
              <w:spacing w:before="100" w:beforeAutospacing="1" w:after="100" w:afterAutospacing="1"/>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企业性质</w:t>
            </w:r>
          </w:p>
        </w:tc>
        <w:tc>
          <w:tcPr>
            <w:tcW w:w="2080" w:type="dxa"/>
            <w:shd w:val="clear" w:color="auto" w:fill="auto"/>
            <w:vAlign w:val="center"/>
            <w:hideMark/>
          </w:tcPr>
          <w:p w:rsidR="00B5448C" w:rsidRPr="00D81DFE" w:rsidRDefault="00B5448C" w:rsidP="00D9454E">
            <w:pPr>
              <w:spacing w:before="100" w:beforeAutospacing="1" w:after="100" w:afterAutospacing="1"/>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投产时间</w:t>
            </w:r>
          </w:p>
        </w:tc>
      </w:tr>
      <w:tr w:rsidR="00B5448C" w:rsidRPr="00D81DFE" w:rsidTr="00D9454E">
        <w:trPr>
          <w:trHeight w:val="810"/>
          <w:jc w:val="center"/>
        </w:trPr>
        <w:tc>
          <w:tcPr>
            <w:tcW w:w="1600" w:type="dxa"/>
            <w:shd w:val="clear" w:color="auto" w:fill="auto"/>
            <w:vAlign w:val="center"/>
            <w:hideMark/>
          </w:tcPr>
          <w:p w:rsidR="00B5448C" w:rsidRPr="00D81DFE" w:rsidRDefault="00B5448C" w:rsidP="00D9454E">
            <w:pPr>
              <w:spacing w:before="100" w:beforeAutospacing="1" w:after="100" w:afterAutospacing="1"/>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山东联泓集团（神达化工）</w:t>
            </w:r>
          </w:p>
        </w:tc>
        <w:tc>
          <w:tcPr>
            <w:tcW w:w="1460" w:type="dxa"/>
            <w:shd w:val="clear" w:color="auto" w:fill="auto"/>
            <w:vAlign w:val="center"/>
            <w:hideMark/>
          </w:tcPr>
          <w:p w:rsidR="00B5448C" w:rsidRPr="00D81DFE" w:rsidRDefault="00B5448C" w:rsidP="00D9454E">
            <w:pPr>
              <w:spacing w:before="100" w:beforeAutospacing="1" w:after="100" w:afterAutospacing="1"/>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山东滕州</w:t>
            </w:r>
          </w:p>
        </w:tc>
        <w:tc>
          <w:tcPr>
            <w:tcW w:w="1080" w:type="dxa"/>
            <w:shd w:val="clear" w:color="auto" w:fill="auto"/>
            <w:vAlign w:val="center"/>
            <w:hideMark/>
          </w:tcPr>
          <w:p w:rsidR="00B5448C" w:rsidRPr="00D81DFE" w:rsidRDefault="00B5448C" w:rsidP="00D9454E">
            <w:pPr>
              <w:spacing w:before="100" w:beforeAutospacing="1" w:after="100" w:afterAutospacing="1"/>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20</w:t>
            </w:r>
          </w:p>
        </w:tc>
        <w:tc>
          <w:tcPr>
            <w:tcW w:w="1080" w:type="dxa"/>
            <w:shd w:val="clear" w:color="auto" w:fill="auto"/>
            <w:vAlign w:val="center"/>
            <w:hideMark/>
          </w:tcPr>
          <w:p w:rsidR="00B5448C" w:rsidRPr="00D81DFE" w:rsidRDefault="00B5448C" w:rsidP="00D9454E">
            <w:pPr>
              <w:spacing w:before="100" w:beforeAutospacing="1" w:after="100" w:afterAutospacing="1"/>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MTO</w:t>
            </w:r>
          </w:p>
        </w:tc>
        <w:tc>
          <w:tcPr>
            <w:tcW w:w="1460" w:type="dxa"/>
            <w:shd w:val="clear" w:color="auto" w:fill="auto"/>
            <w:vAlign w:val="center"/>
            <w:hideMark/>
          </w:tcPr>
          <w:p w:rsidR="00B5448C" w:rsidRPr="00D81DFE" w:rsidRDefault="00B5448C" w:rsidP="00D9454E">
            <w:pPr>
              <w:spacing w:before="100" w:beforeAutospacing="1" w:after="100" w:afterAutospacing="1"/>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地方企业</w:t>
            </w:r>
          </w:p>
        </w:tc>
        <w:tc>
          <w:tcPr>
            <w:tcW w:w="2080" w:type="dxa"/>
            <w:shd w:val="clear" w:color="auto" w:fill="auto"/>
            <w:vAlign w:val="center"/>
            <w:hideMark/>
          </w:tcPr>
          <w:p w:rsidR="00B5448C" w:rsidRPr="00D81DFE" w:rsidRDefault="00B5448C" w:rsidP="00D9454E">
            <w:pPr>
              <w:spacing w:before="100" w:beforeAutospacing="1" w:after="100" w:afterAutospacing="1"/>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2014年11月中旬</w:t>
            </w:r>
          </w:p>
        </w:tc>
      </w:tr>
      <w:tr w:rsidR="00B5448C" w:rsidRPr="00D81DFE" w:rsidTr="00D9454E">
        <w:trPr>
          <w:trHeight w:val="1080"/>
          <w:jc w:val="center"/>
        </w:trPr>
        <w:tc>
          <w:tcPr>
            <w:tcW w:w="1600" w:type="dxa"/>
            <w:shd w:val="clear" w:color="auto" w:fill="auto"/>
            <w:vAlign w:val="center"/>
            <w:hideMark/>
          </w:tcPr>
          <w:p w:rsidR="00B5448C" w:rsidRPr="00D81DFE" w:rsidRDefault="00B5448C" w:rsidP="00D9454E">
            <w:pPr>
              <w:spacing w:before="100" w:beforeAutospacing="1" w:after="100" w:afterAutospacing="1"/>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宁夏宝丰</w:t>
            </w:r>
          </w:p>
        </w:tc>
        <w:tc>
          <w:tcPr>
            <w:tcW w:w="1460" w:type="dxa"/>
            <w:shd w:val="clear" w:color="auto" w:fill="auto"/>
            <w:vAlign w:val="center"/>
            <w:hideMark/>
          </w:tcPr>
          <w:p w:rsidR="00B5448C" w:rsidRPr="00D81DFE" w:rsidRDefault="00B5448C" w:rsidP="00D9454E">
            <w:pPr>
              <w:spacing w:before="100" w:beforeAutospacing="1" w:after="100" w:afterAutospacing="1"/>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宁夏</w:t>
            </w:r>
          </w:p>
        </w:tc>
        <w:tc>
          <w:tcPr>
            <w:tcW w:w="1080" w:type="dxa"/>
            <w:shd w:val="clear" w:color="auto" w:fill="auto"/>
            <w:vAlign w:val="center"/>
            <w:hideMark/>
          </w:tcPr>
          <w:p w:rsidR="00B5448C" w:rsidRPr="00D81DFE" w:rsidRDefault="00B5448C" w:rsidP="00D9454E">
            <w:pPr>
              <w:spacing w:before="100" w:beforeAutospacing="1" w:after="100" w:afterAutospacing="1"/>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30</w:t>
            </w:r>
          </w:p>
        </w:tc>
        <w:tc>
          <w:tcPr>
            <w:tcW w:w="1080" w:type="dxa"/>
            <w:shd w:val="clear" w:color="auto" w:fill="auto"/>
            <w:vAlign w:val="center"/>
            <w:hideMark/>
          </w:tcPr>
          <w:p w:rsidR="00B5448C" w:rsidRPr="00D81DFE" w:rsidRDefault="00B5448C" w:rsidP="00D9454E">
            <w:pPr>
              <w:spacing w:before="100" w:beforeAutospacing="1" w:after="100" w:afterAutospacing="1"/>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煤制</w:t>
            </w:r>
          </w:p>
        </w:tc>
        <w:tc>
          <w:tcPr>
            <w:tcW w:w="1460" w:type="dxa"/>
            <w:shd w:val="clear" w:color="auto" w:fill="auto"/>
            <w:vAlign w:val="center"/>
            <w:hideMark/>
          </w:tcPr>
          <w:p w:rsidR="00B5448C" w:rsidRPr="00D81DFE" w:rsidRDefault="00B5448C" w:rsidP="00D9454E">
            <w:pPr>
              <w:spacing w:before="100" w:beforeAutospacing="1" w:after="100" w:afterAutospacing="1"/>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地方企业</w:t>
            </w:r>
          </w:p>
        </w:tc>
        <w:tc>
          <w:tcPr>
            <w:tcW w:w="2080" w:type="dxa"/>
            <w:shd w:val="clear" w:color="auto" w:fill="auto"/>
            <w:vAlign w:val="center"/>
            <w:hideMark/>
          </w:tcPr>
          <w:p w:rsidR="00B5448C" w:rsidRPr="00D81DFE" w:rsidRDefault="00B5448C" w:rsidP="00D9454E">
            <w:pPr>
              <w:spacing w:before="100" w:beforeAutospacing="1" w:after="100" w:afterAutospacing="1"/>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2014年11月初出单体，10日左右出PP</w:t>
            </w:r>
          </w:p>
        </w:tc>
      </w:tr>
      <w:tr w:rsidR="00B5448C" w:rsidRPr="00D81DFE" w:rsidTr="00D9454E">
        <w:trPr>
          <w:trHeight w:val="540"/>
          <w:jc w:val="center"/>
        </w:trPr>
        <w:tc>
          <w:tcPr>
            <w:tcW w:w="1600" w:type="dxa"/>
            <w:shd w:val="clear" w:color="auto" w:fill="auto"/>
            <w:vAlign w:val="center"/>
            <w:hideMark/>
          </w:tcPr>
          <w:p w:rsidR="00B5448C" w:rsidRPr="00D81DFE" w:rsidRDefault="00B5448C" w:rsidP="00D9454E">
            <w:pPr>
              <w:spacing w:before="100" w:beforeAutospacing="1" w:after="100" w:afterAutospacing="1"/>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蒲城清洁能源</w:t>
            </w:r>
          </w:p>
        </w:tc>
        <w:tc>
          <w:tcPr>
            <w:tcW w:w="1460" w:type="dxa"/>
            <w:shd w:val="clear" w:color="auto" w:fill="auto"/>
            <w:vAlign w:val="center"/>
            <w:hideMark/>
          </w:tcPr>
          <w:p w:rsidR="00B5448C" w:rsidRPr="00D81DFE" w:rsidRDefault="00B5448C" w:rsidP="00D9454E">
            <w:pPr>
              <w:spacing w:before="100" w:beforeAutospacing="1" w:after="100" w:afterAutospacing="1"/>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陕西蒲城</w:t>
            </w:r>
          </w:p>
        </w:tc>
        <w:tc>
          <w:tcPr>
            <w:tcW w:w="1080" w:type="dxa"/>
            <w:shd w:val="clear" w:color="auto" w:fill="auto"/>
            <w:vAlign w:val="center"/>
            <w:hideMark/>
          </w:tcPr>
          <w:p w:rsidR="00B5448C" w:rsidRPr="00D81DFE" w:rsidRDefault="00B5448C" w:rsidP="00D9454E">
            <w:pPr>
              <w:spacing w:before="100" w:beforeAutospacing="1" w:after="100" w:afterAutospacing="1"/>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40</w:t>
            </w:r>
          </w:p>
        </w:tc>
        <w:tc>
          <w:tcPr>
            <w:tcW w:w="1080" w:type="dxa"/>
            <w:shd w:val="clear" w:color="auto" w:fill="auto"/>
            <w:vAlign w:val="center"/>
            <w:hideMark/>
          </w:tcPr>
          <w:p w:rsidR="00B5448C" w:rsidRPr="00D81DFE" w:rsidRDefault="00B5448C" w:rsidP="00D9454E">
            <w:pPr>
              <w:spacing w:before="100" w:beforeAutospacing="1" w:after="100" w:afterAutospacing="1"/>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煤制</w:t>
            </w:r>
          </w:p>
        </w:tc>
        <w:tc>
          <w:tcPr>
            <w:tcW w:w="1460" w:type="dxa"/>
            <w:shd w:val="clear" w:color="auto" w:fill="auto"/>
            <w:vAlign w:val="center"/>
            <w:hideMark/>
          </w:tcPr>
          <w:p w:rsidR="00B5448C" w:rsidRPr="00D81DFE" w:rsidRDefault="00B5448C" w:rsidP="00D9454E">
            <w:pPr>
              <w:spacing w:before="100" w:beforeAutospacing="1" w:after="100" w:afterAutospacing="1"/>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地方企业</w:t>
            </w:r>
          </w:p>
        </w:tc>
        <w:tc>
          <w:tcPr>
            <w:tcW w:w="2080" w:type="dxa"/>
            <w:shd w:val="clear" w:color="auto" w:fill="auto"/>
            <w:vAlign w:val="center"/>
            <w:hideMark/>
          </w:tcPr>
          <w:p w:rsidR="00B5448C" w:rsidRPr="00D81DFE" w:rsidRDefault="00B5448C" w:rsidP="00D9454E">
            <w:pPr>
              <w:spacing w:before="100" w:beforeAutospacing="1" w:after="100" w:afterAutospacing="1"/>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2014年11月中下旬</w:t>
            </w:r>
          </w:p>
        </w:tc>
      </w:tr>
      <w:tr w:rsidR="00B5448C" w:rsidRPr="00D81DFE" w:rsidTr="00D9454E">
        <w:trPr>
          <w:trHeight w:val="540"/>
          <w:jc w:val="center"/>
        </w:trPr>
        <w:tc>
          <w:tcPr>
            <w:tcW w:w="1600" w:type="dxa"/>
            <w:shd w:val="clear" w:color="auto" w:fill="auto"/>
            <w:vAlign w:val="center"/>
            <w:hideMark/>
          </w:tcPr>
          <w:p w:rsidR="00B5448C" w:rsidRPr="00D81DFE" w:rsidRDefault="00B5448C" w:rsidP="00D9454E">
            <w:pPr>
              <w:spacing w:before="100" w:beforeAutospacing="1" w:after="100" w:afterAutospacing="1"/>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河北海伟</w:t>
            </w:r>
          </w:p>
        </w:tc>
        <w:tc>
          <w:tcPr>
            <w:tcW w:w="1460" w:type="dxa"/>
            <w:shd w:val="clear" w:color="auto" w:fill="auto"/>
            <w:vAlign w:val="center"/>
            <w:hideMark/>
          </w:tcPr>
          <w:p w:rsidR="00B5448C" w:rsidRPr="00D81DFE" w:rsidRDefault="00B5448C" w:rsidP="00D9454E">
            <w:pPr>
              <w:spacing w:before="100" w:beforeAutospacing="1" w:after="100" w:afterAutospacing="1"/>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河北省</w:t>
            </w:r>
          </w:p>
        </w:tc>
        <w:tc>
          <w:tcPr>
            <w:tcW w:w="1080" w:type="dxa"/>
            <w:shd w:val="clear" w:color="auto" w:fill="auto"/>
            <w:vAlign w:val="center"/>
            <w:hideMark/>
          </w:tcPr>
          <w:p w:rsidR="00B5448C" w:rsidRPr="00D81DFE" w:rsidRDefault="00B5448C" w:rsidP="00D9454E">
            <w:pPr>
              <w:spacing w:before="100" w:beforeAutospacing="1" w:after="100" w:afterAutospacing="1"/>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一期30</w:t>
            </w:r>
          </w:p>
        </w:tc>
        <w:tc>
          <w:tcPr>
            <w:tcW w:w="1080" w:type="dxa"/>
            <w:shd w:val="clear" w:color="auto" w:fill="auto"/>
            <w:vAlign w:val="center"/>
            <w:hideMark/>
          </w:tcPr>
          <w:p w:rsidR="00B5448C" w:rsidRPr="00D81DFE" w:rsidRDefault="00B5448C" w:rsidP="00D9454E">
            <w:pPr>
              <w:spacing w:before="100" w:beforeAutospacing="1" w:after="100" w:afterAutospacing="1"/>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PDH</w:t>
            </w:r>
          </w:p>
        </w:tc>
        <w:tc>
          <w:tcPr>
            <w:tcW w:w="1460" w:type="dxa"/>
            <w:shd w:val="clear" w:color="auto" w:fill="auto"/>
            <w:vAlign w:val="center"/>
            <w:hideMark/>
          </w:tcPr>
          <w:p w:rsidR="00B5448C" w:rsidRPr="00D81DFE" w:rsidRDefault="00B5448C" w:rsidP="00D9454E">
            <w:pPr>
              <w:spacing w:before="100" w:beforeAutospacing="1" w:after="100" w:afterAutospacing="1"/>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地方企业</w:t>
            </w:r>
          </w:p>
        </w:tc>
        <w:tc>
          <w:tcPr>
            <w:tcW w:w="2080" w:type="dxa"/>
            <w:shd w:val="clear" w:color="auto" w:fill="auto"/>
            <w:vAlign w:val="center"/>
            <w:hideMark/>
          </w:tcPr>
          <w:p w:rsidR="00B5448C" w:rsidRPr="00D81DFE" w:rsidRDefault="00B5448C" w:rsidP="00D9454E">
            <w:pPr>
              <w:spacing w:before="100" w:beforeAutospacing="1" w:after="100" w:afterAutospacing="1"/>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2014年11月份</w:t>
            </w:r>
          </w:p>
        </w:tc>
      </w:tr>
      <w:tr w:rsidR="00B5448C" w:rsidRPr="00D81DFE" w:rsidTr="00D9454E">
        <w:trPr>
          <w:trHeight w:val="540"/>
          <w:jc w:val="center"/>
        </w:trPr>
        <w:tc>
          <w:tcPr>
            <w:tcW w:w="1600" w:type="dxa"/>
            <w:shd w:val="clear" w:color="auto" w:fill="auto"/>
            <w:vAlign w:val="center"/>
            <w:hideMark/>
          </w:tcPr>
          <w:p w:rsidR="00B5448C" w:rsidRPr="00D81DFE" w:rsidRDefault="00B5448C" w:rsidP="00D9454E">
            <w:pPr>
              <w:spacing w:before="100" w:beforeAutospacing="1" w:after="100" w:afterAutospacing="1"/>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东华能源</w:t>
            </w:r>
          </w:p>
        </w:tc>
        <w:tc>
          <w:tcPr>
            <w:tcW w:w="1460" w:type="dxa"/>
            <w:shd w:val="clear" w:color="auto" w:fill="auto"/>
            <w:vAlign w:val="center"/>
            <w:hideMark/>
          </w:tcPr>
          <w:p w:rsidR="00B5448C" w:rsidRPr="00D81DFE" w:rsidRDefault="00B5448C" w:rsidP="00D9454E">
            <w:pPr>
              <w:spacing w:before="100" w:beforeAutospacing="1" w:after="100" w:afterAutospacing="1"/>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张家港</w:t>
            </w:r>
          </w:p>
        </w:tc>
        <w:tc>
          <w:tcPr>
            <w:tcW w:w="1080" w:type="dxa"/>
            <w:shd w:val="clear" w:color="auto" w:fill="auto"/>
            <w:vAlign w:val="center"/>
            <w:hideMark/>
          </w:tcPr>
          <w:p w:rsidR="00B5448C" w:rsidRPr="00D81DFE" w:rsidRDefault="00B5448C" w:rsidP="00D9454E">
            <w:pPr>
              <w:spacing w:before="100" w:beforeAutospacing="1" w:after="100" w:afterAutospacing="1"/>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40</w:t>
            </w:r>
          </w:p>
        </w:tc>
        <w:tc>
          <w:tcPr>
            <w:tcW w:w="1080" w:type="dxa"/>
            <w:shd w:val="clear" w:color="auto" w:fill="auto"/>
            <w:vAlign w:val="center"/>
            <w:hideMark/>
          </w:tcPr>
          <w:p w:rsidR="00B5448C" w:rsidRPr="00D81DFE" w:rsidRDefault="00B5448C" w:rsidP="00D9454E">
            <w:pPr>
              <w:spacing w:before="100" w:beforeAutospacing="1" w:after="100" w:afterAutospacing="1"/>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PDH</w:t>
            </w:r>
          </w:p>
        </w:tc>
        <w:tc>
          <w:tcPr>
            <w:tcW w:w="1460" w:type="dxa"/>
            <w:shd w:val="clear" w:color="auto" w:fill="auto"/>
            <w:vAlign w:val="center"/>
            <w:hideMark/>
          </w:tcPr>
          <w:p w:rsidR="00B5448C" w:rsidRPr="00D81DFE" w:rsidRDefault="00B5448C" w:rsidP="00D9454E">
            <w:pPr>
              <w:spacing w:before="100" w:beforeAutospacing="1" w:after="100" w:afterAutospacing="1"/>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地方企业</w:t>
            </w:r>
          </w:p>
        </w:tc>
        <w:tc>
          <w:tcPr>
            <w:tcW w:w="2080" w:type="dxa"/>
            <w:shd w:val="clear" w:color="auto" w:fill="auto"/>
            <w:vAlign w:val="center"/>
            <w:hideMark/>
          </w:tcPr>
          <w:p w:rsidR="00B5448C" w:rsidRPr="00D81DFE" w:rsidRDefault="00B5448C" w:rsidP="00D9454E">
            <w:pPr>
              <w:spacing w:before="100" w:beforeAutospacing="1" w:after="100" w:afterAutospacing="1"/>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预计2014年底</w:t>
            </w:r>
          </w:p>
        </w:tc>
      </w:tr>
      <w:tr w:rsidR="00B5448C" w:rsidRPr="00D81DFE" w:rsidTr="00D9454E">
        <w:trPr>
          <w:trHeight w:val="540"/>
          <w:jc w:val="center"/>
        </w:trPr>
        <w:tc>
          <w:tcPr>
            <w:tcW w:w="1600" w:type="dxa"/>
            <w:shd w:val="clear" w:color="auto" w:fill="auto"/>
            <w:vAlign w:val="center"/>
            <w:hideMark/>
          </w:tcPr>
          <w:p w:rsidR="00B5448C" w:rsidRPr="00D81DFE" w:rsidRDefault="00B5448C" w:rsidP="00D9454E">
            <w:pPr>
              <w:spacing w:before="100" w:beforeAutospacing="1" w:after="100" w:afterAutospacing="1"/>
              <w:rPr>
                <w:rFonts w:ascii="新宋体" w:eastAsia="新宋体" w:hAnsi="新宋体" w:cs="宋体"/>
                <w:color w:val="000000"/>
                <w:sz w:val="21"/>
                <w:szCs w:val="21"/>
              </w:rPr>
            </w:pPr>
            <w:proofErr w:type="gramStart"/>
            <w:r w:rsidRPr="00D81DFE">
              <w:rPr>
                <w:rFonts w:ascii="新宋体" w:eastAsia="新宋体" w:hAnsi="新宋体" w:cs="宋体" w:hint="eastAsia"/>
                <w:color w:val="000000"/>
                <w:sz w:val="21"/>
                <w:szCs w:val="21"/>
              </w:rPr>
              <w:t>久泰能源</w:t>
            </w:r>
            <w:proofErr w:type="gramEnd"/>
          </w:p>
        </w:tc>
        <w:tc>
          <w:tcPr>
            <w:tcW w:w="1460" w:type="dxa"/>
            <w:shd w:val="clear" w:color="auto" w:fill="auto"/>
            <w:vAlign w:val="center"/>
            <w:hideMark/>
          </w:tcPr>
          <w:p w:rsidR="00B5448C" w:rsidRPr="00D81DFE" w:rsidRDefault="00B5448C" w:rsidP="00D9454E">
            <w:pPr>
              <w:spacing w:before="100" w:beforeAutospacing="1" w:after="100" w:afterAutospacing="1"/>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内蒙古</w:t>
            </w:r>
          </w:p>
        </w:tc>
        <w:tc>
          <w:tcPr>
            <w:tcW w:w="1080" w:type="dxa"/>
            <w:shd w:val="clear" w:color="auto" w:fill="auto"/>
            <w:vAlign w:val="center"/>
            <w:hideMark/>
          </w:tcPr>
          <w:p w:rsidR="00B5448C" w:rsidRPr="00D81DFE" w:rsidRDefault="00B5448C" w:rsidP="00D9454E">
            <w:pPr>
              <w:spacing w:before="100" w:beforeAutospacing="1" w:after="100" w:afterAutospacing="1"/>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35</w:t>
            </w:r>
          </w:p>
        </w:tc>
        <w:tc>
          <w:tcPr>
            <w:tcW w:w="1080" w:type="dxa"/>
            <w:shd w:val="clear" w:color="auto" w:fill="auto"/>
            <w:vAlign w:val="center"/>
            <w:hideMark/>
          </w:tcPr>
          <w:p w:rsidR="00B5448C" w:rsidRPr="00D81DFE" w:rsidRDefault="00B5448C" w:rsidP="00D9454E">
            <w:pPr>
              <w:spacing w:before="100" w:beforeAutospacing="1" w:after="100" w:afterAutospacing="1"/>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煤制</w:t>
            </w:r>
          </w:p>
        </w:tc>
        <w:tc>
          <w:tcPr>
            <w:tcW w:w="1460" w:type="dxa"/>
            <w:shd w:val="clear" w:color="auto" w:fill="auto"/>
            <w:vAlign w:val="center"/>
            <w:hideMark/>
          </w:tcPr>
          <w:p w:rsidR="00B5448C" w:rsidRPr="00D81DFE" w:rsidRDefault="00B5448C" w:rsidP="00D9454E">
            <w:pPr>
              <w:spacing w:before="100" w:beforeAutospacing="1" w:after="100" w:afterAutospacing="1"/>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地方企业</w:t>
            </w:r>
          </w:p>
        </w:tc>
        <w:tc>
          <w:tcPr>
            <w:tcW w:w="2080" w:type="dxa"/>
            <w:shd w:val="clear" w:color="auto" w:fill="auto"/>
            <w:vAlign w:val="center"/>
            <w:hideMark/>
          </w:tcPr>
          <w:p w:rsidR="00B5448C" w:rsidRPr="00D81DFE" w:rsidRDefault="00B5448C" w:rsidP="00D9454E">
            <w:pPr>
              <w:spacing w:before="100" w:beforeAutospacing="1" w:after="100" w:afterAutospacing="1"/>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2015年上半年</w:t>
            </w:r>
          </w:p>
        </w:tc>
      </w:tr>
    </w:tbl>
    <w:p w:rsidR="00B5448C" w:rsidRPr="00D81DFE" w:rsidRDefault="00B5448C" w:rsidP="00B5448C">
      <w:pPr>
        <w:spacing w:before="100" w:beforeAutospacing="1" w:after="100" w:afterAutospacing="1"/>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资料来源：</w:t>
      </w:r>
      <w:proofErr w:type="gramStart"/>
      <w:r w:rsidRPr="00D81DFE">
        <w:rPr>
          <w:rFonts w:ascii="新宋体" w:eastAsia="新宋体" w:hAnsi="新宋体" w:cs="宋体" w:hint="eastAsia"/>
          <w:color w:val="000000"/>
          <w:sz w:val="21"/>
          <w:szCs w:val="21"/>
        </w:rPr>
        <w:t>卓创资讯</w:t>
      </w:r>
      <w:proofErr w:type="gramEnd"/>
      <w:r w:rsidRPr="00D81DFE">
        <w:rPr>
          <w:rFonts w:ascii="新宋体" w:eastAsia="新宋体" w:hAnsi="新宋体" w:cs="宋体" w:hint="eastAsia"/>
          <w:color w:val="000000"/>
          <w:sz w:val="21"/>
          <w:szCs w:val="21"/>
        </w:rPr>
        <w:t>，方正中期研究院</w:t>
      </w:r>
    </w:p>
    <w:p w:rsidR="00B5448C" w:rsidRPr="00D81DFE" w:rsidRDefault="00B5448C" w:rsidP="00B5448C">
      <w:pPr>
        <w:spacing w:before="100" w:beforeAutospacing="1" w:after="100" w:afterAutospacing="1" w:line="360" w:lineRule="auto"/>
        <w:ind w:firstLineChars="200" w:firstLine="420"/>
        <w:rPr>
          <w:rFonts w:ascii="新宋体" w:eastAsia="新宋体" w:hAnsi="新宋体" w:cs="宋体"/>
          <w:color w:val="000000"/>
          <w:sz w:val="21"/>
          <w:szCs w:val="21"/>
        </w:rPr>
      </w:pPr>
      <w:r w:rsidRPr="00D81DFE">
        <w:rPr>
          <w:rFonts w:ascii="新宋体" w:eastAsia="新宋体" w:hAnsi="新宋体" w:cs="宋体" w:hint="eastAsia"/>
          <w:color w:val="000000"/>
          <w:sz w:val="21"/>
          <w:szCs w:val="21"/>
        </w:rPr>
        <w:t>继中煤、延长、</w:t>
      </w:r>
      <w:proofErr w:type="gramStart"/>
      <w:r w:rsidRPr="00D81DFE">
        <w:rPr>
          <w:rFonts w:ascii="新宋体" w:eastAsia="新宋体" w:hAnsi="新宋体" w:cs="宋体" w:hint="eastAsia"/>
          <w:color w:val="000000"/>
          <w:sz w:val="21"/>
          <w:szCs w:val="21"/>
        </w:rPr>
        <w:t>宁煤二</w:t>
      </w:r>
      <w:proofErr w:type="gramEnd"/>
      <w:r w:rsidRPr="00D81DFE">
        <w:rPr>
          <w:rFonts w:ascii="新宋体" w:eastAsia="新宋体" w:hAnsi="新宋体" w:cs="宋体" w:hint="eastAsia"/>
          <w:color w:val="000000"/>
          <w:sz w:val="21"/>
          <w:szCs w:val="21"/>
        </w:rPr>
        <w:t>期等新增装置投产之后，10月份其他新增产能并未按期投产。山东联泓、宁夏宝丰</w:t>
      </w:r>
      <w:proofErr w:type="gramStart"/>
      <w:r w:rsidRPr="00D81DFE">
        <w:rPr>
          <w:rFonts w:ascii="新宋体" w:eastAsia="新宋体" w:hAnsi="新宋体" w:cs="宋体" w:hint="eastAsia"/>
          <w:color w:val="000000"/>
          <w:sz w:val="21"/>
          <w:szCs w:val="21"/>
        </w:rPr>
        <w:t>等之前</w:t>
      </w:r>
      <w:proofErr w:type="gramEnd"/>
      <w:r w:rsidRPr="00D81DFE">
        <w:rPr>
          <w:rFonts w:ascii="新宋体" w:eastAsia="新宋体" w:hAnsi="新宋体" w:cs="宋体" w:hint="eastAsia"/>
          <w:color w:val="000000"/>
          <w:sz w:val="21"/>
          <w:szCs w:val="21"/>
        </w:rPr>
        <w:t>预计10月份会开车，但目前试车都推迟至11月份，预计出PP产品最早在11月中旬左右投放市场。所以这部分新增产能在11月中旬之前仍不会有效释放，中旬之后，预计产品会陆续到达市场。</w:t>
      </w:r>
    </w:p>
    <w:p w:rsidR="00B5448C" w:rsidRPr="005B4D80" w:rsidRDefault="00B5448C" w:rsidP="00B5448C">
      <w:pPr>
        <w:spacing w:line="360" w:lineRule="auto"/>
        <w:rPr>
          <w:rFonts w:ascii="新宋体" w:eastAsia="新宋体" w:hAnsi="新宋体" w:cs="宋体"/>
          <w:b/>
          <w:color w:val="000000"/>
          <w:kern w:val="2"/>
          <w:sz w:val="21"/>
          <w:szCs w:val="21"/>
        </w:rPr>
      </w:pPr>
      <w:r>
        <w:rPr>
          <w:rFonts w:ascii="新宋体" w:eastAsia="新宋体" w:hAnsi="新宋体" w:cs="宋体" w:hint="eastAsia"/>
          <w:b/>
          <w:color w:val="000000"/>
          <w:kern w:val="2"/>
          <w:sz w:val="21"/>
          <w:szCs w:val="21"/>
        </w:rPr>
        <w:t>3</w:t>
      </w:r>
      <w:r w:rsidRPr="005B4D80">
        <w:rPr>
          <w:rFonts w:ascii="新宋体" w:eastAsia="新宋体" w:hAnsi="新宋体" w:cs="宋体" w:hint="eastAsia"/>
          <w:b/>
          <w:color w:val="000000"/>
          <w:kern w:val="2"/>
          <w:sz w:val="21"/>
          <w:szCs w:val="21"/>
        </w:rPr>
        <w:t>、PP下游需求整体平稳</w:t>
      </w:r>
    </w:p>
    <w:p w:rsidR="00B5448C" w:rsidRPr="00647783" w:rsidRDefault="00B5448C" w:rsidP="00B5448C">
      <w:pPr>
        <w:pStyle w:val="Default"/>
        <w:spacing w:line="360" w:lineRule="auto"/>
        <w:ind w:firstLineChars="200" w:firstLine="420"/>
        <w:rPr>
          <w:rFonts w:ascii="新宋体" w:eastAsia="新宋体" w:hAnsi="新宋体"/>
          <w:color w:val="000000" w:themeColor="text1"/>
          <w:sz w:val="21"/>
          <w:szCs w:val="21"/>
        </w:rPr>
      </w:pPr>
      <w:r>
        <w:rPr>
          <w:rFonts w:ascii="新宋体" w:eastAsia="新宋体" w:hAnsi="新宋体" w:hint="eastAsia"/>
          <w:color w:val="000000" w:themeColor="text1"/>
          <w:sz w:val="21"/>
          <w:szCs w:val="21"/>
        </w:rPr>
        <w:t>近期</w:t>
      </w:r>
      <w:r w:rsidRPr="00CA2157">
        <w:rPr>
          <w:rFonts w:ascii="新宋体" w:eastAsia="新宋体" w:hAnsi="新宋体"/>
          <w:color w:val="000000" w:themeColor="text1"/>
          <w:sz w:val="21"/>
          <w:szCs w:val="21"/>
        </w:rPr>
        <w:t>下游工厂开工率出现下滑，其中编织开工率持平，BOPP开工率环比走低1.59%，注塑企业开工环比下滑约1.56%。塑编企业订单相对稳定，厂家按需采购；</w:t>
      </w:r>
      <w:proofErr w:type="gramStart"/>
      <w:r w:rsidRPr="00CA2157">
        <w:rPr>
          <w:rFonts w:ascii="新宋体" w:eastAsia="新宋体" w:hAnsi="新宋体"/>
          <w:color w:val="000000" w:themeColor="text1"/>
          <w:sz w:val="21"/>
          <w:szCs w:val="21"/>
        </w:rPr>
        <w:t>膜厂接单</w:t>
      </w:r>
      <w:proofErr w:type="gramEnd"/>
      <w:r w:rsidRPr="00CA2157">
        <w:rPr>
          <w:rFonts w:ascii="新宋体" w:eastAsia="新宋体" w:hAnsi="新宋体"/>
          <w:color w:val="000000" w:themeColor="text1"/>
          <w:sz w:val="21"/>
          <w:szCs w:val="21"/>
        </w:rPr>
        <w:t>困难，加之部分厂家受制于资金短缺，BOPP停产企业继续增多；注塑企业同样面临订单缺乏的困境，厂家不得不降低开工以减轻压力。</w:t>
      </w:r>
    </w:p>
    <w:p w:rsidR="00B5448C" w:rsidRPr="00647783" w:rsidRDefault="00B5448C" w:rsidP="00B5448C">
      <w:pPr>
        <w:spacing w:before="100" w:beforeAutospacing="1" w:after="100" w:afterAutospacing="1"/>
        <w:rPr>
          <w:rFonts w:ascii="新宋体" w:eastAsia="新宋体" w:hAnsi="新宋体"/>
          <w:b/>
          <w:color w:val="000000" w:themeColor="text1"/>
          <w:sz w:val="21"/>
          <w:szCs w:val="21"/>
        </w:rPr>
      </w:pPr>
      <w:r w:rsidRPr="00647783">
        <w:rPr>
          <w:rFonts w:ascii="新宋体" w:eastAsia="新宋体" w:hAnsi="新宋体" w:hint="eastAsia"/>
          <w:b/>
          <w:color w:val="000000" w:themeColor="text1"/>
          <w:sz w:val="21"/>
          <w:szCs w:val="21"/>
        </w:rPr>
        <w:lastRenderedPageBreak/>
        <w:t>操作策略</w:t>
      </w:r>
    </w:p>
    <w:p w:rsidR="00B5448C" w:rsidRPr="00C95808" w:rsidRDefault="00B5448C" w:rsidP="00B5448C">
      <w:pPr>
        <w:spacing w:line="360" w:lineRule="auto"/>
        <w:ind w:firstLineChars="250" w:firstLine="525"/>
        <w:rPr>
          <w:rFonts w:ascii="新宋体" w:eastAsia="新宋体" w:hAnsi="新宋体"/>
          <w:color w:val="000000" w:themeColor="text1"/>
          <w:sz w:val="21"/>
          <w:szCs w:val="21"/>
        </w:rPr>
      </w:pPr>
      <w:r w:rsidRPr="00C95808">
        <w:rPr>
          <w:rFonts w:ascii="新宋体" w:eastAsia="新宋体" w:hAnsi="新宋体" w:hint="eastAsia"/>
          <w:color w:val="000000" w:themeColor="text1"/>
          <w:sz w:val="21"/>
          <w:szCs w:val="21"/>
        </w:rPr>
        <w:t>九江石化和宁波富德</w:t>
      </w:r>
      <w:r>
        <w:rPr>
          <w:rFonts w:ascii="新宋体" w:eastAsia="新宋体" w:hAnsi="新宋体" w:hint="eastAsia"/>
          <w:color w:val="000000" w:themeColor="text1"/>
          <w:sz w:val="21"/>
          <w:szCs w:val="21"/>
        </w:rPr>
        <w:t>检修短期内一定程度上</w:t>
      </w:r>
      <w:r w:rsidRPr="00C95808">
        <w:rPr>
          <w:rFonts w:ascii="新宋体" w:eastAsia="新宋体" w:hAnsi="新宋体" w:hint="eastAsia"/>
          <w:color w:val="000000" w:themeColor="text1"/>
          <w:sz w:val="21"/>
          <w:szCs w:val="21"/>
        </w:rPr>
        <w:t>支撑塑料和PP走势，但进入11月中旬之后，随着青岛大炼油、中煤等装置陆续正常开工，货源供应有望增加，加之山东联泓、宁夏宝丰的投产，预计市场供应将回归充足的局，聚丙烯长期内大趋势仍趋弱。考虑到</w:t>
      </w:r>
      <w:proofErr w:type="gramStart"/>
      <w:r w:rsidRPr="00C95808">
        <w:rPr>
          <w:rFonts w:ascii="新宋体" w:eastAsia="新宋体" w:hAnsi="新宋体" w:hint="eastAsia"/>
          <w:color w:val="000000" w:themeColor="text1"/>
          <w:sz w:val="21"/>
          <w:szCs w:val="21"/>
        </w:rPr>
        <w:t>目前基差较大</w:t>
      </w:r>
      <w:proofErr w:type="gramEnd"/>
      <w:r w:rsidRPr="00C95808">
        <w:rPr>
          <w:rFonts w:ascii="新宋体" w:eastAsia="新宋体" w:hAnsi="新宋体" w:hint="eastAsia"/>
          <w:color w:val="000000" w:themeColor="text1"/>
          <w:sz w:val="21"/>
          <w:szCs w:val="21"/>
        </w:rPr>
        <w:t>，且临近交割期，建议投资者</w:t>
      </w:r>
      <w:proofErr w:type="gramStart"/>
      <w:r w:rsidRPr="00C95808">
        <w:rPr>
          <w:rFonts w:ascii="新宋体" w:eastAsia="新宋体" w:hAnsi="新宋体" w:hint="eastAsia"/>
          <w:color w:val="000000" w:themeColor="text1"/>
          <w:sz w:val="21"/>
          <w:szCs w:val="21"/>
        </w:rPr>
        <w:t>待基差</w:t>
      </w:r>
      <w:proofErr w:type="gramEnd"/>
      <w:r w:rsidRPr="00C95808">
        <w:rPr>
          <w:rFonts w:ascii="新宋体" w:eastAsia="新宋体" w:hAnsi="新宋体" w:hint="eastAsia"/>
          <w:color w:val="000000" w:themeColor="text1"/>
          <w:sz w:val="21"/>
          <w:szCs w:val="21"/>
        </w:rPr>
        <w:t>缩小到一定范围内可继续做空PP。</w:t>
      </w:r>
    </w:p>
    <w:p w:rsidR="00D80081" w:rsidRPr="00B5448C" w:rsidRDefault="00D80081" w:rsidP="00F167DF">
      <w:pPr>
        <w:spacing w:line="360" w:lineRule="auto"/>
        <w:ind w:firstLine="432"/>
        <w:rPr>
          <w:rFonts w:ascii="新宋体" w:eastAsia="新宋体" w:hAnsi="新宋体"/>
          <w:color w:val="000000" w:themeColor="text1"/>
          <w:kern w:val="2"/>
          <w:sz w:val="21"/>
          <w:szCs w:val="21"/>
        </w:rPr>
      </w:pPr>
    </w:p>
    <w:p w:rsidR="009A2E63" w:rsidRPr="00D80081" w:rsidRDefault="009A2E63" w:rsidP="009A2E63">
      <w:pPr>
        <w:rPr>
          <w:rFonts w:ascii="楷体_GB2312" w:eastAsia="楷体_GB2312" w:hAnsi="宋体"/>
          <w:sz w:val="24"/>
          <w:szCs w:val="24"/>
        </w:rPr>
      </w:pPr>
    </w:p>
    <w:p w:rsidR="00EA44C5" w:rsidRDefault="00814639" w:rsidP="00814639">
      <w:pPr>
        <w:spacing w:before="100" w:beforeAutospacing="1" w:after="100" w:afterAutospacing="1"/>
        <w:jc w:val="center"/>
        <w:rPr>
          <w:rFonts w:ascii="新宋体" w:eastAsia="新宋体" w:hAnsi="新宋体" w:hint="eastAsia"/>
          <w:b/>
          <w:color w:val="000000" w:themeColor="text1"/>
          <w:sz w:val="32"/>
          <w:szCs w:val="32"/>
        </w:rPr>
      </w:pPr>
      <w:r w:rsidRPr="00814639">
        <w:rPr>
          <w:rFonts w:ascii="新宋体" w:eastAsia="新宋体" w:hAnsi="新宋体" w:hint="eastAsia"/>
          <w:b/>
          <w:color w:val="000000" w:themeColor="text1"/>
          <w:sz w:val="32"/>
          <w:szCs w:val="32"/>
        </w:rPr>
        <w:t>二、</w:t>
      </w:r>
      <w:r>
        <w:rPr>
          <w:rFonts w:ascii="新宋体" w:eastAsia="新宋体" w:hAnsi="新宋体" w:hint="eastAsia"/>
          <w:b/>
          <w:color w:val="000000" w:themeColor="text1"/>
          <w:sz w:val="32"/>
          <w:szCs w:val="32"/>
        </w:rPr>
        <w:t>煤、焦、铁矿石</w:t>
      </w:r>
      <w:r w:rsidRPr="00814639">
        <w:rPr>
          <w:rFonts w:ascii="新宋体" w:eastAsia="新宋体" w:hAnsi="新宋体" w:hint="eastAsia"/>
          <w:b/>
          <w:color w:val="000000" w:themeColor="text1"/>
          <w:sz w:val="32"/>
          <w:szCs w:val="32"/>
        </w:rPr>
        <w:t>交易策略</w:t>
      </w:r>
    </w:p>
    <w:p w:rsidR="00B5448C" w:rsidRPr="00B5448C" w:rsidRDefault="00B5448C" w:rsidP="00B5448C">
      <w:pPr>
        <w:spacing w:before="100" w:beforeAutospacing="1" w:after="100" w:afterAutospacing="1"/>
        <w:rPr>
          <w:rFonts w:ascii="新宋体" w:eastAsia="新宋体" w:hAnsi="新宋体"/>
          <w:b/>
          <w:color w:val="000000" w:themeColor="text1"/>
          <w:sz w:val="21"/>
          <w:szCs w:val="21"/>
        </w:rPr>
      </w:pPr>
      <w:r w:rsidRPr="00B5448C">
        <w:rPr>
          <w:rFonts w:ascii="新宋体" w:eastAsia="新宋体" w:hAnsi="新宋体" w:hint="eastAsia"/>
          <w:b/>
          <w:color w:val="000000" w:themeColor="text1"/>
          <w:sz w:val="21"/>
          <w:szCs w:val="21"/>
        </w:rPr>
        <w:t>煤、焦、</w:t>
      </w:r>
      <w:proofErr w:type="gramStart"/>
      <w:r w:rsidRPr="00B5448C">
        <w:rPr>
          <w:rFonts w:ascii="新宋体" w:eastAsia="新宋体" w:hAnsi="新宋体" w:hint="eastAsia"/>
          <w:b/>
          <w:color w:val="000000" w:themeColor="text1"/>
          <w:sz w:val="21"/>
          <w:szCs w:val="21"/>
        </w:rPr>
        <w:t>矿</w:t>
      </w:r>
      <w:r w:rsidRPr="00B5448C">
        <w:rPr>
          <w:rFonts w:ascii="新宋体" w:eastAsia="新宋体" w:hAnsi="新宋体" w:hint="eastAsia"/>
          <w:b/>
          <w:color w:val="000000" w:themeColor="text1"/>
          <w:sz w:val="21"/>
          <w:szCs w:val="21"/>
        </w:rPr>
        <w:t>仍</w:t>
      </w:r>
      <w:r w:rsidRPr="00B5448C">
        <w:rPr>
          <w:rFonts w:ascii="新宋体" w:eastAsia="新宋体" w:hAnsi="新宋体" w:hint="eastAsia"/>
          <w:b/>
          <w:color w:val="000000" w:themeColor="text1"/>
          <w:sz w:val="21"/>
          <w:szCs w:val="21"/>
        </w:rPr>
        <w:t>处于</w:t>
      </w:r>
      <w:proofErr w:type="gramEnd"/>
      <w:r w:rsidRPr="00B5448C">
        <w:rPr>
          <w:rFonts w:ascii="新宋体" w:eastAsia="新宋体" w:hAnsi="新宋体" w:hint="eastAsia"/>
          <w:b/>
          <w:color w:val="000000" w:themeColor="text1"/>
          <w:sz w:val="21"/>
          <w:szCs w:val="21"/>
        </w:rPr>
        <w:t>缓慢震荡筑底过程</w:t>
      </w:r>
    </w:p>
    <w:p w:rsidR="002603BF" w:rsidRPr="002603BF" w:rsidRDefault="002603BF" w:rsidP="002603BF">
      <w:pPr>
        <w:spacing w:line="360" w:lineRule="auto"/>
        <w:ind w:firstLine="432"/>
        <w:rPr>
          <w:rFonts w:ascii="新宋体" w:eastAsia="新宋体" w:hAnsi="新宋体"/>
          <w:color w:val="000000" w:themeColor="text1"/>
          <w:kern w:val="2"/>
          <w:sz w:val="21"/>
          <w:szCs w:val="21"/>
        </w:rPr>
      </w:pPr>
      <w:r w:rsidRPr="002603BF">
        <w:rPr>
          <w:rFonts w:ascii="新宋体" w:eastAsia="新宋体" w:hAnsi="新宋体" w:hint="eastAsia"/>
          <w:color w:val="000000" w:themeColor="text1"/>
          <w:kern w:val="2"/>
          <w:sz w:val="21"/>
          <w:szCs w:val="21"/>
        </w:rPr>
        <w:t>由于黑色产业处于产能过剩，去库存周期调整过程中，今年以来黑色品种持续下行寻底。进入传统旺季9月，黑色品种的跌势也并没有改变。随着经济下行压力的增大，10月到11月政府“托底”意图明显，政策刺激不断。“二套房新政”“铁路项目投资提速”“各种自贸区”“丝绸之路”</w:t>
      </w:r>
      <w:r w:rsidRPr="002603BF">
        <w:rPr>
          <w:rFonts w:ascii="新宋体" w:eastAsia="新宋体" w:hAnsi="新宋体"/>
          <w:color w:val="000000" w:themeColor="text1"/>
          <w:kern w:val="2"/>
          <w:sz w:val="21"/>
          <w:szCs w:val="21"/>
        </w:rPr>
        <w:t>……等等题材不断</w:t>
      </w:r>
      <w:r w:rsidRPr="002603BF">
        <w:rPr>
          <w:rFonts w:ascii="新宋体" w:eastAsia="新宋体" w:hAnsi="新宋体" w:hint="eastAsia"/>
          <w:color w:val="000000" w:themeColor="text1"/>
          <w:kern w:val="2"/>
          <w:sz w:val="21"/>
          <w:szCs w:val="21"/>
        </w:rPr>
        <w:t>，</w:t>
      </w:r>
      <w:r w:rsidRPr="002603BF">
        <w:rPr>
          <w:rFonts w:ascii="新宋体" w:eastAsia="新宋体" w:hAnsi="新宋体"/>
          <w:color w:val="000000" w:themeColor="text1"/>
          <w:kern w:val="2"/>
          <w:sz w:val="21"/>
          <w:szCs w:val="21"/>
        </w:rPr>
        <w:t>政策的轮番上阵也使得股市不断刷新高点</w:t>
      </w:r>
      <w:r w:rsidRPr="002603BF">
        <w:rPr>
          <w:rFonts w:ascii="新宋体" w:eastAsia="新宋体" w:hAnsi="新宋体" w:hint="eastAsia"/>
          <w:color w:val="000000" w:themeColor="text1"/>
          <w:kern w:val="2"/>
          <w:sz w:val="21"/>
          <w:szCs w:val="21"/>
        </w:rPr>
        <w:t>，</w:t>
      </w:r>
      <w:r w:rsidRPr="002603BF">
        <w:rPr>
          <w:rFonts w:ascii="新宋体" w:eastAsia="新宋体" w:hAnsi="新宋体"/>
          <w:color w:val="000000" w:themeColor="text1"/>
          <w:kern w:val="2"/>
          <w:sz w:val="21"/>
          <w:szCs w:val="21"/>
        </w:rPr>
        <w:t>市场做多热情高涨</w:t>
      </w:r>
      <w:r w:rsidRPr="002603BF">
        <w:rPr>
          <w:rFonts w:ascii="新宋体" w:eastAsia="新宋体" w:hAnsi="新宋体" w:hint="eastAsia"/>
          <w:color w:val="000000" w:themeColor="text1"/>
          <w:kern w:val="2"/>
          <w:sz w:val="21"/>
          <w:szCs w:val="21"/>
        </w:rPr>
        <w:t>。</w:t>
      </w:r>
      <w:r w:rsidRPr="002603BF">
        <w:rPr>
          <w:rFonts w:ascii="新宋体" w:eastAsia="新宋体" w:hAnsi="新宋体"/>
          <w:color w:val="000000" w:themeColor="text1"/>
          <w:kern w:val="2"/>
          <w:sz w:val="21"/>
          <w:szCs w:val="21"/>
        </w:rPr>
        <w:t>受其鼓舞</w:t>
      </w:r>
      <w:r w:rsidRPr="002603BF">
        <w:rPr>
          <w:rFonts w:ascii="新宋体" w:eastAsia="新宋体" w:hAnsi="新宋体" w:hint="eastAsia"/>
          <w:color w:val="000000" w:themeColor="text1"/>
          <w:kern w:val="2"/>
          <w:sz w:val="21"/>
          <w:szCs w:val="21"/>
        </w:rPr>
        <w:t>，10月后黑色品种跌幅明显放缓，且在“APEC会议限产”题材的带动下，黑色品种起底反弹。但天气变冷黑色系终端实际需求持续减弱，叠加去库存周期，在经济环境没有明显起</w:t>
      </w:r>
      <w:proofErr w:type="gramStart"/>
      <w:r w:rsidRPr="002603BF">
        <w:rPr>
          <w:rFonts w:ascii="新宋体" w:eastAsia="新宋体" w:hAnsi="新宋体" w:hint="eastAsia"/>
          <w:color w:val="000000" w:themeColor="text1"/>
          <w:kern w:val="2"/>
          <w:sz w:val="21"/>
          <w:szCs w:val="21"/>
        </w:rPr>
        <w:t>底恢复</w:t>
      </w:r>
      <w:proofErr w:type="gramEnd"/>
      <w:r w:rsidRPr="002603BF">
        <w:rPr>
          <w:rFonts w:ascii="新宋体" w:eastAsia="新宋体" w:hAnsi="新宋体" w:hint="eastAsia"/>
          <w:color w:val="000000" w:themeColor="text1"/>
          <w:kern w:val="2"/>
          <w:sz w:val="21"/>
          <w:szCs w:val="21"/>
        </w:rPr>
        <w:t>或者行业经历新一轮洗牌之前，产能过剩去库存周期仍然是主题。但是政府行为可以将这个周期滞后，基于此判断，在比赛结束前以偏空的震荡思路操作。</w:t>
      </w:r>
    </w:p>
    <w:p w:rsidR="002603BF" w:rsidRPr="002603BF" w:rsidRDefault="002603BF" w:rsidP="002603BF">
      <w:pPr>
        <w:spacing w:before="100" w:beforeAutospacing="1" w:after="100" w:afterAutospacing="1"/>
        <w:rPr>
          <w:rFonts w:ascii="新宋体" w:eastAsia="新宋体" w:hAnsi="新宋体"/>
          <w:b/>
          <w:color w:val="000000" w:themeColor="text1"/>
          <w:sz w:val="21"/>
          <w:szCs w:val="21"/>
        </w:rPr>
      </w:pPr>
      <w:r>
        <w:rPr>
          <w:rFonts w:ascii="新宋体" w:eastAsia="新宋体" w:hAnsi="新宋体" w:hint="eastAsia"/>
          <w:b/>
          <w:color w:val="000000" w:themeColor="text1"/>
          <w:sz w:val="21"/>
          <w:szCs w:val="21"/>
        </w:rPr>
        <w:t>一、</w:t>
      </w:r>
      <w:r w:rsidRPr="002603BF">
        <w:rPr>
          <w:rFonts w:ascii="新宋体" w:eastAsia="新宋体" w:hAnsi="新宋体"/>
          <w:b/>
          <w:color w:val="000000" w:themeColor="text1"/>
          <w:sz w:val="21"/>
          <w:szCs w:val="21"/>
        </w:rPr>
        <w:t>焦煤</w:t>
      </w:r>
      <w:r w:rsidRPr="002603BF">
        <w:rPr>
          <w:rFonts w:ascii="新宋体" w:eastAsia="新宋体" w:hAnsi="新宋体" w:hint="eastAsia"/>
          <w:b/>
          <w:color w:val="000000" w:themeColor="text1"/>
          <w:sz w:val="21"/>
          <w:szCs w:val="21"/>
        </w:rPr>
        <w:t>：</w:t>
      </w:r>
      <w:r w:rsidRPr="002603BF">
        <w:rPr>
          <w:rFonts w:ascii="新宋体" w:eastAsia="新宋体" w:hAnsi="新宋体"/>
          <w:b/>
          <w:color w:val="000000" w:themeColor="text1"/>
          <w:sz w:val="21"/>
          <w:szCs w:val="21"/>
        </w:rPr>
        <w:t>仍处探底阶段</w:t>
      </w:r>
    </w:p>
    <w:p w:rsidR="002603BF" w:rsidRPr="002603BF" w:rsidRDefault="002603BF" w:rsidP="002603BF">
      <w:pPr>
        <w:spacing w:line="360" w:lineRule="auto"/>
        <w:ind w:firstLine="432"/>
        <w:rPr>
          <w:rFonts w:ascii="新宋体" w:eastAsia="新宋体" w:hAnsi="新宋体"/>
          <w:color w:val="000000" w:themeColor="text1"/>
          <w:kern w:val="2"/>
          <w:sz w:val="21"/>
          <w:szCs w:val="21"/>
        </w:rPr>
      </w:pPr>
      <w:r w:rsidRPr="002603BF">
        <w:rPr>
          <w:rFonts w:ascii="新宋体" w:eastAsia="新宋体" w:hAnsi="新宋体" w:hint="eastAsia"/>
          <w:color w:val="000000" w:themeColor="text1"/>
          <w:kern w:val="2"/>
          <w:sz w:val="21"/>
          <w:szCs w:val="21"/>
        </w:rPr>
        <w:t>2014年以来由于</w:t>
      </w:r>
      <w:proofErr w:type="gramStart"/>
      <w:r w:rsidRPr="002603BF">
        <w:rPr>
          <w:rFonts w:ascii="新宋体" w:eastAsia="新宋体" w:hAnsi="新宋体" w:hint="eastAsia"/>
          <w:color w:val="000000" w:themeColor="text1"/>
          <w:kern w:val="2"/>
          <w:sz w:val="21"/>
          <w:szCs w:val="21"/>
        </w:rPr>
        <w:t>进口煤有较大</w:t>
      </w:r>
      <w:proofErr w:type="gramEnd"/>
      <w:r w:rsidRPr="002603BF">
        <w:rPr>
          <w:rFonts w:ascii="新宋体" w:eastAsia="新宋体" w:hAnsi="新宋体" w:hint="eastAsia"/>
          <w:color w:val="000000" w:themeColor="text1"/>
          <w:kern w:val="2"/>
          <w:sz w:val="21"/>
          <w:szCs w:val="21"/>
        </w:rPr>
        <w:t>的价格优势，对国内煤炭市场的影响非常明显。但由于今年以来钢材市场的过剩，价格的走低，导致炼焦煤进口量同比下降明显。中国海关总署公布的数据显示，9月煤及褐煤进口2116万吨，环比增长12.2%，同比下降17.8%，中国进口煤炭量已连续3个月同比</w:t>
      </w:r>
      <w:proofErr w:type="gramStart"/>
      <w:r w:rsidRPr="002603BF">
        <w:rPr>
          <w:rFonts w:ascii="新宋体" w:eastAsia="新宋体" w:hAnsi="新宋体" w:hint="eastAsia"/>
          <w:color w:val="000000" w:themeColor="text1"/>
          <w:kern w:val="2"/>
          <w:sz w:val="21"/>
          <w:szCs w:val="21"/>
        </w:rPr>
        <w:t>降幅超</w:t>
      </w:r>
      <w:proofErr w:type="gramEnd"/>
      <w:r w:rsidRPr="002603BF">
        <w:rPr>
          <w:rFonts w:ascii="新宋体" w:eastAsia="新宋体" w:hAnsi="新宋体" w:hint="eastAsia"/>
          <w:color w:val="000000" w:themeColor="text1"/>
          <w:kern w:val="2"/>
          <w:sz w:val="21"/>
          <w:szCs w:val="21"/>
        </w:rPr>
        <w:t>两成：其中炼焦煤进口450.1万吨，同比下降37.94%；1-9月我国累计进口炼焦煤4433.1万吨，同比降幅为19%。9月份全国煤炭出口44万吨，同比减少1万吨，减幅2.2%；环比减少5万吨，减幅10.2%；1—9月份累计出口437万吨，同比减少183万吨，减幅29.5%。随着10月煤炭进口关税政策的调整，煤炭进口的量将继续缩减，基于此政策的影响。</w:t>
      </w:r>
    </w:p>
    <w:p w:rsidR="002603BF" w:rsidRPr="002603BF" w:rsidRDefault="002603BF" w:rsidP="002603BF">
      <w:pPr>
        <w:pStyle w:val="a3"/>
        <w:spacing w:after="0" w:line="480" w:lineRule="atLeast"/>
        <w:jc w:val="center"/>
        <w:rPr>
          <w:rFonts w:ascii="新宋体" w:eastAsia="新宋体" w:hAnsi="新宋体"/>
          <w:color w:val="000000" w:themeColor="text1"/>
          <w:sz w:val="21"/>
          <w:szCs w:val="21"/>
        </w:rPr>
      </w:pPr>
      <w:r w:rsidRPr="002603BF">
        <w:rPr>
          <w:rFonts w:ascii="新宋体" w:eastAsia="新宋体" w:hAnsi="新宋体" w:hint="eastAsia"/>
          <w:color w:val="000000" w:themeColor="text1"/>
          <w:sz w:val="21"/>
          <w:szCs w:val="21"/>
        </w:rPr>
        <w:lastRenderedPageBreak/>
        <w:t>图1：原煤净进口量及出口、进口均价走势</w:t>
      </w:r>
      <w:r w:rsidRPr="002603BF">
        <w:rPr>
          <w:rFonts w:ascii="新宋体" w:eastAsia="新宋体" w:hAnsi="新宋体"/>
          <w:color w:val="000000" w:themeColor="text1"/>
          <w:sz w:val="21"/>
          <w:szCs w:val="21"/>
        </w:rPr>
        <w:tab/>
      </w:r>
    </w:p>
    <w:p w:rsidR="002603BF" w:rsidRDefault="002603BF" w:rsidP="002603BF">
      <w:pPr>
        <w:jc w:val="center"/>
      </w:pPr>
      <w:r>
        <w:rPr>
          <w:noProof/>
        </w:rPr>
        <w:drawing>
          <wp:inline distT="0" distB="0" distL="0" distR="0" wp14:anchorId="7C5D14D7" wp14:editId="19F5695B">
            <wp:extent cx="4320000" cy="2520000"/>
            <wp:effectExtent l="0" t="0" r="4445" b="0"/>
            <wp:docPr id="8"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5"/>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a:ln>
                      <a:noFill/>
                    </a:ln>
                  </pic:spPr>
                </pic:pic>
              </a:graphicData>
            </a:graphic>
          </wp:inline>
        </w:drawing>
      </w:r>
    </w:p>
    <w:p w:rsidR="002603BF" w:rsidRPr="002603BF" w:rsidRDefault="002603BF" w:rsidP="002603BF">
      <w:pPr>
        <w:pStyle w:val="a3"/>
        <w:spacing w:after="0" w:line="480" w:lineRule="atLeast"/>
        <w:jc w:val="center"/>
        <w:rPr>
          <w:rFonts w:ascii="新宋体" w:eastAsia="新宋体" w:hAnsi="新宋体"/>
          <w:color w:val="000000" w:themeColor="text1"/>
          <w:sz w:val="21"/>
          <w:szCs w:val="21"/>
        </w:rPr>
      </w:pPr>
      <w:r w:rsidRPr="002603BF">
        <w:rPr>
          <w:rFonts w:ascii="新宋体" w:eastAsia="新宋体" w:hAnsi="新宋体" w:hint="eastAsia"/>
          <w:color w:val="000000" w:themeColor="text1"/>
          <w:sz w:val="21"/>
          <w:szCs w:val="21"/>
        </w:rPr>
        <w:t>数据来源：海关总署、方正中期期货研究院整理</w:t>
      </w:r>
    </w:p>
    <w:p w:rsidR="002603BF" w:rsidRPr="002603BF" w:rsidRDefault="002603BF" w:rsidP="002603BF">
      <w:pPr>
        <w:pStyle w:val="a3"/>
        <w:spacing w:after="0" w:line="480" w:lineRule="atLeast"/>
        <w:jc w:val="center"/>
        <w:rPr>
          <w:rFonts w:ascii="新宋体" w:eastAsia="新宋体" w:hAnsi="新宋体"/>
          <w:color w:val="000000" w:themeColor="text1"/>
          <w:sz w:val="21"/>
          <w:szCs w:val="21"/>
        </w:rPr>
      </w:pPr>
      <w:r w:rsidRPr="002603BF">
        <w:rPr>
          <w:rFonts w:ascii="新宋体" w:eastAsia="新宋体" w:hAnsi="新宋体" w:hint="eastAsia"/>
          <w:color w:val="000000" w:themeColor="text1"/>
          <w:sz w:val="21"/>
          <w:szCs w:val="21"/>
        </w:rPr>
        <w:t>图2：冶金煤净进口量及出口、进口均价走势</w:t>
      </w:r>
    </w:p>
    <w:p w:rsidR="002603BF" w:rsidRDefault="002603BF" w:rsidP="002603BF">
      <w:pPr>
        <w:jc w:val="center"/>
      </w:pPr>
      <w:r>
        <w:rPr>
          <w:noProof/>
        </w:rPr>
        <w:drawing>
          <wp:inline distT="0" distB="0" distL="0" distR="0" wp14:anchorId="76D77516" wp14:editId="42B3D390">
            <wp:extent cx="4320000" cy="2520000"/>
            <wp:effectExtent l="0" t="0" r="4445" b="0"/>
            <wp:docPr id="14"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6"/>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a:ln>
                      <a:noFill/>
                    </a:ln>
                  </pic:spPr>
                </pic:pic>
              </a:graphicData>
            </a:graphic>
          </wp:inline>
        </w:drawing>
      </w:r>
    </w:p>
    <w:p w:rsidR="002603BF" w:rsidRPr="002603BF" w:rsidRDefault="002603BF" w:rsidP="002603BF">
      <w:pPr>
        <w:pStyle w:val="a3"/>
        <w:spacing w:after="0" w:line="480" w:lineRule="atLeast"/>
        <w:jc w:val="center"/>
        <w:rPr>
          <w:rFonts w:ascii="新宋体" w:eastAsia="新宋体" w:hAnsi="新宋体"/>
          <w:color w:val="000000" w:themeColor="text1"/>
          <w:sz w:val="21"/>
          <w:szCs w:val="21"/>
        </w:rPr>
      </w:pPr>
      <w:r w:rsidRPr="002603BF">
        <w:rPr>
          <w:rFonts w:ascii="新宋体" w:eastAsia="新宋体" w:hAnsi="新宋体" w:hint="eastAsia"/>
          <w:color w:val="000000" w:themeColor="text1"/>
          <w:sz w:val="21"/>
          <w:szCs w:val="21"/>
        </w:rPr>
        <w:t>数据来源：海关总署、方正中期期货研究院整理</w:t>
      </w:r>
    </w:p>
    <w:p w:rsidR="002603BF" w:rsidRDefault="002603BF" w:rsidP="002603BF"/>
    <w:p w:rsidR="002603BF" w:rsidRPr="002603BF" w:rsidRDefault="002603BF" w:rsidP="002603BF">
      <w:pPr>
        <w:spacing w:before="100" w:beforeAutospacing="1" w:after="100" w:afterAutospacing="1"/>
        <w:rPr>
          <w:rFonts w:ascii="新宋体" w:eastAsia="新宋体" w:hAnsi="新宋体"/>
          <w:b/>
          <w:color w:val="000000" w:themeColor="text1"/>
          <w:sz w:val="21"/>
          <w:szCs w:val="21"/>
        </w:rPr>
      </w:pPr>
      <w:r>
        <w:rPr>
          <w:rFonts w:ascii="新宋体" w:eastAsia="新宋体" w:hAnsi="新宋体" w:hint="eastAsia"/>
          <w:b/>
          <w:color w:val="000000" w:themeColor="text1"/>
          <w:sz w:val="21"/>
          <w:szCs w:val="21"/>
        </w:rPr>
        <w:t>1、</w:t>
      </w:r>
      <w:r w:rsidRPr="002603BF">
        <w:rPr>
          <w:rFonts w:ascii="新宋体" w:eastAsia="新宋体" w:hAnsi="新宋体" w:hint="eastAsia"/>
          <w:b/>
          <w:color w:val="000000" w:themeColor="text1"/>
          <w:sz w:val="21"/>
          <w:szCs w:val="21"/>
        </w:rPr>
        <w:t>9月煤炭</w:t>
      </w:r>
      <w:proofErr w:type="gramStart"/>
      <w:r w:rsidRPr="002603BF">
        <w:rPr>
          <w:rFonts w:ascii="新宋体" w:eastAsia="新宋体" w:hAnsi="新宋体" w:hint="eastAsia"/>
          <w:b/>
          <w:color w:val="000000" w:themeColor="text1"/>
          <w:sz w:val="21"/>
          <w:szCs w:val="21"/>
        </w:rPr>
        <w:t>产销量环比</w:t>
      </w:r>
      <w:proofErr w:type="gramEnd"/>
      <w:r w:rsidRPr="002603BF">
        <w:rPr>
          <w:rFonts w:ascii="新宋体" w:eastAsia="新宋体" w:hAnsi="新宋体" w:hint="eastAsia"/>
          <w:b/>
          <w:color w:val="000000" w:themeColor="text1"/>
          <w:sz w:val="21"/>
          <w:szCs w:val="21"/>
        </w:rPr>
        <w:t>均下降行业景气度有望好转</w:t>
      </w:r>
    </w:p>
    <w:p w:rsidR="002603BF" w:rsidRPr="002603BF" w:rsidRDefault="002603BF" w:rsidP="002603BF">
      <w:pPr>
        <w:spacing w:line="360" w:lineRule="auto"/>
        <w:ind w:firstLine="432"/>
        <w:rPr>
          <w:rFonts w:ascii="新宋体" w:eastAsia="新宋体" w:hAnsi="新宋体"/>
          <w:color w:val="000000" w:themeColor="text1"/>
          <w:kern w:val="2"/>
          <w:sz w:val="21"/>
          <w:szCs w:val="21"/>
        </w:rPr>
      </w:pPr>
      <w:r w:rsidRPr="002603BF">
        <w:rPr>
          <w:rFonts w:ascii="新宋体" w:eastAsia="新宋体" w:hAnsi="新宋体" w:hint="eastAsia"/>
          <w:color w:val="000000" w:themeColor="text1"/>
          <w:kern w:val="2"/>
          <w:sz w:val="21"/>
          <w:szCs w:val="21"/>
        </w:rPr>
        <w:t>国家统计局最新数据显示，2014年9月全国原煤产量29200万吨，同比大幅缩减2300万吨，降幅为7.3%，环比减少1000万吨，降幅为3.31%，其中国有重点煤矿单月降幅达12%，</w:t>
      </w:r>
      <w:r w:rsidRPr="002603BF">
        <w:rPr>
          <w:rFonts w:ascii="新宋体" w:eastAsia="新宋体" w:hAnsi="新宋体" w:hint="eastAsia"/>
          <w:color w:val="000000" w:themeColor="text1"/>
          <w:kern w:val="2"/>
          <w:sz w:val="21"/>
          <w:szCs w:val="21"/>
        </w:rPr>
        <w:lastRenderedPageBreak/>
        <w:t>政策减产效应较明显，生产方面有所控制；炼焦精煤产量4830万吨，环比增幅为-0.81%，累计同比0.48%，炼焦煤总供给量为5280.18万吨，同比-5.54%，环比0.5%；炼焦煤总需求量5277.8万吨，同比增长-2.29%，环比-0.56%，市场供应略显宽松，供需面基本平衡；整体看，前三季度，煤炭市场延续自去年底以来的下降态势，需求低速增长，煤炭总产量负增长，第四季度受政策调控、内外贸价差缩小、季节性因素、终端冬储需求等影响，煤炭供应量同比将缓慢回缩。</w:t>
      </w:r>
    </w:p>
    <w:p w:rsidR="002603BF" w:rsidRPr="002603BF" w:rsidRDefault="002603BF" w:rsidP="002603BF">
      <w:pPr>
        <w:spacing w:line="360" w:lineRule="auto"/>
        <w:ind w:firstLine="432"/>
        <w:rPr>
          <w:rFonts w:ascii="新宋体" w:eastAsia="新宋体" w:hAnsi="新宋体"/>
          <w:color w:val="000000" w:themeColor="text1"/>
          <w:kern w:val="2"/>
          <w:sz w:val="21"/>
          <w:szCs w:val="21"/>
        </w:rPr>
      </w:pPr>
      <w:r w:rsidRPr="002603BF">
        <w:rPr>
          <w:rFonts w:ascii="新宋体" w:eastAsia="新宋体" w:hAnsi="新宋体" w:hint="eastAsia"/>
          <w:color w:val="000000" w:themeColor="text1"/>
          <w:kern w:val="2"/>
          <w:sz w:val="21"/>
          <w:szCs w:val="21"/>
        </w:rPr>
        <w:t>投资继续低迷。根据统计局公布的2014年1-9月份，煤炭开采和</w:t>
      </w:r>
      <w:proofErr w:type="gramStart"/>
      <w:r w:rsidRPr="002603BF">
        <w:rPr>
          <w:rFonts w:ascii="新宋体" w:eastAsia="新宋体" w:hAnsi="新宋体" w:hint="eastAsia"/>
          <w:color w:val="000000" w:themeColor="text1"/>
          <w:kern w:val="2"/>
          <w:sz w:val="21"/>
          <w:szCs w:val="21"/>
        </w:rPr>
        <w:t>洗选业</w:t>
      </w:r>
      <w:proofErr w:type="gramEnd"/>
      <w:r w:rsidRPr="002603BF">
        <w:rPr>
          <w:rFonts w:ascii="新宋体" w:eastAsia="新宋体" w:hAnsi="新宋体" w:hint="eastAsia"/>
          <w:color w:val="000000" w:themeColor="text1"/>
          <w:kern w:val="2"/>
          <w:sz w:val="21"/>
          <w:szCs w:val="21"/>
        </w:rPr>
        <w:t>固定资产投资累计为3559亿元，同比下降-3.8％。对于涉及煤炭开采以及洗选的企业来说，国家对整体煤炭行业的固定资产投资完成额是表示其对这个行业固定资产投资规模、速度、比例和使用方向的一个重要指标。持续下降显示了国家对该行业的调整的方向。这也意味着产能的增加将受到更大的限制。</w:t>
      </w:r>
    </w:p>
    <w:p w:rsidR="002603BF" w:rsidRPr="002603BF" w:rsidRDefault="002603BF" w:rsidP="002603BF">
      <w:pPr>
        <w:spacing w:line="360" w:lineRule="auto"/>
        <w:ind w:firstLine="432"/>
        <w:rPr>
          <w:rFonts w:ascii="新宋体" w:eastAsia="新宋体" w:hAnsi="新宋体"/>
          <w:color w:val="000000" w:themeColor="text1"/>
          <w:kern w:val="2"/>
          <w:sz w:val="21"/>
          <w:szCs w:val="21"/>
        </w:rPr>
      </w:pPr>
    </w:p>
    <w:p w:rsidR="002603BF" w:rsidRPr="002603BF" w:rsidRDefault="002603BF" w:rsidP="002603BF">
      <w:pPr>
        <w:pStyle w:val="a3"/>
        <w:spacing w:after="0" w:line="480" w:lineRule="atLeast"/>
        <w:jc w:val="center"/>
        <w:rPr>
          <w:rFonts w:ascii="新宋体" w:eastAsia="新宋体" w:hAnsi="新宋体"/>
          <w:color w:val="000000" w:themeColor="text1"/>
          <w:sz w:val="21"/>
          <w:szCs w:val="21"/>
        </w:rPr>
      </w:pPr>
      <w:r w:rsidRPr="002603BF">
        <w:rPr>
          <w:rFonts w:ascii="新宋体" w:eastAsia="新宋体" w:hAnsi="新宋体" w:hint="eastAsia"/>
          <w:color w:val="000000" w:themeColor="text1"/>
          <w:sz w:val="21"/>
          <w:szCs w:val="21"/>
        </w:rPr>
        <w:t>图3：全国原煤产量与同比走势</w:t>
      </w:r>
    </w:p>
    <w:p w:rsidR="002603BF" w:rsidRDefault="002603BF" w:rsidP="002603BF">
      <w:pPr>
        <w:jc w:val="center"/>
      </w:pPr>
      <w:r>
        <w:rPr>
          <w:noProof/>
        </w:rPr>
        <w:drawing>
          <wp:inline distT="0" distB="0" distL="0" distR="0" wp14:anchorId="07C81DD9" wp14:editId="232DBBD7">
            <wp:extent cx="4305300" cy="2346960"/>
            <wp:effectExtent l="0" t="0" r="0" b="0"/>
            <wp:docPr id="18"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3"/>
                    <pic:cNvPicPr>
                      <a:picLocks noChangeArrowheads="1"/>
                    </pic:cNvPicPr>
                  </pic:nvPicPr>
                  <pic:blipFill>
                    <a:blip r:embed="rId11">
                      <a:extLst>
                        <a:ext uri="{28A0092B-C50C-407E-A947-70E740481C1C}">
                          <a14:useLocalDpi xmlns:a14="http://schemas.microsoft.com/office/drawing/2010/main" val="0"/>
                        </a:ext>
                      </a:extLst>
                    </a:blip>
                    <a:srcRect l="-1324" t="-5164" r="-2151" b="-5434"/>
                    <a:stretch>
                      <a:fillRect/>
                    </a:stretch>
                  </pic:blipFill>
                  <pic:spPr bwMode="auto">
                    <a:xfrm>
                      <a:off x="0" y="0"/>
                      <a:ext cx="4305300" cy="2346960"/>
                    </a:xfrm>
                    <a:prstGeom prst="rect">
                      <a:avLst/>
                    </a:prstGeom>
                    <a:noFill/>
                    <a:ln>
                      <a:noFill/>
                    </a:ln>
                  </pic:spPr>
                </pic:pic>
              </a:graphicData>
            </a:graphic>
          </wp:inline>
        </w:drawing>
      </w:r>
    </w:p>
    <w:p w:rsidR="002603BF" w:rsidRPr="002603BF" w:rsidRDefault="002603BF" w:rsidP="002603BF">
      <w:pPr>
        <w:pStyle w:val="a3"/>
        <w:spacing w:after="0" w:line="480" w:lineRule="atLeast"/>
        <w:jc w:val="center"/>
        <w:rPr>
          <w:rFonts w:ascii="新宋体" w:eastAsia="新宋体" w:hAnsi="新宋体"/>
          <w:color w:val="000000" w:themeColor="text1"/>
          <w:sz w:val="21"/>
          <w:szCs w:val="21"/>
        </w:rPr>
      </w:pPr>
      <w:r w:rsidRPr="002603BF">
        <w:rPr>
          <w:rFonts w:ascii="新宋体" w:eastAsia="新宋体" w:hAnsi="新宋体" w:hint="eastAsia"/>
          <w:color w:val="000000" w:themeColor="text1"/>
          <w:sz w:val="21"/>
          <w:szCs w:val="21"/>
        </w:rPr>
        <w:t>数据来源：</w:t>
      </w:r>
      <w:proofErr w:type="spellStart"/>
      <w:r w:rsidRPr="002603BF">
        <w:rPr>
          <w:rFonts w:ascii="新宋体" w:eastAsia="新宋体" w:hAnsi="新宋体" w:hint="eastAsia"/>
          <w:color w:val="000000" w:themeColor="text1"/>
          <w:sz w:val="21"/>
          <w:szCs w:val="21"/>
        </w:rPr>
        <w:t>sxcoal</w:t>
      </w:r>
      <w:proofErr w:type="spellEnd"/>
      <w:r w:rsidRPr="002603BF">
        <w:rPr>
          <w:rFonts w:ascii="新宋体" w:eastAsia="新宋体" w:hAnsi="新宋体" w:hint="eastAsia"/>
          <w:color w:val="000000" w:themeColor="text1"/>
          <w:sz w:val="21"/>
          <w:szCs w:val="21"/>
        </w:rPr>
        <w:t>、方正中期期货研究院整理</w:t>
      </w:r>
    </w:p>
    <w:p w:rsidR="002603BF" w:rsidRPr="002603BF" w:rsidRDefault="002603BF" w:rsidP="002603BF">
      <w:pPr>
        <w:pStyle w:val="a3"/>
        <w:spacing w:after="0" w:line="480" w:lineRule="atLeast"/>
        <w:jc w:val="center"/>
        <w:rPr>
          <w:rFonts w:ascii="新宋体" w:eastAsia="新宋体" w:hAnsi="新宋体"/>
          <w:color w:val="000000" w:themeColor="text1"/>
          <w:sz w:val="21"/>
          <w:szCs w:val="21"/>
        </w:rPr>
      </w:pPr>
    </w:p>
    <w:p w:rsidR="002603BF" w:rsidRPr="002603BF" w:rsidRDefault="002603BF" w:rsidP="002603BF">
      <w:pPr>
        <w:pStyle w:val="a3"/>
        <w:spacing w:after="0" w:line="480" w:lineRule="atLeast"/>
        <w:jc w:val="center"/>
        <w:rPr>
          <w:rFonts w:ascii="新宋体" w:eastAsia="新宋体" w:hAnsi="新宋体"/>
          <w:color w:val="000000" w:themeColor="text1"/>
          <w:sz w:val="21"/>
          <w:szCs w:val="21"/>
        </w:rPr>
      </w:pPr>
      <w:r w:rsidRPr="002603BF">
        <w:rPr>
          <w:rFonts w:ascii="新宋体" w:eastAsia="新宋体" w:hAnsi="新宋体" w:hint="eastAsia"/>
          <w:color w:val="000000" w:themeColor="text1"/>
          <w:sz w:val="21"/>
          <w:szCs w:val="21"/>
        </w:rPr>
        <w:t>图4：全国原煤销量与同比走势</w:t>
      </w:r>
    </w:p>
    <w:p w:rsidR="002603BF" w:rsidRDefault="002603BF" w:rsidP="002603BF">
      <w:pPr>
        <w:jc w:val="center"/>
      </w:pPr>
      <w:r>
        <w:rPr>
          <w:noProof/>
        </w:rPr>
        <w:lastRenderedPageBreak/>
        <w:drawing>
          <wp:inline distT="0" distB="0" distL="0" distR="0" wp14:anchorId="2C8BEED0" wp14:editId="0F5574E3">
            <wp:extent cx="4328160" cy="2346960"/>
            <wp:effectExtent l="0" t="0" r="0" b="0"/>
            <wp:docPr id="19" name="图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12">
                      <a:extLst>
                        <a:ext uri="{28A0092B-C50C-407E-A947-70E740481C1C}">
                          <a14:useLocalDpi xmlns:a14="http://schemas.microsoft.com/office/drawing/2010/main" val="0"/>
                        </a:ext>
                      </a:extLst>
                    </a:blip>
                    <a:srcRect b="-116"/>
                    <a:stretch>
                      <a:fillRect/>
                    </a:stretch>
                  </pic:blipFill>
                  <pic:spPr bwMode="auto">
                    <a:xfrm>
                      <a:off x="0" y="0"/>
                      <a:ext cx="4328160" cy="2346960"/>
                    </a:xfrm>
                    <a:prstGeom prst="rect">
                      <a:avLst/>
                    </a:prstGeom>
                    <a:noFill/>
                    <a:ln>
                      <a:noFill/>
                    </a:ln>
                  </pic:spPr>
                </pic:pic>
              </a:graphicData>
            </a:graphic>
          </wp:inline>
        </w:drawing>
      </w:r>
    </w:p>
    <w:p w:rsidR="002603BF" w:rsidRPr="002603BF" w:rsidRDefault="002603BF" w:rsidP="002603BF">
      <w:pPr>
        <w:pStyle w:val="a3"/>
        <w:spacing w:after="0" w:line="480" w:lineRule="atLeast"/>
        <w:jc w:val="center"/>
        <w:rPr>
          <w:rFonts w:ascii="新宋体" w:eastAsia="新宋体" w:hAnsi="新宋体"/>
          <w:color w:val="000000" w:themeColor="text1"/>
          <w:sz w:val="21"/>
          <w:szCs w:val="21"/>
        </w:rPr>
      </w:pPr>
      <w:r w:rsidRPr="002603BF">
        <w:rPr>
          <w:rFonts w:ascii="新宋体" w:eastAsia="新宋体" w:hAnsi="新宋体" w:hint="eastAsia"/>
          <w:color w:val="000000" w:themeColor="text1"/>
          <w:sz w:val="21"/>
          <w:szCs w:val="21"/>
        </w:rPr>
        <w:t>数据来源：</w:t>
      </w:r>
      <w:proofErr w:type="spellStart"/>
      <w:r w:rsidRPr="002603BF">
        <w:rPr>
          <w:rFonts w:ascii="新宋体" w:eastAsia="新宋体" w:hAnsi="新宋体" w:hint="eastAsia"/>
          <w:color w:val="000000" w:themeColor="text1"/>
          <w:sz w:val="21"/>
          <w:szCs w:val="21"/>
        </w:rPr>
        <w:t>sxcoal</w:t>
      </w:r>
      <w:proofErr w:type="spellEnd"/>
      <w:r w:rsidRPr="002603BF">
        <w:rPr>
          <w:rFonts w:ascii="新宋体" w:eastAsia="新宋体" w:hAnsi="新宋体" w:hint="eastAsia"/>
          <w:color w:val="000000" w:themeColor="text1"/>
          <w:sz w:val="21"/>
          <w:szCs w:val="21"/>
        </w:rPr>
        <w:t>、方正中期期货研究院整理</w:t>
      </w:r>
    </w:p>
    <w:p w:rsidR="002603BF" w:rsidRPr="002603BF" w:rsidRDefault="002603BF" w:rsidP="002603BF">
      <w:pPr>
        <w:pStyle w:val="a3"/>
        <w:spacing w:after="0" w:line="480" w:lineRule="atLeast"/>
        <w:jc w:val="center"/>
        <w:rPr>
          <w:rFonts w:ascii="新宋体" w:eastAsia="新宋体" w:hAnsi="新宋体"/>
          <w:color w:val="000000" w:themeColor="text1"/>
          <w:sz w:val="21"/>
          <w:szCs w:val="21"/>
        </w:rPr>
      </w:pPr>
    </w:p>
    <w:p w:rsidR="002603BF" w:rsidRPr="002603BF" w:rsidRDefault="002603BF" w:rsidP="002603BF">
      <w:pPr>
        <w:pStyle w:val="a3"/>
        <w:spacing w:after="0" w:line="480" w:lineRule="atLeast"/>
        <w:jc w:val="center"/>
        <w:rPr>
          <w:rFonts w:ascii="新宋体" w:eastAsia="新宋体" w:hAnsi="新宋体"/>
          <w:color w:val="000000" w:themeColor="text1"/>
          <w:sz w:val="21"/>
          <w:szCs w:val="21"/>
        </w:rPr>
      </w:pPr>
      <w:r w:rsidRPr="002603BF">
        <w:rPr>
          <w:rFonts w:ascii="新宋体" w:eastAsia="新宋体" w:hAnsi="新宋体" w:hint="eastAsia"/>
          <w:color w:val="000000" w:themeColor="text1"/>
          <w:sz w:val="21"/>
          <w:szCs w:val="21"/>
        </w:rPr>
        <w:t>图5：煤炭开采固定资产投资累计完成额与同比走势</w:t>
      </w:r>
    </w:p>
    <w:p w:rsidR="002603BF" w:rsidRDefault="002603BF" w:rsidP="002603BF">
      <w:pPr>
        <w:jc w:val="center"/>
      </w:pPr>
      <w:r>
        <w:rPr>
          <w:noProof/>
        </w:rPr>
        <w:drawing>
          <wp:inline distT="0" distB="0" distL="0" distR="0" wp14:anchorId="5C71DB57" wp14:editId="16F87F43">
            <wp:extent cx="4274820" cy="2316480"/>
            <wp:effectExtent l="0" t="0" r="0" b="0"/>
            <wp:docPr id="20" name="图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2"/>
                    <pic:cNvPicPr>
                      <a:picLocks noChangeArrowheads="1"/>
                    </pic:cNvPicPr>
                  </pic:nvPicPr>
                  <pic:blipFill>
                    <a:blip r:embed="rId13">
                      <a:extLst>
                        <a:ext uri="{28A0092B-C50C-407E-A947-70E740481C1C}">
                          <a14:useLocalDpi xmlns:a14="http://schemas.microsoft.com/office/drawing/2010/main" val="0"/>
                        </a:ext>
                      </a:extLst>
                    </a:blip>
                    <a:srcRect l="-1610" t="-3200" r="-1918" b="-6854"/>
                    <a:stretch>
                      <a:fillRect/>
                    </a:stretch>
                  </pic:blipFill>
                  <pic:spPr bwMode="auto">
                    <a:xfrm>
                      <a:off x="0" y="0"/>
                      <a:ext cx="4274820" cy="2316480"/>
                    </a:xfrm>
                    <a:prstGeom prst="rect">
                      <a:avLst/>
                    </a:prstGeom>
                    <a:noFill/>
                    <a:ln>
                      <a:noFill/>
                    </a:ln>
                  </pic:spPr>
                </pic:pic>
              </a:graphicData>
            </a:graphic>
          </wp:inline>
        </w:drawing>
      </w:r>
    </w:p>
    <w:p w:rsidR="002603BF" w:rsidRPr="002603BF" w:rsidRDefault="002603BF" w:rsidP="002603BF">
      <w:pPr>
        <w:pStyle w:val="a3"/>
        <w:spacing w:after="0" w:line="480" w:lineRule="atLeast"/>
        <w:jc w:val="center"/>
        <w:rPr>
          <w:rFonts w:ascii="新宋体" w:eastAsia="新宋体" w:hAnsi="新宋体"/>
          <w:color w:val="000000" w:themeColor="text1"/>
          <w:sz w:val="21"/>
          <w:szCs w:val="21"/>
        </w:rPr>
      </w:pPr>
      <w:r w:rsidRPr="002603BF">
        <w:rPr>
          <w:rFonts w:ascii="新宋体" w:eastAsia="新宋体" w:hAnsi="新宋体" w:hint="eastAsia"/>
          <w:color w:val="000000" w:themeColor="text1"/>
          <w:sz w:val="21"/>
          <w:szCs w:val="21"/>
        </w:rPr>
        <w:t>数据来源：</w:t>
      </w:r>
      <w:proofErr w:type="spellStart"/>
      <w:r w:rsidRPr="002603BF">
        <w:rPr>
          <w:rFonts w:ascii="新宋体" w:eastAsia="新宋体" w:hAnsi="新宋体" w:hint="eastAsia"/>
          <w:color w:val="000000" w:themeColor="text1"/>
          <w:sz w:val="21"/>
          <w:szCs w:val="21"/>
        </w:rPr>
        <w:t>sxcoal</w:t>
      </w:r>
      <w:proofErr w:type="spellEnd"/>
      <w:r w:rsidRPr="002603BF">
        <w:rPr>
          <w:rFonts w:ascii="新宋体" w:eastAsia="新宋体" w:hAnsi="新宋体" w:hint="eastAsia"/>
          <w:color w:val="000000" w:themeColor="text1"/>
          <w:sz w:val="21"/>
          <w:szCs w:val="21"/>
        </w:rPr>
        <w:t>、方正中期期货研究院整理</w:t>
      </w:r>
    </w:p>
    <w:p w:rsidR="002603BF" w:rsidRDefault="002603BF" w:rsidP="002603BF"/>
    <w:p w:rsidR="002603BF" w:rsidRPr="002603BF" w:rsidRDefault="002603BF" w:rsidP="002603BF">
      <w:pPr>
        <w:spacing w:before="100" w:beforeAutospacing="1" w:after="100" w:afterAutospacing="1"/>
        <w:rPr>
          <w:rFonts w:ascii="新宋体" w:eastAsia="新宋体" w:hAnsi="新宋体"/>
          <w:b/>
          <w:color w:val="000000" w:themeColor="text1"/>
          <w:sz w:val="21"/>
          <w:szCs w:val="21"/>
        </w:rPr>
      </w:pPr>
      <w:r>
        <w:rPr>
          <w:rFonts w:ascii="新宋体" w:eastAsia="新宋体" w:hAnsi="新宋体" w:hint="eastAsia"/>
          <w:b/>
          <w:color w:val="000000" w:themeColor="text1"/>
          <w:sz w:val="21"/>
          <w:szCs w:val="21"/>
        </w:rPr>
        <w:t>2、</w:t>
      </w:r>
      <w:r w:rsidRPr="002603BF">
        <w:rPr>
          <w:rFonts w:ascii="新宋体" w:eastAsia="新宋体" w:hAnsi="新宋体" w:hint="eastAsia"/>
          <w:b/>
          <w:color w:val="000000" w:themeColor="text1"/>
          <w:sz w:val="21"/>
          <w:szCs w:val="21"/>
        </w:rPr>
        <w:t>去库存进行时价格还将承受一定压力</w:t>
      </w:r>
    </w:p>
    <w:p w:rsidR="002603BF" w:rsidRPr="002603BF" w:rsidRDefault="002603BF" w:rsidP="002603BF">
      <w:pPr>
        <w:spacing w:line="360" w:lineRule="auto"/>
        <w:ind w:firstLine="432"/>
        <w:rPr>
          <w:rFonts w:ascii="新宋体" w:eastAsia="新宋体" w:hAnsi="新宋体"/>
          <w:color w:val="000000" w:themeColor="text1"/>
          <w:kern w:val="2"/>
          <w:sz w:val="21"/>
          <w:szCs w:val="21"/>
        </w:rPr>
      </w:pPr>
      <w:r w:rsidRPr="002603BF">
        <w:rPr>
          <w:rFonts w:ascii="新宋体" w:eastAsia="新宋体" w:hAnsi="新宋体" w:hint="eastAsia"/>
          <w:color w:val="000000" w:themeColor="text1"/>
          <w:kern w:val="2"/>
          <w:sz w:val="21"/>
          <w:szCs w:val="21"/>
        </w:rPr>
        <w:t>从宏观角度来看，主产区山西库存截止10月底为4229万吨，比9月回升29万吨。从炼焦煤来看，截止10月31日，全国各区域50家典型钢厂以及53家独立焦化厂库存数据进行调查（华北、华中、华东、华南、西北、东北、西南），总库存量为1142万吨，较9月底</w:t>
      </w:r>
      <w:r w:rsidRPr="002603BF">
        <w:rPr>
          <w:rFonts w:ascii="新宋体" w:eastAsia="新宋体" w:hAnsi="新宋体" w:hint="eastAsia"/>
          <w:color w:val="000000" w:themeColor="text1"/>
          <w:kern w:val="2"/>
          <w:sz w:val="21"/>
          <w:szCs w:val="21"/>
        </w:rPr>
        <w:lastRenderedPageBreak/>
        <w:t>相比回升73万吨。总库存继续攀升，并且增幅明显拉大，钢厂和独立焦化企业库存均表现出明显和全区域的增加。</w:t>
      </w:r>
    </w:p>
    <w:p w:rsidR="002603BF" w:rsidRDefault="002603BF" w:rsidP="002603BF"/>
    <w:p w:rsidR="002603BF" w:rsidRPr="002603BF" w:rsidRDefault="002603BF" w:rsidP="002603BF">
      <w:pPr>
        <w:pStyle w:val="a3"/>
        <w:spacing w:after="0" w:line="480" w:lineRule="atLeast"/>
        <w:jc w:val="center"/>
        <w:rPr>
          <w:rFonts w:ascii="新宋体" w:eastAsia="新宋体" w:hAnsi="新宋体"/>
          <w:color w:val="000000" w:themeColor="text1"/>
          <w:sz w:val="21"/>
          <w:szCs w:val="21"/>
        </w:rPr>
      </w:pPr>
      <w:r w:rsidRPr="002603BF">
        <w:rPr>
          <w:rFonts w:ascii="新宋体" w:eastAsia="新宋体" w:hAnsi="新宋体" w:hint="eastAsia"/>
          <w:color w:val="000000" w:themeColor="text1"/>
          <w:sz w:val="21"/>
          <w:szCs w:val="21"/>
        </w:rPr>
        <w:t>图6：主产地区山西煤炭库存走势</w:t>
      </w:r>
    </w:p>
    <w:p w:rsidR="002603BF" w:rsidRDefault="002603BF" w:rsidP="002603BF">
      <w:pPr>
        <w:jc w:val="center"/>
      </w:pPr>
      <w:r>
        <w:rPr>
          <w:noProof/>
        </w:rPr>
        <w:drawing>
          <wp:inline distT="0" distB="0" distL="0" distR="0" wp14:anchorId="5636DAF8" wp14:editId="117B4DB0">
            <wp:extent cx="4587240" cy="2750820"/>
            <wp:effectExtent l="0" t="0" r="3810" b="0"/>
            <wp:docPr id="21"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4"/>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7240" cy="2750820"/>
                    </a:xfrm>
                    <a:prstGeom prst="rect">
                      <a:avLst/>
                    </a:prstGeom>
                    <a:noFill/>
                    <a:ln>
                      <a:noFill/>
                    </a:ln>
                  </pic:spPr>
                </pic:pic>
              </a:graphicData>
            </a:graphic>
          </wp:inline>
        </w:drawing>
      </w:r>
    </w:p>
    <w:p w:rsidR="002603BF" w:rsidRPr="002603BF" w:rsidRDefault="002603BF" w:rsidP="002603BF">
      <w:pPr>
        <w:pStyle w:val="a3"/>
        <w:spacing w:after="0" w:line="480" w:lineRule="atLeast"/>
        <w:jc w:val="center"/>
        <w:rPr>
          <w:rFonts w:ascii="新宋体" w:eastAsia="新宋体" w:hAnsi="新宋体"/>
          <w:color w:val="000000" w:themeColor="text1"/>
          <w:sz w:val="21"/>
          <w:szCs w:val="21"/>
        </w:rPr>
      </w:pPr>
      <w:r w:rsidRPr="002603BF">
        <w:rPr>
          <w:rFonts w:ascii="新宋体" w:eastAsia="新宋体" w:hAnsi="新宋体" w:hint="eastAsia"/>
          <w:color w:val="000000" w:themeColor="text1"/>
          <w:sz w:val="21"/>
          <w:szCs w:val="21"/>
        </w:rPr>
        <w:t>数据来源：</w:t>
      </w:r>
      <w:proofErr w:type="spellStart"/>
      <w:r w:rsidRPr="002603BF">
        <w:rPr>
          <w:rFonts w:ascii="新宋体" w:eastAsia="新宋体" w:hAnsi="新宋体" w:hint="eastAsia"/>
          <w:color w:val="000000" w:themeColor="text1"/>
          <w:sz w:val="21"/>
          <w:szCs w:val="21"/>
        </w:rPr>
        <w:t>sxcoal</w:t>
      </w:r>
      <w:proofErr w:type="spellEnd"/>
      <w:r w:rsidRPr="002603BF">
        <w:rPr>
          <w:rFonts w:ascii="新宋体" w:eastAsia="新宋体" w:hAnsi="新宋体" w:hint="eastAsia"/>
          <w:color w:val="000000" w:themeColor="text1"/>
          <w:sz w:val="21"/>
          <w:szCs w:val="21"/>
        </w:rPr>
        <w:t>、方正中期期货研究院整理</w:t>
      </w:r>
    </w:p>
    <w:p w:rsidR="002603BF" w:rsidRPr="002603BF" w:rsidRDefault="002603BF" w:rsidP="002603BF">
      <w:pPr>
        <w:spacing w:before="100" w:beforeAutospacing="1" w:after="100" w:afterAutospacing="1"/>
        <w:rPr>
          <w:rFonts w:ascii="新宋体" w:eastAsia="新宋体" w:hAnsi="新宋体"/>
          <w:b/>
          <w:color w:val="000000" w:themeColor="text1"/>
          <w:sz w:val="21"/>
          <w:szCs w:val="21"/>
        </w:rPr>
      </w:pPr>
      <w:r>
        <w:rPr>
          <w:rFonts w:ascii="新宋体" w:eastAsia="新宋体" w:hAnsi="新宋体" w:hint="eastAsia"/>
          <w:b/>
          <w:color w:val="000000" w:themeColor="text1"/>
          <w:sz w:val="21"/>
          <w:szCs w:val="21"/>
        </w:rPr>
        <w:t>3、</w:t>
      </w:r>
      <w:r w:rsidRPr="002603BF">
        <w:rPr>
          <w:rFonts w:ascii="新宋体" w:eastAsia="新宋体" w:hAnsi="新宋体" w:hint="eastAsia"/>
          <w:b/>
          <w:color w:val="000000" w:themeColor="text1"/>
          <w:sz w:val="21"/>
          <w:szCs w:val="21"/>
        </w:rPr>
        <w:t>下游钢铁产量维持高位但同比增速不快</w:t>
      </w:r>
    </w:p>
    <w:p w:rsidR="002603BF" w:rsidRPr="002603BF" w:rsidRDefault="002603BF" w:rsidP="002603BF">
      <w:pPr>
        <w:spacing w:line="360" w:lineRule="auto"/>
        <w:ind w:firstLine="432"/>
        <w:rPr>
          <w:rFonts w:ascii="新宋体" w:eastAsia="新宋体" w:hAnsi="新宋体"/>
          <w:color w:val="000000" w:themeColor="text1"/>
          <w:kern w:val="2"/>
          <w:sz w:val="21"/>
          <w:szCs w:val="21"/>
        </w:rPr>
      </w:pPr>
      <w:r w:rsidRPr="002603BF">
        <w:rPr>
          <w:rFonts w:ascii="新宋体" w:eastAsia="新宋体" w:hAnsi="新宋体" w:hint="eastAsia"/>
          <w:color w:val="000000" w:themeColor="text1"/>
          <w:kern w:val="2"/>
          <w:sz w:val="21"/>
          <w:szCs w:val="21"/>
        </w:rPr>
        <w:t>作为煤炭行业的四个下游消费行业之一钢铁行业下游行业，其表现主要对其上游炼焦煤市场产生最直接、最有影响力的作用。</w:t>
      </w:r>
    </w:p>
    <w:p w:rsidR="002603BF" w:rsidRPr="002603BF" w:rsidRDefault="002603BF" w:rsidP="002603BF">
      <w:pPr>
        <w:spacing w:line="360" w:lineRule="auto"/>
        <w:ind w:firstLine="432"/>
        <w:rPr>
          <w:rFonts w:ascii="新宋体" w:eastAsia="新宋体" w:hAnsi="新宋体"/>
          <w:color w:val="000000" w:themeColor="text1"/>
          <w:kern w:val="2"/>
          <w:sz w:val="21"/>
          <w:szCs w:val="21"/>
        </w:rPr>
      </w:pPr>
      <w:r w:rsidRPr="002603BF">
        <w:rPr>
          <w:rFonts w:ascii="新宋体" w:eastAsia="新宋体" w:hAnsi="新宋体" w:hint="eastAsia"/>
          <w:color w:val="000000" w:themeColor="text1"/>
          <w:kern w:val="2"/>
          <w:sz w:val="21"/>
          <w:szCs w:val="21"/>
        </w:rPr>
        <w:t>整体来看，国内粗钢在2014年上半年保持不错的产量水平，但同比增速不快。中国国家统计局数据显示，2014年9月我国粗钢产量6754万吨，同比增长0.02%；1-9月我国粗钢产量61800万吨，同比增长2.3%。。</w:t>
      </w:r>
      <w:proofErr w:type="gramStart"/>
      <w:r w:rsidRPr="002603BF">
        <w:rPr>
          <w:rFonts w:ascii="新宋体" w:eastAsia="新宋体" w:hAnsi="新宋体" w:hint="eastAsia"/>
          <w:color w:val="000000" w:themeColor="text1"/>
          <w:kern w:val="2"/>
          <w:sz w:val="21"/>
          <w:szCs w:val="21"/>
        </w:rPr>
        <w:t>今年下半年钢企库存</w:t>
      </w:r>
      <w:proofErr w:type="gramEnd"/>
      <w:r w:rsidRPr="002603BF">
        <w:rPr>
          <w:rFonts w:ascii="新宋体" w:eastAsia="新宋体" w:hAnsi="新宋体" w:hint="eastAsia"/>
          <w:color w:val="000000" w:themeColor="text1"/>
          <w:kern w:val="2"/>
          <w:sz w:val="21"/>
          <w:szCs w:val="21"/>
        </w:rPr>
        <w:t>逐步攀升，迫使企业加大供给端收缩力度。同时，随着气温下降、APEC会议的召开，</w:t>
      </w:r>
      <w:proofErr w:type="gramStart"/>
      <w:r w:rsidRPr="002603BF">
        <w:rPr>
          <w:rFonts w:ascii="新宋体" w:eastAsia="新宋体" w:hAnsi="新宋体" w:hint="eastAsia"/>
          <w:color w:val="000000" w:themeColor="text1"/>
          <w:kern w:val="2"/>
          <w:sz w:val="21"/>
          <w:szCs w:val="21"/>
        </w:rPr>
        <w:t>钢企将</w:t>
      </w:r>
      <w:proofErr w:type="gramEnd"/>
      <w:r w:rsidRPr="002603BF">
        <w:rPr>
          <w:rFonts w:ascii="新宋体" w:eastAsia="新宋体" w:hAnsi="新宋体" w:hint="eastAsia"/>
          <w:color w:val="000000" w:themeColor="text1"/>
          <w:kern w:val="2"/>
          <w:sz w:val="21"/>
          <w:szCs w:val="21"/>
        </w:rPr>
        <w:t>进一步加大减产检修力度。不过，南方地区钢厂盈利尚可，减产积极性较低，北方地区钢厂仍将担当减产主力，后期全国</w:t>
      </w:r>
      <w:proofErr w:type="gramStart"/>
      <w:r w:rsidRPr="002603BF">
        <w:rPr>
          <w:rFonts w:ascii="新宋体" w:eastAsia="新宋体" w:hAnsi="新宋体" w:hint="eastAsia"/>
          <w:color w:val="000000" w:themeColor="text1"/>
          <w:kern w:val="2"/>
          <w:sz w:val="21"/>
          <w:szCs w:val="21"/>
        </w:rPr>
        <w:t>粗钢日均</w:t>
      </w:r>
      <w:proofErr w:type="gramEnd"/>
      <w:r w:rsidRPr="002603BF">
        <w:rPr>
          <w:rFonts w:ascii="新宋体" w:eastAsia="新宋体" w:hAnsi="新宋体" w:hint="eastAsia"/>
          <w:color w:val="000000" w:themeColor="text1"/>
          <w:kern w:val="2"/>
          <w:sz w:val="21"/>
          <w:szCs w:val="21"/>
        </w:rPr>
        <w:t>产量跌破220万吨是大概率事件。由于房地产市场低迷、基建投资受制于地方财政紧张，也拖累了工程机械、家电等相关行业，</w:t>
      </w:r>
      <w:proofErr w:type="gramStart"/>
      <w:r w:rsidRPr="002603BF">
        <w:rPr>
          <w:rFonts w:ascii="新宋体" w:eastAsia="新宋体" w:hAnsi="新宋体" w:hint="eastAsia"/>
          <w:color w:val="000000" w:themeColor="text1"/>
          <w:kern w:val="2"/>
          <w:sz w:val="21"/>
          <w:szCs w:val="21"/>
        </w:rPr>
        <w:t>钢市整体</w:t>
      </w:r>
      <w:proofErr w:type="gramEnd"/>
      <w:r w:rsidRPr="002603BF">
        <w:rPr>
          <w:rFonts w:ascii="新宋体" w:eastAsia="新宋体" w:hAnsi="新宋体" w:hint="eastAsia"/>
          <w:color w:val="000000" w:themeColor="text1"/>
          <w:kern w:val="2"/>
          <w:sz w:val="21"/>
          <w:szCs w:val="21"/>
        </w:rPr>
        <w:t>需求偏弱。节后集中采购之后，近期终端需求重归平淡。10月汇丰PMI初值50.4，较上月终值（50.2）回升，但是产出、新订单和新出口订单均有回落，显示需求仍未好转。不过，一些利好因素也在持续发酵。房贷新</w:t>
      </w:r>
      <w:r w:rsidRPr="002603BF">
        <w:rPr>
          <w:rFonts w:ascii="新宋体" w:eastAsia="新宋体" w:hAnsi="新宋体" w:hint="eastAsia"/>
          <w:color w:val="000000" w:themeColor="text1"/>
          <w:kern w:val="2"/>
          <w:sz w:val="21"/>
          <w:szCs w:val="21"/>
        </w:rPr>
        <w:lastRenderedPageBreak/>
        <w:t>政的推出，楼市销量已有回暖迹象。央行继续加大定向宽松力度，四季度经济走稳的概率较大。最后，近期北方钢厂减产力度逐渐加大，对市场信心也有支撑作用，预计</w:t>
      </w:r>
      <w:proofErr w:type="gramStart"/>
      <w:r w:rsidRPr="002603BF">
        <w:rPr>
          <w:rFonts w:ascii="新宋体" w:eastAsia="新宋体" w:hAnsi="新宋体" w:hint="eastAsia"/>
          <w:color w:val="000000" w:themeColor="text1"/>
          <w:kern w:val="2"/>
          <w:sz w:val="21"/>
          <w:szCs w:val="21"/>
        </w:rPr>
        <w:t>短期内钢价</w:t>
      </w:r>
      <w:proofErr w:type="gramEnd"/>
      <w:r w:rsidRPr="002603BF">
        <w:rPr>
          <w:rFonts w:ascii="新宋体" w:eastAsia="新宋体" w:hAnsi="新宋体" w:hint="eastAsia"/>
          <w:color w:val="000000" w:themeColor="text1"/>
          <w:kern w:val="2"/>
          <w:sz w:val="21"/>
          <w:szCs w:val="21"/>
        </w:rPr>
        <w:t>或震荡运行，呈现涨跌互现态势。</w:t>
      </w:r>
    </w:p>
    <w:p w:rsidR="002603BF" w:rsidRDefault="002603BF" w:rsidP="002603BF"/>
    <w:p w:rsidR="002603BF" w:rsidRPr="002603BF" w:rsidRDefault="002603BF" w:rsidP="002603BF">
      <w:pPr>
        <w:pStyle w:val="a3"/>
        <w:spacing w:after="0" w:line="480" w:lineRule="atLeast"/>
        <w:jc w:val="center"/>
        <w:rPr>
          <w:rFonts w:ascii="新宋体" w:eastAsia="新宋体" w:hAnsi="新宋体"/>
          <w:color w:val="000000" w:themeColor="text1"/>
          <w:sz w:val="21"/>
          <w:szCs w:val="21"/>
        </w:rPr>
      </w:pPr>
      <w:r w:rsidRPr="002603BF">
        <w:rPr>
          <w:rFonts w:ascii="新宋体" w:eastAsia="新宋体" w:hAnsi="新宋体" w:hint="eastAsia"/>
          <w:color w:val="000000" w:themeColor="text1"/>
          <w:sz w:val="21"/>
          <w:szCs w:val="21"/>
        </w:rPr>
        <w:t>图</w:t>
      </w:r>
      <w:r w:rsidRPr="002603BF">
        <w:rPr>
          <w:rFonts w:ascii="新宋体" w:eastAsia="新宋体" w:hAnsi="新宋体"/>
          <w:color w:val="000000" w:themeColor="text1"/>
          <w:sz w:val="21"/>
          <w:szCs w:val="21"/>
        </w:rPr>
        <w:t>7</w:t>
      </w:r>
      <w:r w:rsidRPr="002603BF">
        <w:rPr>
          <w:rFonts w:ascii="新宋体" w:eastAsia="新宋体" w:hAnsi="新宋体" w:hint="eastAsia"/>
          <w:color w:val="000000" w:themeColor="text1"/>
          <w:sz w:val="21"/>
          <w:szCs w:val="21"/>
        </w:rPr>
        <w:t>：国内粗钢产量与同比走势</w:t>
      </w:r>
    </w:p>
    <w:p w:rsidR="002603BF" w:rsidRDefault="002603BF" w:rsidP="002603BF">
      <w:pPr>
        <w:jc w:val="center"/>
      </w:pPr>
      <w:r>
        <w:rPr>
          <w:noProof/>
        </w:rPr>
        <w:drawing>
          <wp:inline distT="0" distB="0" distL="0" distR="0" wp14:anchorId="42601A80" wp14:editId="7BE577DD">
            <wp:extent cx="4267200" cy="2400300"/>
            <wp:effectExtent l="0" t="0" r="0" b="0"/>
            <wp:docPr id="22" name="图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6"/>
                    <pic:cNvPicPr>
                      <a:picLocks noChangeArrowheads="1"/>
                    </pic:cNvPicPr>
                  </pic:nvPicPr>
                  <pic:blipFill>
                    <a:blip r:embed="rId15">
                      <a:extLst>
                        <a:ext uri="{28A0092B-C50C-407E-A947-70E740481C1C}">
                          <a14:useLocalDpi xmlns:a14="http://schemas.microsoft.com/office/drawing/2010/main" val="0"/>
                        </a:ext>
                      </a:extLst>
                    </a:blip>
                    <a:srcRect b="-53"/>
                    <a:stretch>
                      <a:fillRect/>
                    </a:stretch>
                  </pic:blipFill>
                  <pic:spPr bwMode="auto">
                    <a:xfrm>
                      <a:off x="0" y="0"/>
                      <a:ext cx="4267200" cy="2400300"/>
                    </a:xfrm>
                    <a:prstGeom prst="rect">
                      <a:avLst/>
                    </a:prstGeom>
                    <a:noFill/>
                    <a:ln>
                      <a:noFill/>
                    </a:ln>
                  </pic:spPr>
                </pic:pic>
              </a:graphicData>
            </a:graphic>
          </wp:inline>
        </w:drawing>
      </w:r>
    </w:p>
    <w:p w:rsidR="002603BF" w:rsidRPr="002603BF" w:rsidRDefault="002603BF" w:rsidP="002603BF">
      <w:pPr>
        <w:pStyle w:val="a3"/>
        <w:spacing w:after="0" w:line="480" w:lineRule="atLeast"/>
        <w:jc w:val="center"/>
        <w:rPr>
          <w:rFonts w:ascii="新宋体" w:eastAsia="新宋体" w:hAnsi="新宋体"/>
          <w:color w:val="000000" w:themeColor="text1"/>
          <w:sz w:val="21"/>
          <w:szCs w:val="21"/>
        </w:rPr>
      </w:pPr>
      <w:r w:rsidRPr="002603BF">
        <w:rPr>
          <w:rFonts w:ascii="新宋体" w:eastAsia="新宋体" w:hAnsi="新宋体" w:hint="eastAsia"/>
          <w:color w:val="000000" w:themeColor="text1"/>
          <w:sz w:val="21"/>
          <w:szCs w:val="21"/>
        </w:rPr>
        <w:t>数据来源：中钢协、方正中期期货研究院整理</w:t>
      </w:r>
    </w:p>
    <w:p w:rsidR="002603BF" w:rsidRPr="002603BF" w:rsidRDefault="002603BF" w:rsidP="002603BF">
      <w:pPr>
        <w:pStyle w:val="a3"/>
        <w:spacing w:after="0" w:line="480" w:lineRule="atLeast"/>
        <w:jc w:val="center"/>
        <w:rPr>
          <w:rFonts w:ascii="新宋体" w:eastAsia="新宋体" w:hAnsi="新宋体"/>
          <w:color w:val="000000" w:themeColor="text1"/>
          <w:sz w:val="21"/>
          <w:szCs w:val="21"/>
        </w:rPr>
      </w:pPr>
      <w:r w:rsidRPr="002603BF">
        <w:rPr>
          <w:rFonts w:ascii="新宋体" w:eastAsia="新宋体" w:hAnsi="新宋体" w:hint="eastAsia"/>
          <w:color w:val="000000" w:themeColor="text1"/>
          <w:sz w:val="21"/>
          <w:szCs w:val="21"/>
        </w:rPr>
        <w:t>图</w:t>
      </w:r>
      <w:r w:rsidRPr="002603BF">
        <w:rPr>
          <w:rFonts w:ascii="新宋体" w:eastAsia="新宋体" w:hAnsi="新宋体"/>
          <w:color w:val="000000" w:themeColor="text1"/>
          <w:sz w:val="21"/>
          <w:szCs w:val="21"/>
        </w:rPr>
        <w:t>8</w:t>
      </w:r>
      <w:r w:rsidRPr="002603BF">
        <w:rPr>
          <w:rFonts w:ascii="新宋体" w:eastAsia="新宋体" w:hAnsi="新宋体" w:hint="eastAsia"/>
          <w:color w:val="000000" w:themeColor="text1"/>
          <w:sz w:val="21"/>
          <w:szCs w:val="21"/>
        </w:rPr>
        <w:t>：国内主要城市钢材库存与同比走势</w:t>
      </w:r>
    </w:p>
    <w:p w:rsidR="002603BF" w:rsidRPr="00244A4A" w:rsidRDefault="002603BF" w:rsidP="002603BF">
      <w:pPr>
        <w:jc w:val="center"/>
      </w:pPr>
      <w:r>
        <w:rPr>
          <w:noProof/>
        </w:rPr>
        <w:drawing>
          <wp:inline distT="0" distB="0" distL="0" distR="0" wp14:anchorId="2D34518C" wp14:editId="4B292FDD">
            <wp:extent cx="4251960" cy="2339340"/>
            <wp:effectExtent l="0" t="0" r="0" b="3810"/>
            <wp:docPr id="23" name="图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7"/>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1960" cy="2339340"/>
                    </a:xfrm>
                    <a:prstGeom prst="rect">
                      <a:avLst/>
                    </a:prstGeom>
                    <a:noFill/>
                    <a:ln>
                      <a:noFill/>
                    </a:ln>
                  </pic:spPr>
                </pic:pic>
              </a:graphicData>
            </a:graphic>
          </wp:inline>
        </w:drawing>
      </w:r>
    </w:p>
    <w:p w:rsidR="002603BF" w:rsidRPr="002603BF" w:rsidRDefault="002603BF" w:rsidP="002603BF">
      <w:pPr>
        <w:pStyle w:val="a3"/>
        <w:spacing w:after="0" w:line="480" w:lineRule="atLeast"/>
        <w:jc w:val="center"/>
        <w:rPr>
          <w:rFonts w:ascii="新宋体" w:eastAsia="新宋体" w:hAnsi="新宋体"/>
          <w:color w:val="000000" w:themeColor="text1"/>
          <w:sz w:val="21"/>
          <w:szCs w:val="21"/>
        </w:rPr>
      </w:pPr>
      <w:r w:rsidRPr="002603BF">
        <w:rPr>
          <w:rFonts w:ascii="新宋体" w:eastAsia="新宋体" w:hAnsi="新宋体" w:hint="eastAsia"/>
          <w:color w:val="000000" w:themeColor="text1"/>
          <w:sz w:val="21"/>
          <w:szCs w:val="21"/>
        </w:rPr>
        <w:t>数据来源：wind、方正中期期货研究院整理</w:t>
      </w:r>
    </w:p>
    <w:p w:rsidR="002603BF" w:rsidRPr="002603BF" w:rsidRDefault="002603BF" w:rsidP="002603BF">
      <w:pPr>
        <w:pStyle w:val="a3"/>
        <w:spacing w:after="0" w:line="480" w:lineRule="atLeast"/>
        <w:jc w:val="center"/>
        <w:rPr>
          <w:rFonts w:ascii="新宋体" w:eastAsia="新宋体" w:hAnsi="新宋体"/>
          <w:color w:val="000000" w:themeColor="text1"/>
          <w:sz w:val="21"/>
          <w:szCs w:val="21"/>
        </w:rPr>
      </w:pPr>
      <w:r w:rsidRPr="002603BF">
        <w:rPr>
          <w:rFonts w:ascii="新宋体" w:eastAsia="新宋体" w:hAnsi="新宋体" w:hint="eastAsia"/>
          <w:color w:val="000000" w:themeColor="text1"/>
          <w:sz w:val="21"/>
          <w:szCs w:val="21"/>
        </w:rPr>
        <w:lastRenderedPageBreak/>
        <w:t>图</w:t>
      </w:r>
      <w:r w:rsidRPr="002603BF">
        <w:rPr>
          <w:rFonts w:ascii="新宋体" w:eastAsia="新宋体" w:hAnsi="新宋体"/>
          <w:color w:val="000000" w:themeColor="text1"/>
          <w:sz w:val="21"/>
          <w:szCs w:val="21"/>
        </w:rPr>
        <w:t>9</w:t>
      </w:r>
      <w:r w:rsidRPr="002603BF">
        <w:rPr>
          <w:rFonts w:ascii="新宋体" w:eastAsia="新宋体" w:hAnsi="新宋体" w:hint="eastAsia"/>
          <w:color w:val="000000" w:themeColor="text1"/>
          <w:sz w:val="21"/>
          <w:szCs w:val="21"/>
        </w:rPr>
        <w:t>：国内主要钢材品种价格走势</w:t>
      </w:r>
    </w:p>
    <w:p w:rsidR="002603BF" w:rsidRDefault="002603BF" w:rsidP="002603BF">
      <w:pPr>
        <w:jc w:val="center"/>
      </w:pPr>
      <w:r>
        <w:rPr>
          <w:noProof/>
        </w:rPr>
        <w:drawing>
          <wp:inline distT="0" distB="0" distL="0" distR="0" wp14:anchorId="061E207C" wp14:editId="4CD0D770">
            <wp:extent cx="4381500" cy="2255520"/>
            <wp:effectExtent l="0" t="0" r="0" b="0"/>
            <wp:docPr id="24" name="图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5"/>
                    <pic:cNvPicPr>
                      <a:picLocks noChangeArrowheads="1"/>
                    </pic:cNvPicPr>
                  </pic:nvPicPr>
                  <pic:blipFill>
                    <a:blip r:embed="rId17">
                      <a:extLst>
                        <a:ext uri="{28A0092B-C50C-407E-A947-70E740481C1C}">
                          <a14:useLocalDpi xmlns:a14="http://schemas.microsoft.com/office/drawing/2010/main" val="0"/>
                        </a:ext>
                      </a:extLst>
                    </a:blip>
                    <a:srcRect l="-1253" t="-5762" r="-1813" b="-6773"/>
                    <a:stretch>
                      <a:fillRect/>
                    </a:stretch>
                  </pic:blipFill>
                  <pic:spPr bwMode="auto">
                    <a:xfrm>
                      <a:off x="0" y="0"/>
                      <a:ext cx="4381500" cy="2255520"/>
                    </a:xfrm>
                    <a:prstGeom prst="rect">
                      <a:avLst/>
                    </a:prstGeom>
                    <a:noFill/>
                    <a:ln>
                      <a:noFill/>
                    </a:ln>
                  </pic:spPr>
                </pic:pic>
              </a:graphicData>
            </a:graphic>
          </wp:inline>
        </w:drawing>
      </w:r>
    </w:p>
    <w:p w:rsidR="002603BF" w:rsidRPr="002603BF" w:rsidRDefault="002603BF" w:rsidP="002603BF">
      <w:pPr>
        <w:pStyle w:val="a3"/>
        <w:spacing w:after="0" w:line="480" w:lineRule="atLeast"/>
        <w:jc w:val="center"/>
        <w:rPr>
          <w:rFonts w:ascii="新宋体" w:eastAsia="新宋体" w:hAnsi="新宋体"/>
          <w:color w:val="000000" w:themeColor="text1"/>
          <w:sz w:val="21"/>
          <w:szCs w:val="21"/>
        </w:rPr>
      </w:pPr>
      <w:r w:rsidRPr="002603BF">
        <w:rPr>
          <w:rFonts w:ascii="新宋体" w:eastAsia="新宋体" w:hAnsi="新宋体" w:hint="eastAsia"/>
          <w:color w:val="000000" w:themeColor="text1"/>
          <w:sz w:val="21"/>
          <w:szCs w:val="21"/>
        </w:rPr>
        <w:t>数据来源：wind、方正中期期货研究院整理</w:t>
      </w:r>
    </w:p>
    <w:p w:rsidR="002603BF" w:rsidRDefault="002603BF" w:rsidP="002603BF"/>
    <w:p w:rsidR="002603BF" w:rsidRPr="002603BF" w:rsidRDefault="002603BF" w:rsidP="002603BF">
      <w:pPr>
        <w:spacing w:before="100" w:beforeAutospacing="1" w:after="100" w:afterAutospacing="1"/>
        <w:rPr>
          <w:rFonts w:ascii="新宋体" w:eastAsia="新宋体" w:hAnsi="新宋体"/>
          <w:b/>
          <w:color w:val="000000" w:themeColor="text1"/>
          <w:sz w:val="21"/>
          <w:szCs w:val="21"/>
        </w:rPr>
      </w:pPr>
      <w:r>
        <w:rPr>
          <w:rFonts w:ascii="新宋体" w:eastAsia="新宋体" w:hAnsi="新宋体" w:hint="eastAsia"/>
          <w:b/>
          <w:color w:val="000000" w:themeColor="text1"/>
          <w:sz w:val="21"/>
          <w:szCs w:val="21"/>
        </w:rPr>
        <w:t>二、</w:t>
      </w:r>
      <w:r w:rsidRPr="002603BF">
        <w:rPr>
          <w:rFonts w:ascii="新宋体" w:eastAsia="新宋体" w:hAnsi="新宋体" w:hint="eastAsia"/>
          <w:b/>
          <w:color w:val="000000" w:themeColor="text1"/>
          <w:sz w:val="21"/>
          <w:szCs w:val="21"/>
        </w:rPr>
        <w:t>焦炭：行业限产有支撑</w:t>
      </w:r>
    </w:p>
    <w:p w:rsidR="002603BF" w:rsidRPr="002603BF" w:rsidRDefault="002603BF" w:rsidP="002603BF">
      <w:pPr>
        <w:spacing w:line="360" w:lineRule="auto"/>
        <w:ind w:firstLine="432"/>
        <w:rPr>
          <w:rFonts w:ascii="新宋体" w:eastAsia="新宋体" w:hAnsi="新宋体"/>
          <w:color w:val="000000" w:themeColor="text1"/>
          <w:kern w:val="2"/>
          <w:sz w:val="21"/>
          <w:szCs w:val="21"/>
        </w:rPr>
      </w:pPr>
      <w:r w:rsidRPr="002603BF">
        <w:rPr>
          <w:rFonts w:ascii="新宋体" w:eastAsia="新宋体" w:hAnsi="新宋体" w:hint="eastAsia"/>
          <w:color w:val="000000" w:themeColor="text1"/>
          <w:kern w:val="2"/>
          <w:sz w:val="21"/>
          <w:szCs w:val="21"/>
        </w:rPr>
        <w:t>焦煤作为焦炭生产中不可或缺的基础原料配煤，其价格涨跌与其中游焦炭价格关系极为密切。</w:t>
      </w:r>
    </w:p>
    <w:p w:rsidR="002603BF" w:rsidRPr="002603BF" w:rsidRDefault="002603BF" w:rsidP="002603BF">
      <w:pPr>
        <w:spacing w:line="360" w:lineRule="auto"/>
        <w:ind w:firstLine="432"/>
        <w:rPr>
          <w:rFonts w:ascii="新宋体" w:eastAsia="新宋体" w:hAnsi="新宋体"/>
          <w:color w:val="000000" w:themeColor="text1"/>
          <w:kern w:val="2"/>
          <w:sz w:val="21"/>
          <w:szCs w:val="21"/>
        </w:rPr>
      </w:pPr>
      <w:r w:rsidRPr="002603BF">
        <w:rPr>
          <w:rFonts w:ascii="新宋体" w:eastAsia="新宋体" w:hAnsi="新宋体" w:hint="eastAsia"/>
          <w:color w:val="000000" w:themeColor="text1"/>
          <w:kern w:val="2"/>
          <w:sz w:val="21"/>
          <w:szCs w:val="21"/>
        </w:rPr>
        <w:t>统计局公布的数据显示，2014年9月份，全国焦炭产量4012万吨，同比下降1%。1-9月份，全国焦炭产量35434万吨，同比下降0.4%。三季度河北地区钢厂高炉开工率维持在90%上方，拉动了焦炭需求，焦炭月度产量在4000万吨附近小幅波动。由于近期炼焦煤成本上升，焦化企业大量亏损，亏损幅度增加，焦化企业开工率稍有下降。</w:t>
      </w:r>
    </w:p>
    <w:p w:rsidR="002603BF" w:rsidRPr="002603BF" w:rsidRDefault="002603BF" w:rsidP="002603BF">
      <w:pPr>
        <w:spacing w:line="360" w:lineRule="auto"/>
        <w:ind w:firstLine="432"/>
        <w:rPr>
          <w:rFonts w:ascii="新宋体" w:eastAsia="新宋体" w:hAnsi="新宋体"/>
          <w:color w:val="000000" w:themeColor="text1"/>
          <w:kern w:val="2"/>
          <w:sz w:val="21"/>
          <w:szCs w:val="21"/>
        </w:rPr>
      </w:pPr>
      <w:r w:rsidRPr="002603BF">
        <w:rPr>
          <w:rFonts w:ascii="新宋体" w:eastAsia="新宋体" w:hAnsi="新宋体" w:hint="eastAsia"/>
          <w:color w:val="000000" w:themeColor="text1"/>
          <w:kern w:val="2"/>
          <w:sz w:val="21"/>
          <w:szCs w:val="21"/>
        </w:rPr>
        <w:t>从样本独立焦化企业开工率情况看，截至10月24日，大型独立焦化企业开工率小幅下降至87%，中小型独立焦化企业开工率小幅维持在76%。下游钢铁行业焦炭平均库存可用天数仅9天，处于历史低位，10月份华北、西北等地区独立焦化企业焦炭库存从年内最低水平开始缓慢回升。下月APEC会议期间河北地区部分钢厂将进行检修，钢厂焦炭库存量可能小幅上升，但河北地区焦化企业也将限产，根据唐山市APEC会议期间停产限产钢铁企业名单显示，唐山地区共74座焦炉将结焦时间延长至48小时。11月份焦炭供需总量都有望下降，总体影响不大。</w:t>
      </w:r>
    </w:p>
    <w:p w:rsidR="002603BF" w:rsidRDefault="002603BF" w:rsidP="002603BF"/>
    <w:p w:rsidR="002603BF" w:rsidRPr="002603BF" w:rsidRDefault="002603BF" w:rsidP="002603BF">
      <w:pPr>
        <w:pStyle w:val="a3"/>
        <w:spacing w:after="0" w:line="480" w:lineRule="atLeast"/>
        <w:jc w:val="center"/>
        <w:rPr>
          <w:rFonts w:ascii="新宋体" w:eastAsia="新宋体" w:hAnsi="新宋体"/>
          <w:color w:val="000000" w:themeColor="text1"/>
          <w:sz w:val="21"/>
          <w:szCs w:val="21"/>
        </w:rPr>
      </w:pPr>
      <w:r w:rsidRPr="002603BF">
        <w:rPr>
          <w:rFonts w:ascii="新宋体" w:eastAsia="新宋体" w:hAnsi="新宋体" w:hint="eastAsia"/>
          <w:color w:val="000000" w:themeColor="text1"/>
          <w:sz w:val="21"/>
          <w:szCs w:val="21"/>
        </w:rPr>
        <w:lastRenderedPageBreak/>
        <w:t>图</w:t>
      </w:r>
      <w:r w:rsidRPr="002603BF">
        <w:rPr>
          <w:rFonts w:ascii="新宋体" w:eastAsia="新宋体" w:hAnsi="新宋体"/>
          <w:color w:val="000000" w:themeColor="text1"/>
          <w:sz w:val="21"/>
          <w:szCs w:val="21"/>
        </w:rPr>
        <w:t>10</w:t>
      </w:r>
      <w:r w:rsidRPr="002603BF">
        <w:rPr>
          <w:rFonts w:ascii="新宋体" w:eastAsia="新宋体" w:hAnsi="新宋体" w:hint="eastAsia"/>
          <w:color w:val="000000" w:themeColor="text1"/>
          <w:sz w:val="21"/>
          <w:szCs w:val="21"/>
        </w:rPr>
        <w:t>：国内焦炭产量与同比走势</w:t>
      </w:r>
    </w:p>
    <w:p w:rsidR="002603BF" w:rsidRDefault="002603BF" w:rsidP="002603BF">
      <w:pPr>
        <w:jc w:val="center"/>
      </w:pPr>
      <w:r>
        <w:rPr>
          <w:noProof/>
        </w:rPr>
        <w:drawing>
          <wp:inline distT="0" distB="0" distL="0" distR="0" wp14:anchorId="5B88F937" wp14:editId="30CDA3D3">
            <wp:extent cx="4084320" cy="2339340"/>
            <wp:effectExtent l="0" t="0" r="0" b="3810"/>
            <wp:docPr id="25" name="图片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9"/>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4320" cy="2339340"/>
                    </a:xfrm>
                    <a:prstGeom prst="rect">
                      <a:avLst/>
                    </a:prstGeom>
                    <a:noFill/>
                    <a:ln>
                      <a:noFill/>
                    </a:ln>
                  </pic:spPr>
                </pic:pic>
              </a:graphicData>
            </a:graphic>
          </wp:inline>
        </w:drawing>
      </w:r>
    </w:p>
    <w:p w:rsidR="002603BF" w:rsidRPr="002603BF" w:rsidRDefault="002603BF" w:rsidP="002603BF">
      <w:pPr>
        <w:pStyle w:val="a3"/>
        <w:spacing w:after="0" w:line="480" w:lineRule="atLeast"/>
        <w:jc w:val="center"/>
        <w:rPr>
          <w:rFonts w:ascii="新宋体" w:eastAsia="新宋体" w:hAnsi="新宋体"/>
          <w:color w:val="000000" w:themeColor="text1"/>
          <w:sz w:val="21"/>
          <w:szCs w:val="21"/>
        </w:rPr>
      </w:pPr>
      <w:r w:rsidRPr="002603BF">
        <w:rPr>
          <w:rFonts w:ascii="新宋体" w:eastAsia="新宋体" w:hAnsi="新宋体" w:hint="eastAsia"/>
          <w:color w:val="000000" w:themeColor="text1"/>
          <w:sz w:val="21"/>
          <w:szCs w:val="21"/>
        </w:rPr>
        <w:t>数据来源：wind、国家统计局、方正中期期货研究院整</w:t>
      </w:r>
    </w:p>
    <w:p w:rsidR="002603BF" w:rsidRPr="002603BF" w:rsidRDefault="002603BF" w:rsidP="002603BF">
      <w:pPr>
        <w:pStyle w:val="a3"/>
        <w:spacing w:after="0" w:line="480" w:lineRule="atLeast"/>
        <w:jc w:val="center"/>
        <w:rPr>
          <w:rFonts w:ascii="新宋体" w:eastAsia="新宋体" w:hAnsi="新宋体"/>
          <w:color w:val="000000" w:themeColor="text1"/>
          <w:sz w:val="21"/>
          <w:szCs w:val="21"/>
        </w:rPr>
      </w:pPr>
      <w:r w:rsidRPr="002603BF">
        <w:rPr>
          <w:rFonts w:ascii="新宋体" w:eastAsia="新宋体" w:hAnsi="新宋体" w:hint="eastAsia"/>
          <w:color w:val="000000" w:themeColor="text1"/>
          <w:sz w:val="21"/>
          <w:szCs w:val="21"/>
        </w:rPr>
        <w:t>图</w:t>
      </w:r>
      <w:r w:rsidRPr="002603BF">
        <w:rPr>
          <w:rFonts w:ascii="新宋体" w:eastAsia="新宋体" w:hAnsi="新宋体"/>
          <w:color w:val="000000" w:themeColor="text1"/>
          <w:sz w:val="21"/>
          <w:szCs w:val="21"/>
        </w:rPr>
        <w:t>11</w:t>
      </w:r>
      <w:r w:rsidRPr="002603BF">
        <w:rPr>
          <w:rFonts w:ascii="新宋体" w:eastAsia="新宋体" w:hAnsi="新宋体" w:hint="eastAsia"/>
          <w:color w:val="000000" w:themeColor="text1"/>
          <w:sz w:val="21"/>
          <w:szCs w:val="21"/>
        </w:rPr>
        <w:t>：国内焦炭价格走势</w:t>
      </w:r>
    </w:p>
    <w:p w:rsidR="002603BF" w:rsidRDefault="002603BF" w:rsidP="002603BF">
      <w:pPr>
        <w:jc w:val="center"/>
      </w:pPr>
      <w:r>
        <w:rPr>
          <w:noProof/>
        </w:rPr>
        <w:drawing>
          <wp:inline distT="0" distB="0" distL="0" distR="0" wp14:anchorId="0A6507FE" wp14:editId="60F054F7">
            <wp:extent cx="4168140" cy="2217420"/>
            <wp:effectExtent l="0" t="0" r="0" b="0"/>
            <wp:docPr id="26" name="图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8"/>
                    <pic:cNvPicPr>
                      <a:picLocks noChangeArrowheads="1"/>
                    </pic:cNvPicPr>
                  </pic:nvPicPr>
                  <pic:blipFill>
                    <a:blip r:embed="rId19">
                      <a:extLst>
                        <a:ext uri="{28A0092B-C50C-407E-A947-70E740481C1C}">
                          <a14:useLocalDpi xmlns:a14="http://schemas.microsoft.com/office/drawing/2010/main" val="0"/>
                        </a:ext>
                      </a:extLst>
                    </a:blip>
                    <a:srcRect l="-1691" t="-1207" r="-3127" b="-9781"/>
                    <a:stretch>
                      <a:fillRect/>
                    </a:stretch>
                  </pic:blipFill>
                  <pic:spPr bwMode="auto">
                    <a:xfrm>
                      <a:off x="0" y="0"/>
                      <a:ext cx="4168140" cy="2217420"/>
                    </a:xfrm>
                    <a:prstGeom prst="rect">
                      <a:avLst/>
                    </a:prstGeom>
                    <a:noFill/>
                    <a:ln>
                      <a:noFill/>
                    </a:ln>
                  </pic:spPr>
                </pic:pic>
              </a:graphicData>
            </a:graphic>
          </wp:inline>
        </w:drawing>
      </w:r>
    </w:p>
    <w:p w:rsidR="002603BF" w:rsidRPr="002603BF" w:rsidRDefault="002603BF" w:rsidP="002603BF">
      <w:pPr>
        <w:pStyle w:val="a3"/>
        <w:spacing w:after="0" w:line="480" w:lineRule="atLeast"/>
        <w:jc w:val="center"/>
        <w:rPr>
          <w:rFonts w:ascii="新宋体" w:eastAsia="新宋体" w:hAnsi="新宋体"/>
          <w:color w:val="000000" w:themeColor="text1"/>
          <w:sz w:val="21"/>
          <w:szCs w:val="21"/>
        </w:rPr>
      </w:pPr>
      <w:r w:rsidRPr="002603BF">
        <w:rPr>
          <w:rFonts w:ascii="新宋体" w:eastAsia="新宋体" w:hAnsi="新宋体" w:hint="eastAsia"/>
          <w:color w:val="000000" w:themeColor="text1"/>
          <w:sz w:val="21"/>
          <w:szCs w:val="21"/>
        </w:rPr>
        <w:t>数据来源：方正中期期货研究院整理</w:t>
      </w:r>
    </w:p>
    <w:p w:rsidR="002603BF" w:rsidRDefault="002603BF" w:rsidP="002603BF"/>
    <w:p w:rsidR="002603BF" w:rsidRPr="002603BF" w:rsidRDefault="002603BF" w:rsidP="002603BF">
      <w:pPr>
        <w:spacing w:before="100" w:beforeAutospacing="1" w:after="100" w:afterAutospacing="1"/>
        <w:rPr>
          <w:rFonts w:ascii="新宋体" w:eastAsia="新宋体" w:hAnsi="新宋体"/>
          <w:b/>
          <w:color w:val="000000" w:themeColor="text1"/>
          <w:sz w:val="21"/>
          <w:szCs w:val="21"/>
        </w:rPr>
      </w:pPr>
      <w:r>
        <w:rPr>
          <w:rFonts w:ascii="新宋体" w:eastAsia="新宋体" w:hAnsi="新宋体" w:hint="eastAsia"/>
          <w:b/>
          <w:color w:val="000000" w:themeColor="text1"/>
          <w:sz w:val="21"/>
          <w:szCs w:val="21"/>
        </w:rPr>
        <w:t>三、</w:t>
      </w:r>
      <w:r w:rsidRPr="002603BF">
        <w:rPr>
          <w:rFonts w:ascii="新宋体" w:eastAsia="新宋体" w:hAnsi="新宋体"/>
          <w:b/>
          <w:color w:val="000000" w:themeColor="text1"/>
          <w:sz w:val="21"/>
          <w:szCs w:val="21"/>
        </w:rPr>
        <w:t>铁矿石</w:t>
      </w:r>
      <w:r w:rsidRPr="002603BF">
        <w:rPr>
          <w:rFonts w:ascii="新宋体" w:eastAsia="新宋体" w:hAnsi="新宋体" w:hint="eastAsia"/>
          <w:b/>
          <w:color w:val="000000" w:themeColor="text1"/>
          <w:sz w:val="21"/>
          <w:szCs w:val="21"/>
        </w:rPr>
        <w:t>：</w:t>
      </w:r>
      <w:r w:rsidRPr="002603BF">
        <w:rPr>
          <w:rFonts w:ascii="新宋体" w:eastAsia="新宋体" w:hAnsi="新宋体"/>
          <w:b/>
          <w:color w:val="000000" w:themeColor="text1"/>
          <w:sz w:val="21"/>
          <w:szCs w:val="21"/>
        </w:rPr>
        <w:t>中期仍有调整压力</w:t>
      </w:r>
    </w:p>
    <w:p w:rsidR="002603BF" w:rsidRPr="002603BF" w:rsidRDefault="002603BF" w:rsidP="002603BF">
      <w:pPr>
        <w:spacing w:line="360" w:lineRule="auto"/>
        <w:ind w:firstLine="432"/>
        <w:rPr>
          <w:rFonts w:ascii="新宋体" w:eastAsia="新宋体" w:hAnsi="新宋体"/>
          <w:color w:val="000000" w:themeColor="text1"/>
          <w:kern w:val="2"/>
          <w:sz w:val="21"/>
          <w:szCs w:val="21"/>
        </w:rPr>
      </w:pPr>
      <w:r w:rsidRPr="002603BF">
        <w:rPr>
          <w:rFonts w:ascii="新宋体" w:eastAsia="新宋体" w:hAnsi="新宋体"/>
          <w:color w:val="000000" w:themeColor="text1"/>
          <w:kern w:val="2"/>
          <w:sz w:val="21"/>
          <w:szCs w:val="21"/>
        </w:rPr>
        <w:t>相比焦煤焦炭市场</w:t>
      </w:r>
      <w:r w:rsidRPr="002603BF">
        <w:rPr>
          <w:rFonts w:ascii="新宋体" w:eastAsia="新宋体" w:hAnsi="新宋体" w:hint="eastAsia"/>
          <w:color w:val="000000" w:themeColor="text1"/>
          <w:kern w:val="2"/>
          <w:sz w:val="21"/>
          <w:szCs w:val="21"/>
        </w:rPr>
        <w:t>，铁矿石市场市场化成分更高，产业调整期行业洗牌</w:t>
      </w:r>
      <w:proofErr w:type="gramStart"/>
      <w:r w:rsidRPr="002603BF">
        <w:rPr>
          <w:rFonts w:ascii="新宋体" w:eastAsia="新宋体" w:hAnsi="新宋体" w:hint="eastAsia"/>
          <w:color w:val="000000" w:themeColor="text1"/>
          <w:kern w:val="2"/>
          <w:sz w:val="21"/>
          <w:szCs w:val="21"/>
        </w:rPr>
        <w:t>整合迹象</w:t>
      </w:r>
      <w:proofErr w:type="gramEnd"/>
      <w:r w:rsidRPr="002603BF">
        <w:rPr>
          <w:rFonts w:ascii="新宋体" w:eastAsia="新宋体" w:hAnsi="新宋体" w:hint="eastAsia"/>
          <w:color w:val="000000" w:themeColor="text1"/>
          <w:kern w:val="2"/>
          <w:sz w:val="21"/>
          <w:szCs w:val="21"/>
        </w:rPr>
        <w:t>更加明显。</w:t>
      </w:r>
    </w:p>
    <w:p w:rsidR="002603BF" w:rsidRPr="002603BF" w:rsidRDefault="002603BF" w:rsidP="002603BF">
      <w:pPr>
        <w:spacing w:line="360" w:lineRule="auto"/>
        <w:ind w:firstLine="432"/>
        <w:rPr>
          <w:rFonts w:ascii="新宋体" w:eastAsia="新宋体" w:hAnsi="新宋体"/>
          <w:color w:val="000000" w:themeColor="text1"/>
          <w:kern w:val="2"/>
          <w:sz w:val="21"/>
          <w:szCs w:val="21"/>
        </w:rPr>
      </w:pPr>
      <w:r w:rsidRPr="002603BF">
        <w:rPr>
          <w:rFonts w:ascii="新宋体" w:eastAsia="新宋体" w:hAnsi="新宋体" w:hint="eastAsia"/>
          <w:color w:val="000000" w:themeColor="text1"/>
          <w:kern w:val="2"/>
          <w:sz w:val="21"/>
          <w:szCs w:val="21"/>
        </w:rPr>
        <w:lastRenderedPageBreak/>
        <w:t>从最新的数据来看，</w:t>
      </w:r>
      <w:proofErr w:type="gramStart"/>
      <w:r w:rsidRPr="002603BF">
        <w:rPr>
          <w:rFonts w:ascii="新宋体" w:eastAsia="新宋体" w:hAnsi="新宋体" w:hint="eastAsia"/>
          <w:color w:val="000000" w:themeColor="text1"/>
          <w:kern w:val="2"/>
          <w:sz w:val="21"/>
          <w:szCs w:val="21"/>
        </w:rPr>
        <w:t>虽然矿价仍在跌跌</w:t>
      </w:r>
      <w:proofErr w:type="gramEnd"/>
      <w:r w:rsidRPr="002603BF">
        <w:rPr>
          <w:rFonts w:ascii="新宋体" w:eastAsia="新宋体" w:hAnsi="新宋体" w:hint="eastAsia"/>
          <w:color w:val="000000" w:themeColor="text1"/>
          <w:kern w:val="2"/>
          <w:sz w:val="21"/>
          <w:szCs w:val="21"/>
        </w:rPr>
        <w:t>不休，但这并不影响四大矿商增产的势头。世界第二大矿商力拓公司发布最新运营报告，3季度铁矿石产量创新高，同比增12%至7680万吨，环比增5%，按股权计产量为6045万吨，同比增13.2%。铁矿石发货量同比增15%至7800万吨，环比增3%，亦达创记录水平。今年前9个月，力拓铁矿石产量为2.16亿吨（按股份计1.7亿吨），发货量为2.2亿吨（按股份计1.74亿吨），创同期最高纪录。力拓维持2014年铁矿石产量目标在2.95亿吨，发货量目标维持在3亿吨。Vale三季度的铁矿石产量达8570万吨(不包含</w:t>
      </w:r>
      <w:proofErr w:type="spellStart"/>
      <w:r w:rsidRPr="002603BF">
        <w:rPr>
          <w:rFonts w:ascii="新宋体" w:eastAsia="新宋体" w:hAnsi="新宋体" w:hint="eastAsia"/>
          <w:color w:val="000000" w:themeColor="text1"/>
          <w:kern w:val="2"/>
          <w:sz w:val="21"/>
          <w:szCs w:val="21"/>
        </w:rPr>
        <w:t>Samarco</w:t>
      </w:r>
      <w:proofErr w:type="spellEnd"/>
      <w:r w:rsidRPr="002603BF">
        <w:rPr>
          <w:rFonts w:ascii="新宋体" w:eastAsia="新宋体" w:hAnsi="新宋体" w:hint="eastAsia"/>
          <w:color w:val="000000" w:themeColor="text1"/>
          <w:kern w:val="2"/>
          <w:sz w:val="21"/>
          <w:szCs w:val="21"/>
        </w:rPr>
        <w:t>产量)，环比增7.9%，同比增3.1%，创下其产量历史新高。2014年1-9月，Vale铁矿产量共计2.362亿吨，超过原先2008年前三季度的2.322亿吨的历史记录。</w:t>
      </w:r>
    </w:p>
    <w:p w:rsidR="002603BF" w:rsidRPr="002603BF" w:rsidRDefault="002603BF" w:rsidP="002603BF">
      <w:pPr>
        <w:spacing w:line="360" w:lineRule="auto"/>
        <w:ind w:firstLine="432"/>
        <w:rPr>
          <w:rFonts w:ascii="新宋体" w:eastAsia="新宋体" w:hAnsi="新宋体"/>
          <w:color w:val="000000" w:themeColor="text1"/>
          <w:kern w:val="2"/>
          <w:sz w:val="21"/>
          <w:szCs w:val="21"/>
        </w:rPr>
      </w:pPr>
      <w:proofErr w:type="gramStart"/>
      <w:r w:rsidRPr="002603BF">
        <w:rPr>
          <w:rFonts w:ascii="新宋体" w:eastAsia="新宋体" w:hAnsi="新宋体" w:hint="eastAsia"/>
          <w:color w:val="000000" w:themeColor="text1"/>
          <w:kern w:val="2"/>
          <w:sz w:val="21"/>
          <w:szCs w:val="21"/>
        </w:rPr>
        <w:t>相比四</w:t>
      </w:r>
      <w:proofErr w:type="gramEnd"/>
      <w:r w:rsidRPr="002603BF">
        <w:rPr>
          <w:rFonts w:ascii="新宋体" w:eastAsia="新宋体" w:hAnsi="新宋体" w:hint="eastAsia"/>
          <w:color w:val="000000" w:themeColor="text1"/>
          <w:kern w:val="2"/>
          <w:sz w:val="21"/>
          <w:szCs w:val="21"/>
        </w:rPr>
        <w:t>大矿山积极扩产，国内则更像是刹不住车的高速列车。国内从1990年到2013年年底，矿山累计投资约9000亿元，其中有7000亿元是2008年以后投资的，国内矿石的供应也随着产能的释放而有所增加。数据显示，我国铁矿石原矿产量从2001年的21138万吨，增长至2013年的145101万吨，增长近6倍，年均增长17.4%，年增幅最高达39.9%。据统计局数据显示：全国原矿产量保持增长态势，但增速有所回落，1-9月份全国原矿产量同比增长7.2%。预计到2015年国产矿原矿产量将达到16亿吨。</w:t>
      </w:r>
    </w:p>
    <w:p w:rsidR="002603BF" w:rsidRPr="002603BF" w:rsidRDefault="002603BF" w:rsidP="002603BF">
      <w:pPr>
        <w:spacing w:line="360" w:lineRule="auto"/>
        <w:ind w:firstLine="432"/>
        <w:rPr>
          <w:rFonts w:ascii="新宋体" w:eastAsia="新宋体" w:hAnsi="新宋体"/>
          <w:color w:val="000000" w:themeColor="text1"/>
          <w:kern w:val="2"/>
          <w:sz w:val="21"/>
          <w:szCs w:val="21"/>
        </w:rPr>
      </w:pPr>
      <w:r w:rsidRPr="002603BF">
        <w:rPr>
          <w:rFonts w:ascii="新宋体" w:eastAsia="新宋体" w:hAnsi="新宋体" w:hint="eastAsia"/>
          <w:color w:val="000000" w:themeColor="text1"/>
          <w:kern w:val="2"/>
          <w:sz w:val="21"/>
          <w:szCs w:val="21"/>
        </w:rPr>
        <w:t>从国产矿山来看，一方面，今年钢厂附属矿山、国有矿山基本都正常生产，前期扩产项目也正在推进。大型民营矿山当前停产减产力度依然较小，且今年新增产能较多，整体产量减少有限。另一方面，国内矿山减产主要集中在中小型民营矿山，这部分矿山数量众多但产量占比相对较少，停产数量占全国的30%—40%，从6月开始陆续进入停产状态。国内铁精粉整体减量不足20%，远低于市场此前预期。且由于钢厂多数提高了进口矿配比，导致国产</w:t>
      </w:r>
      <w:proofErr w:type="gramStart"/>
      <w:r w:rsidRPr="002603BF">
        <w:rPr>
          <w:rFonts w:ascii="新宋体" w:eastAsia="新宋体" w:hAnsi="新宋体" w:hint="eastAsia"/>
          <w:color w:val="000000" w:themeColor="text1"/>
          <w:kern w:val="2"/>
          <w:sz w:val="21"/>
          <w:szCs w:val="21"/>
        </w:rPr>
        <w:t>矿销售</w:t>
      </w:r>
      <w:proofErr w:type="gramEnd"/>
      <w:r w:rsidRPr="002603BF">
        <w:rPr>
          <w:rFonts w:ascii="新宋体" w:eastAsia="新宋体" w:hAnsi="新宋体" w:hint="eastAsia"/>
          <w:color w:val="000000" w:themeColor="text1"/>
          <w:kern w:val="2"/>
          <w:sz w:val="21"/>
          <w:szCs w:val="21"/>
        </w:rPr>
        <w:t>困难，原矿库存大幅提高，库存压力或将制约后期反弹高度。1-9月份全国矿山铁精粉库存累计增长1583万吨。</w:t>
      </w:r>
    </w:p>
    <w:p w:rsidR="002603BF" w:rsidRPr="002603BF" w:rsidRDefault="002603BF" w:rsidP="002603BF">
      <w:pPr>
        <w:spacing w:line="360" w:lineRule="auto"/>
        <w:ind w:firstLine="432"/>
        <w:rPr>
          <w:rFonts w:ascii="新宋体" w:eastAsia="新宋体" w:hAnsi="新宋体"/>
          <w:color w:val="000000" w:themeColor="text1"/>
          <w:kern w:val="2"/>
          <w:sz w:val="21"/>
          <w:szCs w:val="21"/>
        </w:rPr>
      </w:pPr>
      <w:r w:rsidRPr="002603BF">
        <w:rPr>
          <w:rFonts w:ascii="新宋体" w:eastAsia="新宋体" w:hAnsi="新宋体" w:hint="eastAsia"/>
          <w:color w:val="000000" w:themeColor="text1"/>
          <w:kern w:val="2"/>
          <w:sz w:val="21"/>
          <w:szCs w:val="21"/>
        </w:rPr>
        <w:t>进入到下半年，国内矿山停产减产的力度有所加大，尤其是中小矿山停产数量众多，使得国内精粉产量出现了一定的下降，这对国产矿的价格起到了一定的支撑作用，但目前最大的问题还是国内矿山如何去库存化。只有改变钢厂</w:t>
      </w:r>
      <w:proofErr w:type="gramStart"/>
      <w:r w:rsidRPr="002603BF">
        <w:rPr>
          <w:rFonts w:ascii="新宋体" w:eastAsia="新宋体" w:hAnsi="新宋体" w:hint="eastAsia"/>
          <w:color w:val="000000" w:themeColor="text1"/>
          <w:kern w:val="2"/>
          <w:sz w:val="21"/>
          <w:szCs w:val="21"/>
        </w:rPr>
        <w:t>进口矿高配比</w:t>
      </w:r>
      <w:proofErr w:type="gramEnd"/>
      <w:r w:rsidRPr="002603BF">
        <w:rPr>
          <w:rFonts w:ascii="新宋体" w:eastAsia="新宋体" w:hAnsi="新宋体" w:hint="eastAsia"/>
          <w:color w:val="000000" w:themeColor="text1"/>
          <w:kern w:val="2"/>
          <w:sz w:val="21"/>
          <w:szCs w:val="21"/>
        </w:rPr>
        <w:t>的状况，才能促使钢厂对内矿的需求重新回升，而钢厂调整内外矿配比主要是根据性价比原则，目前的内外矿价差过高，导致进口</w:t>
      </w:r>
      <w:proofErr w:type="gramStart"/>
      <w:r w:rsidRPr="002603BF">
        <w:rPr>
          <w:rFonts w:ascii="新宋体" w:eastAsia="新宋体" w:hAnsi="新宋体" w:hint="eastAsia"/>
          <w:color w:val="000000" w:themeColor="text1"/>
          <w:kern w:val="2"/>
          <w:sz w:val="21"/>
          <w:szCs w:val="21"/>
        </w:rPr>
        <w:t>矿价格</w:t>
      </w:r>
      <w:proofErr w:type="gramEnd"/>
      <w:r w:rsidRPr="002603BF">
        <w:rPr>
          <w:rFonts w:ascii="新宋体" w:eastAsia="新宋体" w:hAnsi="新宋体" w:hint="eastAsia"/>
          <w:color w:val="000000" w:themeColor="text1"/>
          <w:kern w:val="2"/>
          <w:sz w:val="21"/>
          <w:szCs w:val="21"/>
        </w:rPr>
        <w:t>优势明显。</w:t>
      </w:r>
      <w:r w:rsidRPr="002603BF">
        <w:rPr>
          <w:rFonts w:ascii="新宋体" w:eastAsia="新宋体" w:hAnsi="新宋体"/>
          <w:color w:val="000000" w:themeColor="text1"/>
          <w:kern w:val="2"/>
          <w:sz w:val="21"/>
          <w:szCs w:val="21"/>
        </w:rPr>
        <w:t>与超过</w:t>
      </w:r>
      <w:r w:rsidRPr="002603BF">
        <w:rPr>
          <w:rFonts w:ascii="新宋体" w:eastAsia="新宋体" w:hAnsi="新宋体" w:hint="eastAsia"/>
          <w:color w:val="000000" w:themeColor="text1"/>
          <w:kern w:val="2"/>
          <w:sz w:val="21"/>
          <w:szCs w:val="21"/>
        </w:rPr>
        <w:t>10%增长的矿石供应对照的是，增速日益放缓的粗钢产量。</w:t>
      </w:r>
    </w:p>
    <w:p w:rsidR="002603BF" w:rsidRPr="002603BF" w:rsidRDefault="002603BF" w:rsidP="002603BF">
      <w:pPr>
        <w:pStyle w:val="a3"/>
        <w:spacing w:after="0" w:line="480" w:lineRule="atLeast"/>
        <w:jc w:val="center"/>
        <w:rPr>
          <w:rFonts w:ascii="新宋体" w:eastAsia="新宋体" w:hAnsi="新宋体"/>
          <w:color w:val="000000" w:themeColor="text1"/>
          <w:sz w:val="21"/>
          <w:szCs w:val="21"/>
        </w:rPr>
      </w:pPr>
      <w:r w:rsidRPr="002603BF">
        <w:rPr>
          <w:rFonts w:ascii="新宋体" w:eastAsia="新宋体" w:hAnsi="新宋体" w:hint="eastAsia"/>
          <w:color w:val="000000" w:themeColor="text1"/>
          <w:sz w:val="21"/>
          <w:szCs w:val="21"/>
        </w:rPr>
        <w:lastRenderedPageBreak/>
        <w:t>图</w:t>
      </w:r>
      <w:r w:rsidRPr="002603BF">
        <w:rPr>
          <w:rFonts w:ascii="新宋体" w:eastAsia="新宋体" w:hAnsi="新宋体"/>
          <w:color w:val="000000" w:themeColor="text1"/>
          <w:sz w:val="21"/>
          <w:szCs w:val="21"/>
        </w:rPr>
        <w:t>12</w:t>
      </w:r>
      <w:r w:rsidRPr="002603BF">
        <w:rPr>
          <w:rFonts w:ascii="新宋体" w:eastAsia="新宋体" w:hAnsi="新宋体" w:hint="eastAsia"/>
          <w:color w:val="000000" w:themeColor="text1"/>
          <w:sz w:val="21"/>
          <w:szCs w:val="21"/>
        </w:rPr>
        <w:t>：铁矿石进口量与钢材产量对比</w:t>
      </w:r>
    </w:p>
    <w:p w:rsidR="002603BF" w:rsidRDefault="002603BF" w:rsidP="002603BF">
      <w:pPr>
        <w:ind w:firstLine="420"/>
        <w:jc w:val="center"/>
      </w:pPr>
      <w:r>
        <w:rPr>
          <w:noProof/>
        </w:rPr>
        <w:drawing>
          <wp:inline distT="0" distB="0" distL="0" distR="0" wp14:anchorId="7EF882AF" wp14:editId="1EBA768D">
            <wp:extent cx="4320000" cy="2520000"/>
            <wp:effectExtent l="0" t="0" r="4445" b="1397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603BF" w:rsidRPr="002603BF" w:rsidRDefault="002603BF" w:rsidP="002603BF">
      <w:pPr>
        <w:jc w:val="center"/>
        <w:rPr>
          <w:rFonts w:ascii="新宋体" w:eastAsia="新宋体" w:hAnsi="新宋体" w:cstheme="minorBidi"/>
          <w:color w:val="000000" w:themeColor="text1"/>
          <w:kern w:val="2"/>
          <w:sz w:val="21"/>
          <w:szCs w:val="21"/>
        </w:rPr>
      </w:pPr>
      <w:r>
        <w:rPr>
          <w:rFonts w:hint="eastAsia"/>
        </w:rPr>
        <w:t>数</w:t>
      </w:r>
      <w:r w:rsidRPr="002603BF">
        <w:rPr>
          <w:rFonts w:ascii="新宋体" w:eastAsia="新宋体" w:hAnsi="新宋体" w:cstheme="minorBidi" w:hint="eastAsia"/>
          <w:color w:val="000000" w:themeColor="text1"/>
          <w:kern w:val="2"/>
          <w:sz w:val="21"/>
          <w:szCs w:val="21"/>
        </w:rPr>
        <w:t>据来源：方正中期期货研究院整理</w:t>
      </w:r>
    </w:p>
    <w:p w:rsidR="002603BF" w:rsidRPr="002603BF" w:rsidRDefault="002603BF" w:rsidP="002603BF">
      <w:pPr>
        <w:spacing w:line="360" w:lineRule="auto"/>
        <w:ind w:firstLine="432"/>
        <w:rPr>
          <w:rFonts w:ascii="新宋体" w:eastAsia="新宋体" w:hAnsi="新宋体"/>
          <w:color w:val="000000" w:themeColor="text1"/>
          <w:kern w:val="2"/>
          <w:sz w:val="21"/>
          <w:szCs w:val="21"/>
        </w:rPr>
      </w:pPr>
      <w:r w:rsidRPr="002603BF">
        <w:rPr>
          <w:rFonts w:ascii="新宋体" w:eastAsia="新宋体" w:hAnsi="新宋体" w:hint="eastAsia"/>
          <w:color w:val="000000" w:themeColor="text1"/>
          <w:kern w:val="2"/>
          <w:sz w:val="21"/>
          <w:szCs w:val="21"/>
        </w:rPr>
        <w:t>随着气温下降、APEC会议的召开，</w:t>
      </w:r>
      <w:proofErr w:type="gramStart"/>
      <w:r w:rsidRPr="002603BF">
        <w:rPr>
          <w:rFonts w:ascii="新宋体" w:eastAsia="新宋体" w:hAnsi="新宋体" w:hint="eastAsia"/>
          <w:color w:val="000000" w:themeColor="text1"/>
          <w:kern w:val="2"/>
          <w:sz w:val="21"/>
          <w:szCs w:val="21"/>
        </w:rPr>
        <w:t>钢企将</w:t>
      </w:r>
      <w:proofErr w:type="gramEnd"/>
      <w:r w:rsidRPr="002603BF">
        <w:rPr>
          <w:rFonts w:ascii="新宋体" w:eastAsia="新宋体" w:hAnsi="新宋体" w:hint="eastAsia"/>
          <w:color w:val="000000" w:themeColor="text1"/>
          <w:kern w:val="2"/>
          <w:sz w:val="21"/>
          <w:szCs w:val="21"/>
        </w:rPr>
        <w:t>进一步加大减产检修力度。不过，南方地区钢厂盈利尚可，减产积极性较低，北方地区钢厂仍将担当减产主力，后期全国</w:t>
      </w:r>
      <w:proofErr w:type="gramStart"/>
      <w:r w:rsidRPr="002603BF">
        <w:rPr>
          <w:rFonts w:ascii="新宋体" w:eastAsia="新宋体" w:hAnsi="新宋体" w:hint="eastAsia"/>
          <w:color w:val="000000" w:themeColor="text1"/>
          <w:kern w:val="2"/>
          <w:sz w:val="21"/>
          <w:szCs w:val="21"/>
        </w:rPr>
        <w:t>粗钢日均</w:t>
      </w:r>
      <w:proofErr w:type="gramEnd"/>
      <w:r w:rsidRPr="002603BF">
        <w:rPr>
          <w:rFonts w:ascii="新宋体" w:eastAsia="新宋体" w:hAnsi="新宋体" w:hint="eastAsia"/>
          <w:color w:val="000000" w:themeColor="text1"/>
          <w:kern w:val="2"/>
          <w:sz w:val="21"/>
          <w:szCs w:val="21"/>
        </w:rPr>
        <w:t>产量跌破220万吨是大概率事件。</w:t>
      </w:r>
    </w:p>
    <w:p w:rsidR="002603BF" w:rsidRPr="002603BF" w:rsidRDefault="002603BF" w:rsidP="002603BF">
      <w:pPr>
        <w:spacing w:before="100" w:beforeAutospacing="1" w:after="100" w:afterAutospacing="1"/>
        <w:rPr>
          <w:rFonts w:ascii="新宋体" w:eastAsia="新宋体" w:hAnsi="新宋体"/>
          <w:b/>
          <w:color w:val="000000" w:themeColor="text1"/>
          <w:sz w:val="21"/>
          <w:szCs w:val="21"/>
        </w:rPr>
      </w:pPr>
      <w:r>
        <w:rPr>
          <w:rFonts w:ascii="新宋体" w:eastAsia="新宋体" w:hAnsi="新宋体" w:hint="eastAsia"/>
          <w:b/>
          <w:color w:val="000000" w:themeColor="text1"/>
          <w:sz w:val="21"/>
          <w:szCs w:val="21"/>
        </w:rPr>
        <w:t>四、</w:t>
      </w:r>
      <w:r w:rsidRPr="002603BF">
        <w:rPr>
          <w:rFonts w:ascii="新宋体" w:eastAsia="新宋体" w:hAnsi="新宋体" w:hint="eastAsia"/>
          <w:b/>
          <w:color w:val="000000" w:themeColor="text1"/>
          <w:sz w:val="21"/>
          <w:szCs w:val="21"/>
        </w:rPr>
        <w:t>后市展望与操作策略</w:t>
      </w:r>
    </w:p>
    <w:p w:rsidR="002603BF" w:rsidRPr="002603BF" w:rsidRDefault="002603BF" w:rsidP="002603BF">
      <w:pPr>
        <w:spacing w:line="360" w:lineRule="auto"/>
        <w:ind w:firstLine="432"/>
        <w:rPr>
          <w:rFonts w:ascii="新宋体" w:eastAsia="新宋体" w:hAnsi="新宋体"/>
          <w:color w:val="000000" w:themeColor="text1"/>
          <w:kern w:val="2"/>
          <w:sz w:val="21"/>
          <w:szCs w:val="21"/>
        </w:rPr>
      </w:pPr>
      <w:r w:rsidRPr="002603BF">
        <w:rPr>
          <w:rFonts w:ascii="新宋体" w:eastAsia="新宋体" w:hAnsi="新宋体" w:hint="eastAsia"/>
          <w:color w:val="000000" w:themeColor="text1"/>
          <w:kern w:val="2"/>
          <w:sz w:val="21"/>
          <w:szCs w:val="21"/>
        </w:rPr>
        <w:t>黑色系主线钢铁市场来看，看涨看跌预期交织，炉料市场难有明显的反转基础。但不同品种之间强弱仍有区别。其中对于焦煤焦炭而言，随着煤炭进口政策的调整带来的进口量的萎缩以及APEC会议的召开，对主消费地华北带来的原料需求的缩减或继续抵消一部分供给上的缩减作用，都会对焦煤焦炭价格起到一定支撑。因此，1</w:t>
      </w:r>
      <w:r w:rsidRPr="002603BF">
        <w:rPr>
          <w:rFonts w:ascii="新宋体" w:eastAsia="新宋体" w:hAnsi="新宋体"/>
          <w:color w:val="000000" w:themeColor="text1"/>
          <w:kern w:val="2"/>
          <w:sz w:val="21"/>
          <w:szCs w:val="21"/>
        </w:rPr>
        <w:t>1</w:t>
      </w:r>
      <w:r w:rsidRPr="002603BF">
        <w:rPr>
          <w:rFonts w:ascii="新宋体" w:eastAsia="新宋体" w:hAnsi="新宋体" w:hint="eastAsia"/>
          <w:color w:val="000000" w:themeColor="text1"/>
          <w:kern w:val="2"/>
          <w:sz w:val="21"/>
          <w:szCs w:val="21"/>
        </w:rPr>
        <w:t>月焦煤焦炭价格将面临上有压力，下有支撑的局面；基于此，我们预计11月份焦煤期货价格仍在缓慢筑底震荡过程中，主力合约JM501价格主要运行区间在750-800元。而矿石由于进口矿供给压力较大，建议投资者不要盲目抄底，短线维持514-560区间调整思路对待。</w:t>
      </w:r>
    </w:p>
    <w:p w:rsidR="00814639" w:rsidRPr="002603BF" w:rsidRDefault="00814639" w:rsidP="00814639">
      <w:pPr>
        <w:spacing w:before="100" w:beforeAutospacing="1" w:after="100" w:afterAutospacing="1" w:line="450" w:lineRule="atLeast"/>
        <w:ind w:firstLine="525"/>
        <w:rPr>
          <w:rFonts w:ascii="新宋体" w:eastAsia="新宋体" w:hAnsi="新宋体" w:cs="宋体"/>
          <w:color w:val="000000" w:themeColor="text1"/>
          <w:sz w:val="21"/>
          <w:szCs w:val="21"/>
        </w:rPr>
      </w:pPr>
    </w:p>
    <w:p w:rsidR="0007385E" w:rsidRDefault="0007385E" w:rsidP="0007385E">
      <w:pPr>
        <w:spacing w:before="100" w:beforeAutospacing="1" w:after="100" w:afterAutospacing="1"/>
        <w:jc w:val="center"/>
        <w:rPr>
          <w:rFonts w:ascii="新宋体" w:eastAsia="新宋体" w:hAnsi="新宋体"/>
          <w:b/>
          <w:color w:val="000000" w:themeColor="text1"/>
          <w:sz w:val="32"/>
          <w:szCs w:val="32"/>
        </w:rPr>
      </w:pPr>
      <w:r>
        <w:rPr>
          <w:rFonts w:ascii="新宋体" w:eastAsia="新宋体" w:hAnsi="新宋体" w:hint="eastAsia"/>
          <w:b/>
          <w:color w:val="000000" w:themeColor="text1"/>
          <w:sz w:val="32"/>
          <w:szCs w:val="32"/>
        </w:rPr>
        <w:t>三</w:t>
      </w:r>
      <w:r w:rsidRPr="00814639">
        <w:rPr>
          <w:rFonts w:ascii="新宋体" w:eastAsia="新宋体" w:hAnsi="新宋体" w:hint="eastAsia"/>
          <w:b/>
          <w:color w:val="000000" w:themeColor="text1"/>
          <w:sz w:val="32"/>
          <w:szCs w:val="32"/>
        </w:rPr>
        <w:t>、</w:t>
      </w:r>
      <w:r>
        <w:rPr>
          <w:rFonts w:ascii="新宋体" w:eastAsia="新宋体" w:hAnsi="新宋体" w:hint="eastAsia"/>
          <w:b/>
          <w:color w:val="000000" w:themeColor="text1"/>
          <w:sz w:val="32"/>
          <w:szCs w:val="32"/>
        </w:rPr>
        <w:t>胶合板、纤维板</w:t>
      </w:r>
      <w:r w:rsidRPr="00814639">
        <w:rPr>
          <w:rFonts w:ascii="新宋体" w:eastAsia="新宋体" w:hAnsi="新宋体" w:hint="eastAsia"/>
          <w:b/>
          <w:color w:val="000000" w:themeColor="text1"/>
          <w:sz w:val="32"/>
          <w:szCs w:val="32"/>
        </w:rPr>
        <w:t>交易策略</w:t>
      </w:r>
    </w:p>
    <w:p w:rsidR="00B5448C" w:rsidRPr="00B5448C" w:rsidRDefault="00B5448C" w:rsidP="00B5448C">
      <w:pPr>
        <w:spacing w:before="100" w:beforeAutospacing="1" w:after="100" w:afterAutospacing="1"/>
        <w:rPr>
          <w:rFonts w:ascii="新宋体" w:eastAsia="新宋体" w:hAnsi="新宋体" w:hint="eastAsia"/>
          <w:b/>
          <w:color w:val="000000" w:themeColor="text1"/>
          <w:sz w:val="21"/>
          <w:szCs w:val="21"/>
        </w:rPr>
      </w:pPr>
      <w:r w:rsidRPr="00B5448C">
        <w:rPr>
          <w:rFonts w:ascii="新宋体" w:eastAsia="新宋体" w:hAnsi="新宋体" w:hint="eastAsia"/>
          <w:b/>
          <w:color w:val="000000" w:themeColor="text1"/>
          <w:sz w:val="21"/>
          <w:szCs w:val="21"/>
        </w:rPr>
        <w:t>下游接货意愿不强，纤维板延续震荡偏弱格局延续</w:t>
      </w:r>
    </w:p>
    <w:p w:rsidR="0007385E" w:rsidRPr="0007385E" w:rsidRDefault="0007385E" w:rsidP="0007385E">
      <w:pPr>
        <w:spacing w:before="100" w:beforeAutospacing="1" w:after="100" w:afterAutospacing="1" w:line="450" w:lineRule="atLeast"/>
        <w:ind w:firstLine="525"/>
        <w:rPr>
          <w:rFonts w:ascii="新宋体" w:eastAsia="新宋体" w:hAnsi="新宋体" w:cs="宋体"/>
          <w:color w:val="000000" w:themeColor="text1"/>
          <w:sz w:val="21"/>
          <w:szCs w:val="21"/>
        </w:rPr>
      </w:pPr>
      <w:r w:rsidRPr="0007385E">
        <w:rPr>
          <w:rFonts w:ascii="新宋体" w:eastAsia="新宋体" w:hAnsi="新宋体" w:cs="宋体" w:hint="eastAsia"/>
          <w:color w:val="000000" w:themeColor="text1"/>
          <w:sz w:val="21"/>
          <w:szCs w:val="21"/>
        </w:rPr>
        <w:lastRenderedPageBreak/>
        <w:t>2014年9月，伴随着FB1409合约进入交割月，纤维板期货仓</w:t>
      </w:r>
      <w:proofErr w:type="gramStart"/>
      <w:r w:rsidRPr="0007385E">
        <w:rPr>
          <w:rFonts w:ascii="新宋体" w:eastAsia="新宋体" w:hAnsi="新宋体" w:cs="宋体" w:hint="eastAsia"/>
          <w:color w:val="000000" w:themeColor="text1"/>
          <w:sz w:val="21"/>
          <w:szCs w:val="21"/>
        </w:rPr>
        <w:t>单注册</w:t>
      </w:r>
      <w:proofErr w:type="gramEnd"/>
      <w:r w:rsidRPr="0007385E">
        <w:rPr>
          <w:rFonts w:ascii="新宋体" w:eastAsia="新宋体" w:hAnsi="新宋体" w:cs="宋体" w:hint="eastAsia"/>
          <w:color w:val="000000" w:themeColor="text1"/>
          <w:sz w:val="21"/>
          <w:szCs w:val="21"/>
        </w:rPr>
        <w:t>成本逐步引发市场关注，9月上中旬，纤维板期货价格走高，前期多头转战新主力FB1501合约；9月下旬，纤维板期货价格在触及仓单成本64元</w:t>
      </w:r>
      <w:bookmarkStart w:id="0" w:name="_GoBack"/>
      <w:bookmarkEnd w:id="0"/>
      <w:r w:rsidRPr="0007385E">
        <w:rPr>
          <w:rFonts w:ascii="新宋体" w:eastAsia="新宋体" w:hAnsi="新宋体" w:cs="宋体" w:hint="eastAsia"/>
          <w:color w:val="000000" w:themeColor="text1"/>
          <w:sz w:val="21"/>
          <w:szCs w:val="21"/>
        </w:rPr>
        <w:t>/张后步入下跌通道。截止9月30日，纤维板主力FB1501合约继续下跌62.50元/张，月涨幅5.31%；总成交量792236手，持仓量25214手，成交持仓继续萎缩。</w:t>
      </w:r>
    </w:p>
    <w:p w:rsidR="0007385E" w:rsidRPr="0007385E" w:rsidRDefault="0007385E" w:rsidP="0007385E">
      <w:pPr>
        <w:spacing w:before="100" w:beforeAutospacing="1" w:after="100" w:afterAutospacing="1"/>
        <w:rPr>
          <w:rFonts w:ascii="新宋体" w:eastAsia="新宋体" w:hAnsi="新宋体"/>
          <w:b/>
          <w:color w:val="000000" w:themeColor="text1"/>
          <w:sz w:val="21"/>
          <w:szCs w:val="21"/>
        </w:rPr>
      </w:pPr>
      <w:r>
        <w:rPr>
          <w:rFonts w:ascii="新宋体" w:eastAsia="新宋体" w:hAnsi="新宋体" w:hint="eastAsia"/>
          <w:b/>
          <w:color w:val="000000" w:themeColor="text1"/>
          <w:sz w:val="21"/>
          <w:szCs w:val="21"/>
        </w:rPr>
        <w:t>1、</w:t>
      </w:r>
      <w:r w:rsidRPr="0007385E">
        <w:rPr>
          <w:rFonts w:ascii="新宋体" w:eastAsia="新宋体" w:hAnsi="新宋体" w:hint="eastAsia"/>
          <w:b/>
          <w:color w:val="000000" w:themeColor="text1"/>
          <w:sz w:val="21"/>
          <w:szCs w:val="21"/>
        </w:rPr>
        <w:t>我国纤维板产量缓慢增长</w:t>
      </w:r>
    </w:p>
    <w:p w:rsidR="0007385E" w:rsidRPr="0007385E" w:rsidRDefault="0007385E" w:rsidP="0007385E">
      <w:pPr>
        <w:spacing w:before="100" w:beforeAutospacing="1" w:after="100" w:afterAutospacing="1" w:line="450" w:lineRule="atLeast"/>
        <w:ind w:firstLine="525"/>
        <w:rPr>
          <w:rFonts w:ascii="新宋体" w:eastAsia="新宋体" w:hAnsi="新宋体" w:cs="宋体"/>
          <w:color w:val="000000" w:themeColor="text1"/>
          <w:sz w:val="21"/>
          <w:szCs w:val="21"/>
        </w:rPr>
      </w:pPr>
      <w:r w:rsidRPr="0007385E">
        <w:rPr>
          <w:rFonts w:ascii="新宋体" w:eastAsia="新宋体" w:hAnsi="新宋体" w:cs="宋体" w:hint="eastAsia"/>
          <w:color w:val="000000" w:themeColor="text1"/>
          <w:sz w:val="21"/>
          <w:szCs w:val="21"/>
        </w:rPr>
        <w:t>受国内房地产调控和国际社会购买力下降的双重影响，2012年起我国人造板产量增速放缓，2014年以来，两板生产形势有所好转，产量增速小幅回升。其中，2014年9月全国纤维板产量为</w:t>
      </w:r>
      <w:r w:rsidRPr="0007385E">
        <w:rPr>
          <w:rFonts w:ascii="新宋体" w:eastAsia="新宋体" w:hAnsi="新宋体" w:cs="宋体"/>
          <w:color w:val="000000" w:themeColor="text1"/>
          <w:sz w:val="21"/>
          <w:szCs w:val="21"/>
        </w:rPr>
        <w:t>5</w:t>
      </w:r>
      <w:r w:rsidRPr="0007385E">
        <w:rPr>
          <w:rFonts w:ascii="新宋体" w:eastAsia="新宋体" w:hAnsi="新宋体" w:cs="宋体" w:hint="eastAsia"/>
          <w:color w:val="000000" w:themeColor="text1"/>
          <w:sz w:val="21"/>
          <w:szCs w:val="21"/>
        </w:rPr>
        <w:t>757568立方米，同比增长5.32%。增速均较上月有小幅下滑。</w:t>
      </w:r>
    </w:p>
    <w:p w:rsidR="0007385E" w:rsidRPr="0007385E" w:rsidRDefault="0007385E" w:rsidP="0007385E">
      <w:pPr>
        <w:jc w:val="center"/>
      </w:pPr>
      <w:r w:rsidRPr="0007385E">
        <w:rPr>
          <w:rFonts w:hint="eastAsia"/>
        </w:rPr>
        <w:t>图</w:t>
      </w:r>
      <w:r w:rsidRPr="0007385E">
        <w:rPr>
          <w:rFonts w:hint="eastAsia"/>
        </w:rPr>
        <w:t>1</w:t>
      </w:r>
      <w:r w:rsidRPr="0007385E">
        <w:rPr>
          <w:rFonts w:hint="eastAsia"/>
        </w:rPr>
        <w:t>：中国纤维板产量增速小幅回升</w:t>
      </w:r>
    </w:p>
    <w:p w:rsidR="0007385E" w:rsidRPr="00413318" w:rsidRDefault="0007385E" w:rsidP="0007385E">
      <w:pPr>
        <w:jc w:val="center"/>
        <w:rPr>
          <w:rFonts w:ascii="新宋体" w:eastAsia="新宋体" w:hAnsi="新宋体"/>
          <w:color w:val="686144"/>
          <w:szCs w:val="21"/>
        </w:rPr>
      </w:pPr>
      <w:r>
        <w:rPr>
          <w:noProof/>
        </w:rPr>
        <w:drawing>
          <wp:inline distT="0" distB="0" distL="0" distR="0" wp14:anchorId="76BAE8E5" wp14:editId="7B85A0CF">
            <wp:extent cx="4200525" cy="2333625"/>
            <wp:effectExtent l="0" t="0" r="9525" b="9525"/>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7385E" w:rsidRPr="0007385E" w:rsidRDefault="0007385E" w:rsidP="0007385E">
      <w:pPr>
        <w:jc w:val="center"/>
      </w:pPr>
      <w:r w:rsidRPr="0007385E">
        <w:rPr>
          <w:rFonts w:hint="eastAsia"/>
        </w:rPr>
        <w:t>资料来源：</w:t>
      </w:r>
      <w:r w:rsidRPr="0007385E">
        <w:rPr>
          <w:rFonts w:hint="eastAsia"/>
        </w:rPr>
        <w:t>Wind</w:t>
      </w:r>
      <w:r w:rsidRPr="0007385E">
        <w:rPr>
          <w:rFonts w:hint="eastAsia"/>
        </w:rPr>
        <w:t>、方正中期研究院</w:t>
      </w:r>
    </w:p>
    <w:p w:rsidR="0007385E" w:rsidRPr="0007385E" w:rsidRDefault="0007385E" w:rsidP="0007385E">
      <w:pPr>
        <w:spacing w:before="100" w:beforeAutospacing="1" w:after="100" w:afterAutospacing="1"/>
        <w:rPr>
          <w:rFonts w:ascii="新宋体" w:eastAsia="新宋体" w:hAnsi="新宋体"/>
          <w:b/>
          <w:color w:val="000000" w:themeColor="text1"/>
          <w:sz w:val="21"/>
          <w:szCs w:val="21"/>
        </w:rPr>
      </w:pPr>
      <w:r>
        <w:rPr>
          <w:rFonts w:ascii="新宋体" w:eastAsia="新宋体" w:hAnsi="新宋体" w:hint="eastAsia"/>
          <w:b/>
          <w:color w:val="000000" w:themeColor="text1"/>
          <w:sz w:val="21"/>
          <w:szCs w:val="21"/>
        </w:rPr>
        <w:t>2、</w:t>
      </w:r>
      <w:r w:rsidRPr="0007385E">
        <w:rPr>
          <w:rFonts w:ascii="新宋体" w:eastAsia="新宋体" w:hAnsi="新宋体" w:hint="eastAsia"/>
          <w:b/>
          <w:color w:val="000000" w:themeColor="text1"/>
          <w:sz w:val="21"/>
          <w:szCs w:val="21"/>
        </w:rPr>
        <w:t>我国原木进口量明显减少</w:t>
      </w:r>
    </w:p>
    <w:p w:rsidR="0007385E" w:rsidRPr="0007385E" w:rsidRDefault="0007385E" w:rsidP="0007385E">
      <w:pPr>
        <w:spacing w:before="100" w:beforeAutospacing="1" w:after="100" w:afterAutospacing="1" w:line="450" w:lineRule="atLeast"/>
        <w:ind w:firstLine="525"/>
        <w:rPr>
          <w:rFonts w:ascii="新宋体" w:eastAsia="新宋体" w:hAnsi="新宋体" w:cs="宋体"/>
          <w:color w:val="000000" w:themeColor="text1"/>
          <w:sz w:val="21"/>
          <w:szCs w:val="21"/>
        </w:rPr>
      </w:pPr>
      <w:r w:rsidRPr="0007385E">
        <w:rPr>
          <w:rFonts w:ascii="新宋体" w:eastAsia="新宋体" w:hAnsi="新宋体" w:cs="宋体" w:hint="eastAsia"/>
          <w:color w:val="000000" w:themeColor="text1"/>
          <w:sz w:val="21"/>
          <w:szCs w:val="21"/>
        </w:rPr>
        <w:t>中国木材与木制品流通协会与商务部流通业发展司共同发布的调查文件结果显示，2014年9月，中国木材市场价格综合指数为120.1%，同比上涨1.8个百分点，环比下跌0.5个百分点。其中，国产木材价格同比上涨0.2个百分点，环比下跌0.8个百分点；进口木材价格同比上涨6.4个百分点，环比基本持平；原木价格同比上涨0.2个百分点，环比下跌0.5个百分点；锯材价格同比上涨10.1个百分点，环比下跌0.6个百分点。</w:t>
      </w:r>
    </w:p>
    <w:p w:rsidR="0007385E" w:rsidRPr="0007385E" w:rsidRDefault="0007385E" w:rsidP="0007385E">
      <w:pPr>
        <w:jc w:val="center"/>
      </w:pPr>
      <w:r w:rsidRPr="0007385E">
        <w:rPr>
          <w:rFonts w:hint="eastAsia"/>
        </w:rPr>
        <w:t>图</w:t>
      </w:r>
      <w:r w:rsidRPr="0007385E">
        <w:rPr>
          <w:rFonts w:hint="eastAsia"/>
        </w:rPr>
        <w:t>2</w:t>
      </w:r>
      <w:r w:rsidRPr="0007385E">
        <w:rPr>
          <w:rFonts w:hint="eastAsia"/>
        </w:rPr>
        <w:t>：</w:t>
      </w:r>
      <w:r w:rsidRPr="0007385E">
        <w:rPr>
          <w:rFonts w:hint="eastAsia"/>
        </w:rPr>
        <w:t>10</w:t>
      </w:r>
      <w:r w:rsidRPr="0007385E">
        <w:rPr>
          <w:rFonts w:hint="eastAsia"/>
        </w:rPr>
        <w:t>月进口原木单价继续回落</w:t>
      </w:r>
    </w:p>
    <w:p w:rsidR="0007385E" w:rsidRPr="00413318" w:rsidRDefault="0007385E" w:rsidP="0007385E">
      <w:pPr>
        <w:autoSpaceDE w:val="0"/>
        <w:autoSpaceDN w:val="0"/>
        <w:adjustRightInd w:val="0"/>
        <w:jc w:val="center"/>
        <w:rPr>
          <w:rFonts w:ascii="新宋体" w:eastAsia="新宋体" w:hAnsi="新宋体"/>
          <w:color w:val="686144"/>
          <w:szCs w:val="21"/>
        </w:rPr>
      </w:pPr>
      <w:r>
        <w:rPr>
          <w:noProof/>
        </w:rPr>
        <w:lastRenderedPageBreak/>
        <w:drawing>
          <wp:inline distT="0" distB="0" distL="0" distR="0" wp14:anchorId="15A139C6" wp14:editId="65320FFC">
            <wp:extent cx="3952875" cy="2371725"/>
            <wp:effectExtent l="0" t="0" r="9525"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7385E" w:rsidRPr="0007385E" w:rsidRDefault="0007385E" w:rsidP="0007385E">
      <w:pPr>
        <w:jc w:val="center"/>
      </w:pPr>
      <w:r w:rsidRPr="0007385E">
        <w:rPr>
          <w:rFonts w:hint="eastAsia"/>
        </w:rPr>
        <w:t>资料来源：</w:t>
      </w:r>
      <w:r w:rsidRPr="0007385E">
        <w:rPr>
          <w:rFonts w:hint="eastAsia"/>
        </w:rPr>
        <w:t>Wind</w:t>
      </w:r>
      <w:r w:rsidRPr="0007385E">
        <w:rPr>
          <w:rFonts w:hint="eastAsia"/>
        </w:rPr>
        <w:t>、方正中期研究院</w:t>
      </w:r>
    </w:p>
    <w:p w:rsidR="0007385E" w:rsidRPr="0007385E" w:rsidRDefault="0007385E" w:rsidP="0007385E">
      <w:pPr>
        <w:spacing w:before="100" w:beforeAutospacing="1" w:after="100" w:afterAutospacing="1"/>
        <w:rPr>
          <w:rFonts w:ascii="新宋体" w:eastAsia="新宋体" w:hAnsi="新宋体"/>
          <w:b/>
          <w:color w:val="000000" w:themeColor="text1"/>
          <w:sz w:val="21"/>
          <w:szCs w:val="21"/>
        </w:rPr>
      </w:pPr>
      <w:r>
        <w:rPr>
          <w:rFonts w:ascii="新宋体" w:eastAsia="新宋体" w:hAnsi="新宋体" w:hint="eastAsia"/>
          <w:b/>
          <w:color w:val="000000" w:themeColor="text1"/>
          <w:sz w:val="21"/>
          <w:szCs w:val="21"/>
        </w:rPr>
        <w:t>3、</w:t>
      </w:r>
      <w:r w:rsidRPr="0007385E">
        <w:rPr>
          <w:rFonts w:ascii="新宋体" w:eastAsia="新宋体" w:hAnsi="新宋体" w:hint="eastAsia"/>
          <w:b/>
          <w:color w:val="000000" w:themeColor="text1"/>
          <w:sz w:val="21"/>
          <w:szCs w:val="21"/>
        </w:rPr>
        <w:t>2014年初</w:t>
      </w:r>
      <w:r w:rsidRPr="0007385E">
        <w:rPr>
          <w:rFonts w:ascii="新宋体" w:eastAsia="新宋体" w:hAnsi="新宋体"/>
          <w:b/>
          <w:color w:val="000000" w:themeColor="text1"/>
          <w:sz w:val="21"/>
          <w:szCs w:val="21"/>
        </w:rPr>
        <w:t>胶黏剂</w:t>
      </w:r>
      <w:r w:rsidRPr="0007385E">
        <w:rPr>
          <w:rFonts w:ascii="新宋体" w:eastAsia="新宋体" w:hAnsi="新宋体" w:hint="eastAsia"/>
          <w:b/>
          <w:color w:val="000000" w:themeColor="text1"/>
          <w:sz w:val="21"/>
          <w:szCs w:val="21"/>
        </w:rPr>
        <w:t>原料价格走低拖累纤维板价格</w:t>
      </w:r>
    </w:p>
    <w:p w:rsidR="0007385E" w:rsidRPr="0007385E" w:rsidRDefault="0007385E" w:rsidP="0007385E">
      <w:pPr>
        <w:spacing w:before="100" w:beforeAutospacing="1" w:after="100" w:afterAutospacing="1" w:line="450" w:lineRule="atLeast"/>
        <w:ind w:firstLine="525"/>
        <w:rPr>
          <w:rFonts w:ascii="新宋体" w:eastAsia="新宋体" w:hAnsi="新宋体" w:cs="宋体"/>
          <w:color w:val="000000" w:themeColor="text1"/>
          <w:sz w:val="21"/>
          <w:szCs w:val="21"/>
        </w:rPr>
      </w:pPr>
      <w:r w:rsidRPr="0007385E">
        <w:rPr>
          <w:rFonts w:ascii="新宋体" w:eastAsia="新宋体" w:hAnsi="新宋体" w:cs="宋体" w:hint="eastAsia"/>
          <w:color w:val="000000" w:themeColor="text1"/>
          <w:sz w:val="21"/>
          <w:szCs w:val="21"/>
        </w:rPr>
        <w:t>甲醛和尿素是制造脲醛树脂的主要原料，其中</w:t>
      </w:r>
      <w:r w:rsidRPr="0007385E">
        <w:rPr>
          <w:rFonts w:ascii="新宋体" w:eastAsia="新宋体" w:hAnsi="新宋体" w:cs="宋体"/>
          <w:color w:val="000000" w:themeColor="text1"/>
          <w:sz w:val="21"/>
          <w:szCs w:val="21"/>
        </w:rPr>
        <w:t>纤维板</w:t>
      </w:r>
      <w:proofErr w:type="gramStart"/>
      <w:r w:rsidRPr="0007385E">
        <w:rPr>
          <w:rFonts w:ascii="新宋体" w:eastAsia="新宋体" w:hAnsi="新宋体" w:cs="宋体"/>
          <w:color w:val="000000" w:themeColor="text1"/>
          <w:sz w:val="21"/>
          <w:szCs w:val="21"/>
        </w:rPr>
        <w:t>用胶黏剂占总</w:t>
      </w:r>
      <w:proofErr w:type="gramEnd"/>
      <w:r w:rsidRPr="0007385E">
        <w:rPr>
          <w:rFonts w:ascii="新宋体" w:eastAsia="新宋体" w:hAnsi="新宋体" w:cs="宋体"/>
          <w:color w:val="000000" w:themeColor="text1"/>
          <w:sz w:val="21"/>
          <w:szCs w:val="21"/>
        </w:rPr>
        <w:t>成本的30%</w:t>
      </w:r>
      <w:r w:rsidRPr="0007385E">
        <w:rPr>
          <w:rFonts w:ascii="新宋体" w:eastAsia="新宋体" w:hAnsi="新宋体" w:cs="宋体" w:hint="eastAsia"/>
          <w:color w:val="000000" w:themeColor="text1"/>
          <w:sz w:val="21"/>
          <w:szCs w:val="21"/>
        </w:rPr>
        <w:t>，因此甲醛和尿素价格与人造板价格相关性较高。2014年10月，甲醛价格继续走低，而尿素价格在上月小幅上涨后保持平稳。</w:t>
      </w:r>
    </w:p>
    <w:p w:rsidR="0007385E" w:rsidRPr="0007385E" w:rsidRDefault="0007385E" w:rsidP="0007385E">
      <w:pPr>
        <w:jc w:val="center"/>
      </w:pPr>
      <w:r w:rsidRPr="0007385E">
        <w:rPr>
          <w:rFonts w:hint="eastAsia"/>
        </w:rPr>
        <w:t>图</w:t>
      </w:r>
      <w:r w:rsidRPr="0007385E">
        <w:rPr>
          <w:rFonts w:hint="eastAsia"/>
        </w:rPr>
        <w:t>3</w:t>
      </w:r>
      <w:r w:rsidRPr="0007385E">
        <w:rPr>
          <w:rFonts w:hint="eastAsia"/>
        </w:rPr>
        <w:t>：甲醛价格继续下跌</w:t>
      </w:r>
    </w:p>
    <w:p w:rsidR="0007385E" w:rsidRPr="00413318" w:rsidRDefault="0007385E" w:rsidP="0007385E">
      <w:pPr>
        <w:autoSpaceDE w:val="0"/>
        <w:autoSpaceDN w:val="0"/>
        <w:adjustRightInd w:val="0"/>
        <w:jc w:val="center"/>
        <w:rPr>
          <w:rFonts w:ascii="新宋体" w:eastAsia="新宋体" w:hAnsi="新宋体"/>
          <w:color w:val="686144"/>
          <w:szCs w:val="21"/>
        </w:rPr>
      </w:pPr>
      <w:r>
        <w:rPr>
          <w:noProof/>
        </w:rPr>
        <w:drawing>
          <wp:inline distT="0" distB="0" distL="0" distR="0" wp14:anchorId="667FEB68" wp14:editId="5476DE21">
            <wp:extent cx="4381500" cy="2390775"/>
            <wp:effectExtent l="0" t="0" r="19050" b="952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7385E" w:rsidRPr="0007385E" w:rsidRDefault="0007385E" w:rsidP="0007385E">
      <w:pPr>
        <w:jc w:val="center"/>
      </w:pPr>
      <w:r w:rsidRPr="0007385E">
        <w:rPr>
          <w:rFonts w:hint="eastAsia"/>
        </w:rPr>
        <w:t>资料来源：</w:t>
      </w:r>
      <w:r w:rsidRPr="0007385E">
        <w:rPr>
          <w:rFonts w:hint="eastAsia"/>
        </w:rPr>
        <w:t>Wind</w:t>
      </w:r>
      <w:r w:rsidRPr="0007385E">
        <w:rPr>
          <w:rFonts w:hint="eastAsia"/>
        </w:rPr>
        <w:t>、方正中期研究院</w:t>
      </w:r>
    </w:p>
    <w:p w:rsidR="0007385E" w:rsidRPr="0007385E" w:rsidRDefault="0007385E" w:rsidP="0007385E">
      <w:pPr>
        <w:jc w:val="center"/>
      </w:pPr>
      <w:r w:rsidRPr="0007385E">
        <w:rPr>
          <w:rFonts w:hint="eastAsia"/>
        </w:rPr>
        <w:t>图</w:t>
      </w:r>
      <w:r w:rsidRPr="0007385E">
        <w:rPr>
          <w:rFonts w:hint="eastAsia"/>
        </w:rPr>
        <w:t>4</w:t>
      </w:r>
      <w:r w:rsidRPr="0007385E">
        <w:rPr>
          <w:rFonts w:hint="eastAsia"/>
        </w:rPr>
        <w:t>：尿素价格保持平稳</w:t>
      </w:r>
    </w:p>
    <w:p w:rsidR="0007385E" w:rsidRPr="00413318" w:rsidRDefault="0007385E" w:rsidP="0007385E">
      <w:pPr>
        <w:autoSpaceDE w:val="0"/>
        <w:autoSpaceDN w:val="0"/>
        <w:adjustRightInd w:val="0"/>
        <w:jc w:val="center"/>
        <w:rPr>
          <w:rFonts w:ascii="新宋体" w:eastAsia="新宋体" w:hAnsi="新宋体"/>
          <w:color w:val="686144"/>
          <w:szCs w:val="21"/>
        </w:rPr>
      </w:pPr>
      <w:r>
        <w:rPr>
          <w:noProof/>
        </w:rPr>
        <w:lastRenderedPageBreak/>
        <w:drawing>
          <wp:inline distT="0" distB="0" distL="0" distR="0" wp14:anchorId="6F3480A9" wp14:editId="4C38CA15">
            <wp:extent cx="4572000" cy="2324100"/>
            <wp:effectExtent l="0" t="0" r="19050" b="1905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7385E" w:rsidRPr="0007385E" w:rsidRDefault="0007385E" w:rsidP="0007385E">
      <w:pPr>
        <w:jc w:val="center"/>
      </w:pPr>
      <w:r w:rsidRPr="0007385E">
        <w:rPr>
          <w:rFonts w:hint="eastAsia"/>
        </w:rPr>
        <w:t>资料来源：</w:t>
      </w:r>
      <w:r w:rsidRPr="0007385E">
        <w:rPr>
          <w:rFonts w:hint="eastAsia"/>
        </w:rPr>
        <w:t>Wind</w:t>
      </w:r>
      <w:r w:rsidRPr="0007385E">
        <w:rPr>
          <w:rFonts w:hint="eastAsia"/>
        </w:rPr>
        <w:t>、方正中期研究院</w:t>
      </w:r>
    </w:p>
    <w:p w:rsidR="0007385E" w:rsidRPr="0007385E" w:rsidRDefault="0007385E" w:rsidP="0007385E">
      <w:pPr>
        <w:spacing w:before="100" w:beforeAutospacing="1" w:after="100" w:afterAutospacing="1"/>
        <w:rPr>
          <w:rFonts w:ascii="新宋体" w:eastAsia="新宋体" w:hAnsi="新宋体"/>
          <w:b/>
          <w:color w:val="000000" w:themeColor="text1"/>
          <w:sz w:val="21"/>
          <w:szCs w:val="21"/>
        </w:rPr>
      </w:pPr>
      <w:r>
        <w:rPr>
          <w:rFonts w:ascii="新宋体" w:eastAsia="新宋体" w:hAnsi="新宋体" w:hint="eastAsia"/>
          <w:b/>
          <w:color w:val="000000" w:themeColor="text1"/>
          <w:sz w:val="21"/>
          <w:szCs w:val="21"/>
        </w:rPr>
        <w:t>4、</w:t>
      </w:r>
      <w:r w:rsidRPr="0007385E">
        <w:rPr>
          <w:rFonts w:ascii="新宋体" w:eastAsia="新宋体" w:hAnsi="新宋体" w:hint="eastAsia"/>
          <w:b/>
          <w:color w:val="000000" w:themeColor="text1"/>
          <w:sz w:val="21"/>
          <w:szCs w:val="21"/>
        </w:rPr>
        <w:t>下游房地产及家具市场整体情况不佳</w:t>
      </w:r>
    </w:p>
    <w:p w:rsidR="0007385E" w:rsidRPr="0007385E" w:rsidRDefault="0007385E" w:rsidP="0007385E">
      <w:pPr>
        <w:spacing w:before="100" w:beforeAutospacing="1" w:after="100" w:afterAutospacing="1" w:line="450" w:lineRule="atLeast"/>
        <w:ind w:firstLine="525"/>
        <w:rPr>
          <w:rFonts w:ascii="新宋体" w:eastAsia="新宋体" w:hAnsi="新宋体" w:cs="宋体"/>
          <w:color w:val="000000" w:themeColor="text1"/>
          <w:sz w:val="21"/>
          <w:szCs w:val="21"/>
        </w:rPr>
      </w:pPr>
      <w:r w:rsidRPr="0007385E">
        <w:rPr>
          <w:rFonts w:ascii="新宋体" w:eastAsia="新宋体" w:hAnsi="新宋体" w:cs="宋体" w:hint="eastAsia"/>
          <w:color w:val="000000" w:themeColor="text1"/>
          <w:sz w:val="21"/>
          <w:szCs w:val="21"/>
        </w:rPr>
        <w:t>受国内房地产调控政策和国际</w:t>
      </w:r>
      <w:hyperlink r:id="rId25" w:history="1">
        <w:r w:rsidRPr="0007385E">
          <w:rPr>
            <w:rFonts w:ascii="新宋体" w:eastAsia="新宋体" w:hAnsi="新宋体" w:cs="宋体" w:hint="eastAsia"/>
            <w:color w:val="000000" w:themeColor="text1"/>
            <w:sz w:val="21"/>
            <w:szCs w:val="21"/>
          </w:rPr>
          <w:t>经济</w:t>
        </w:r>
      </w:hyperlink>
      <w:r w:rsidRPr="0007385E">
        <w:rPr>
          <w:rFonts w:ascii="新宋体" w:eastAsia="新宋体" w:hAnsi="新宋体" w:cs="宋体" w:hint="eastAsia"/>
          <w:color w:val="000000" w:themeColor="text1"/>
          <w:sz w:val="21"/>
          <w:szCs w:val="21"/>
        </w:rPr>
        <w:t>形势影响，2012年以来，我国家具特别是木质家具产量呈负增长态势，2013年四季度以来，负增长形势有所好转。据国家统计局数据，</w:t>
      </w:r>
      <w:r w:rsidRPr="0007385E">
        <w:rPr>
          <w:rFonts w:ascii="新宋体" w:eastAsia="新宋体" w:hAnsi="新宋体" w:cs="宋体"/>
          <w:color w:val="000000" w:themeColor="text1"/>
          <w:sz w:val="21"/>
          <w:szCs w:val="21"/>
        </w:rPr>
        <w:t>201</w:t>
      </w:r>
      <w:r w:rsidRPr="0007385E">
        <w:rPr>
          <w:rFonts w:ascii="新宋体" w:eastAsia="新宋体" w:hAnsi="新宋体" w:cs="宋体" w:hint="eastAsia"/>
          <w:color w:val="000000" w:themeColor="text1"/>
          <w:sz w:val="21"/>
          <w:szCs w:val="21"/>
        </w:rPr>
        <w:t>4</w:t>
      </w:r>
      <w:r w:rsidRPr="0007385E">
        <w:rPr>
          <w:rFonts w:ascii="新宋体" w:eastAsia="新宋体" w:hAnsi="新宋体" w:cs="宋体"/>
          <w:color w:val="000000" w:themeColor="text1"/>
          <w:sz w:val="21"/>
          <w:szCs w:val="21"/>
        </w:rPr>
        <w:t>年</w:t>
      </w:r>
      <w:r w:rsidRPr="0007385E">
        <w:rPr>
          <w:rFonts w:ascii="新宋体" w:eastAsia="新宋体" w:hAnsi="新宋体" w:cs="宋体" w:hint="eastAsia"/>
          <w:color w:val="000000" w:themeColor="text1"/>
          <w:sz w:val="21"/>
          <w:szCs w:val="21"/>
        </w:rPr>
        <w:t>9月</w:t>
      </w:r>
      <w:r w:rsidRPr="0007385E">
        <w:rPr>
          <w:rFonts w:ascii="新宋体" w:eastAsia="新宋体" w:hAnsi="新宋体" w:cs="宋体"/>
          <w:color w:val="000000" w:themeColor="text1"/>
          <w:sz w:val="21"/>
          <w:szCs w:val="21"/>
        </w:rPr>
        <w:t>，</w:t>
      </w:r>
      <w:r w:rsidRPr="0007385E">
        <w:rPr>
          <w:rFonts w:ascii="新宋体" w:eastAsia="新宋体" w:hAnsi="新宋体" w:cs="宋体" w:hint="eastAsia"/>
          <w:color w:val="000000" w:themeColor="text1"/>
          <w:sz w:val="21"/>
          <w:szCs w:val="21"/>
        </w:rPr>
        <w:t>我国</w:t>
      </w:r>
      <w:r w:rsidRPr="0007385E">
        <w:rPr>
          <w:rFonts w:ascii="新宋体" w:eastAsia="新宋体" w:hAnsi="新宋体" w:cs="宋体"/>
          <w:color w:val="000000" w:themeColor="text1"/>
          <w:sz w:val="21"/>
          <w:szCs w:val="21"/>
        </w:rPr>
        <w:t>家具产量</w:t>
      </w:r>
      <w:r w:rsidRPr="0007385E">
        <w:rPr>
          <w:rFonts w:ascii="新宋体" w:eastAsia="新宋体" w:hAnsi="新宋体" w:cs="宋体" w:hint="eastAsia"/>
          <w:color w:val="000000" w:themeColor="text1"/>
          <w:sz w:val="21"/>
          <w:szCs w:val="21"/>
        </w:rPr>
        <w:t>为6367.4万件，</w:t>
      </w:r>
      <w:r w:rsidRPr="0007385E">
        <w:rPr>
          <w:rFonts w:ascii="新宋体" w:eastAsia="新宋体" w:hAnsi="新宋体" w:cs="宋体"/>
          <w:color w:val="000000" w:themeColor="text1"/>
          <w:sz w:val="21"/>
          <w:szCs w:val="21"/>
        </w:rPr>
        <w:t>同比</w:t>
      </w:r>
      <w:r w:rsidRPr="0007385E">
        <w:rPr>
          <w:rFonts w:ascii="新宋体" w:eastAsia="新宋体" w:hAnsi="新宋体" w:cs="宋体" w:hint="eastAsia"/>
          <w:color w:val="000000" w:themeColor="text1"/>
          <w:sz w:val="21"/>
          <w:szCs w:val="21"/>
        </w:rPr>
        <w:t>增长2.46</w:t>
      </w:r>
      <w:r w:rsidRPr="0007385E">
        <w:rPr>
          <w:rFonts w:ascii="新宋体" w:eastAsia="新宋体" w:hAnsi="新宋体" w:cs="宋体"/>
          <w:color w:val="000000" w:themeColor="text1"/>
          <w:sz w:val="21"/>
          <w:szCs w:val="21"/>
        </w:rPr>
        <w:t>%，</w:t>
      </w:r>
      <w:r w:rsidRPr="0007385E">
        <w:rPr>
          <w:rFonts w:ascii="新宋体" w:eastAsia="新宋体" w:hAnsi="新宋体" w:cs="宋体" w:hint="eastAsia"/>
          <w:color w:val="000000" w:themeColor="text1"/>
          <w:sz w:val="21"/>
          <w:szCs w:val="21"/>
        </w:rPr>
        <w:t>增速较前期明显下滑</w:t>
      </w:r>
      <w:r w:rsidRPr="0007385E">
        <w:rPr>
          <w:rFonts w:ascii="新宋体" w:eastAsia="新宋体" w:hAnsi="新宋体" w:cs="宋体"/>
          <w:color w:val="000000" w:themeColor="text1"/>
          <w:sz w:val="21"/>
          <w:szCs w:val="21"/>
        </w:rPr>
        <w:t>。</w:t>
      </w:r>
    </w:p>
    <w:p w:rsidR="0007385E" w:rsidRPr="0007385E" w:rsidRDefault="0007385E" w:rsidP="0007385E">
      <w:pPr>
        <w:jc w:val="center"/>
      </w:pPr>
      <w:r w:rsidRPr="0007385E">
        <w:rPr>
          <w:rFonts w:hint="eastAsia"/>
        </w:rPr>
        <w:t>图</w:t>
      </w:r>
      <w:r w:rsidRPr="0007385E">
        <w:rPr>
          <w:rFonts w:hint="eastAsia"/>
        </w:rPr>
        <w:t>5</w:t>
      </w:r>
      <w:r w:rsidRPr="0007385E">
        <w:rPr>
          <w:rFonts w:hint="eastAsia"/>
        </w:rPr>
        <w:t>：我国家具产量同比增速加快</w:t>
      </w:r>
    </w:p>
    <w:p w:rsidR="0007385E" w:rsidRDefault="0007385E" w:rsidP="0007385E">
      <w:pPr>
        <w:jc w:val="center"/>
        <w:rPr>
          <w:rFonts w:ascii="新宋体" w:eastAsia="新宋体" w:hAnsi="新宋体"/>
          <w:color w:val="686144"/>
          <w:szCs w:val="21"/>
        </w:rPr>
      </w:pPr>
      <w:r>
        <w:rPr>
          <w:noProof/>
        </w:rPr>
        <w:drawing>
          <wp:inline distT="0" distB="0" distL="0" distR="0" wp14:anchorId="147DAE93" wp14:editId="349EF6B9">
            <wp:extent cx="4838700" cy="2686050"/>
            <wp:effectExtent l="0" t="0" r="19050" b="1905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7385E" w:rsidRPr="0007385E" w:rsidRDefault="0007385E" w:rsidP="0007385E">
      <w:pPr>
        <w:jc w:val="center"/>
      </w:pPr>
      <w:r w:rsidRPr="0007385E">
        <w:rPr>
          <w:rFonts w:hint="eastAsia"/>
        </w:rPr>
        <w:t>资料来源：</w:t>
      </w:r>
      <w:r w:rsidRPr="0007385E">
        <w:rPr>
          <w:rFonts w:hint="eastAsia"/>
        </w:rPr>
        <w:t>Wind</w:t>
      </w:r>
      <w:r w:rsidRPr="0007385E">
        <w:rPr>
          <w:rFonts w:hint="eastAsia"/>
        </w:rPr>
        <w:t>、方正中期研究院</w:t>
      </w:r>
    </w:p>
    <w:p w:rsidR="0007385E" w:rsidRPr="0007385E" w:rsidRDefault="0007385E" w:rsidP="0007385E">
      <w:pPr>
        <w:spacing w:before="100" w:beforeAutospacing="1" w:after="100" w:afterAutospacing="1"/>
        <w:rPr>
          <w:rFonts w:ascii="新宋体" w:eastAsia="新宋体" w:hAnsi="新宋体"/>
          <w:b/>
          <w:color w:val="000000" w:themeColor="text1"/>
          <w:sz w:val="21"/>
          <w:szCs w:val="21"/>
        </w:rPr>
      </w:pPr>
      <w:r>
        <w:rPr>
          <w:rFonts w:ascii="新宋体" w:eastAsia="新宋体" w:hAnsi="新宋体" w:hint="eastAsia"/>
          <w:b/>
          <w:color w:val="000000" w:themeColor="text1"/>
          <w:sz w:val="21"/>
          <w:szCs w:val="21"/>
        </w:rPr>
        <w:t>5、</w:t>
      </w:r>
      <w:r w:rsidRPr="0007385E">
        <w:rPr>
          <w:rFonts w:ascii="新宋体" w:eastAsia="新宋体" w:hAnsi="新宋体" w:hint="eastAsia"/>
          <w:b/>
          <w:color w:val="000000" w:themeColor="text1"/>
          <w:sz w:val="21"/>
          <w:szCs w:val="21"/>
        </w:rPr>
        <w:t>纤维板期货仓单下游接货意愿不强</w:t>
      </w:r>
    </w:p>
    <w:p w:rsidR="0007385E" w:rsidRPr="0007385E" w:rsidRDefault="0007385E" w:rsidP="0007385E">
      <w:pPr>
        <w:spacing w:before="100" w:beforeAutospacing="1" w:after="100" w:afterAutospacing="1" w:line="450" w:lineRule="atLeast"/>
        <w:ind w:firstLine="525"/>
        <w:rPr>
          <w:rFonts w:ascii="新宋体" w:eastAsia="新宋体" w:hAnsi="新宋体" w:cs="宋体"/>
          <w:color w:val="000000" w:themeColor="text1"/>
          <w:sz w:val="21"/>
          <w:szCs w:val="21"/>
        </w:rPr>
      </w:pPr>
      <w:r w:rsidRPr="0007385E">
        <w:rPr>
          <w:rFonts w:ascii="新宋体" w:eastAsia="新宋体" w:hAnsi="新宋体" w:cs="宋体" w:hint="eastAsia"/>
          <w:color w:val="000000" w:themeColor="text1"/>
          <w:sz w:val="21"/>
          <w:szCs w:val="21"/>
        </w:rPr>
        <w:lastRenderedPageBreak/>
        <w:t>目前纤维板期货仓单从9月16日开始一直维持在462手，一个多月以来一直没有发生变化。纤维板仓单相对于胶合板来说总体保持稳定，也再次说明纤维板仓单下游接货意愿不强，这一点从近月再次大幅下挫至期现大幅贴水可以看出。</w:t>
      </w:r>
    </w:p>
    <w:p w:rsidR="0007385E" w:rsidRPr="0007385E" w:rsidRDefault="0007385E" w:rsidP="0007385E">
      <w:pPr>
        <w:spacing w:before="100" w:beforeAutospacing="1" w:after="100" w:afterAutospacing="1"/>
        <w:rPr>
          <w:rFonts w:ascii="新宋体" w:eastAsia="新宋体" w:hAnsi="新宋体"/>
          <w:b/>
          <w:color w:val="000000" w:themeColor="text1"/>
          <w:sz w:val="21"/>
          <w:szCs w:val="21"/>
        </w:rPr>
      </w:pPr>
      <w:r>
        <w:rPr>
          <w:rFonts w:ascii="新宋体" w:eastAsia="新宋体" w:hAnsi="新宋体" w:hint="eastAsia"/>
          <w:b/>
          <w:color w:val="000000" w:themeColor="text1"/>
          <w:sz w:val="21"/>
          <w:szCs w:val="21"/>
        </w:rPr>
        <w:t>6、</w:t>
      </w:r>
      <w:r w:rsidRPr="0007385E">
        <w:rPr>
          <w:rFonts w:ascii="新宋体" w:eastAsia="新宋体" w:hAnsi="新宋体" w:hint="eastAsia"/>
          <w:b/>
          <w:color w:val="000000" w:themeColor="text1"/>
          <w:sz w:val="21"/>
          <w:szCs w:val="21"/>
        </w:rPr>
        <w:t>结论</w:t>
      </w:r>
    </w:p>
    <w:p w:rsidR="0007385E" w:rsidRPr="0007385E" w:rsidRDefault="0007385E" w:rsidP="0007385E">
      <w:pPr>
        <w:spacing w:before="100" w:beforeAutospacing="1" w:after="100" w:afterAutospacing="1" w:line="450" w:lineRule="atLeast"/>
        <w:ind w:firstLine="525"/>
        <w:rPr>
          <w:rFonts w:ascii="新宋体" w:eastAsia="新宋体" w:hAnsi="新宋体" w:cs="宋体"/>
          <w:color w:val="000000" w:themeColor="text1"/>
          <w:sz w:val="21"/>
          <w:szCs w:val="21"/>
        </w:rPr>
      </w:pPr>
      <w:r w:rsidRPr="0007385E">
        <w:rPr>
          <w:rFonts w:ascii="新宋体" w:eastAsia="新宋体" w:hAnsi="新宋体" w:cs="宋体" w:hint="eastAsia"/>
          <w:color w:val="000000" w:themeColor="text1"/>
          <w:sz w:val="21"/>
          <w:szCs w:val="21"/>
        </w:rPr>
        <w:t>总体来说，由于市场期待的“金九银十”行情落空，人造板销售清淡。对纤维板期货而言，产能过剩的产业格局仍是其不可避免的利空压制，特别是期货仓单下游接货意愿不足这一硬伤将导致期货近月价格长期贴水现货市场。因此，我们认为，短期纤维板期货弱势震荡格局暂难改变，建议投资者保持偏空操作策略为宜。</w:t>
      </w:r>
    </w:p>
    <w:p w:rsidR="0007385E" w:rsidRPr="0007385E" w:rsidRDefault="0007385E" w:rsidP="00814639">
      <w:pPr>
        <w:spacing w:before="100" w:beforeAutospacing="1" w:after="100" w:afterAutospacing="1"/>
        <w:jc w:val="center"/>
        <w:rPr>
          <w:rFonts w:ascii="新宋体" w:eastAsia="新宋体" w:hAnsi="新宋体"/>
          <w:b/>
          <w:color w:val="000000" w:themeColor="text1"/>
          <w:sz w:val="32"/>
          <w:szCs w:val="32"/>
        </w:rPr>
      </w:pPr>
    </w:p>
    <w:sectPr w:rsidR="0007385E" w:rsidRPr="0007385E" w:rsidSect="00EA44C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68E" w:rsidRDefault="000A668E" w:rsidP="00DB3E7F">
      <w:pPr>
        <w:spacing w:after="0" w:line="240" w:lineRule="auto"/>
      </w:pPr>
      <w:r>
        <w:separator/>
      </w:r>
    </w:p>
  </w:endnote>
  <w:endnote w:type="continuationSeparator" w:id="0">
    <w:p w:rsidR="000A668E" w:rsidRDefault="000A668E" w:rsidP="00DB3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新宋体">
    <w:panose1 w:val="02010609030101010101"/>
    <w:charset w:val="86"/>
    <w:family w:val="modern"/>
    <w:pitch w:val="fixed"/>
    <w:sig w:usb0="00000003" w:usb1="288F0000" w:usb2="00000016" w:usb3="00000000" w:csb0="00040001"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68E" w:rsidRDefault="000A668E" w:rsidP="00DB3E7F">
      <w:pPr>
        <w:spacing w:after="0" w:line="240" w:lineRule="auto"/>
      </w:pPr>
      <w:r>
        <w:separator/>
      </w:r>
    </w:p>
  </w:footnote>
  <w:footnote w:type="continuationSeparator" w:id="0">
    <w:p w:rsidR="000A668E" w:rsidRDefault="000A668E" w:rsidP="00DB3E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0904F2"/>
    <w:multiLevelType w:val="multilevel"/>
    <w:tmpl w:val="58F4F9B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A2E63"/>
    <w:rsid w:val="00005C36"/>
    <w:rsid w:val="00051C43"/>
    <w:rsid w:val="00071CAB"/>
    <w:rsid w:val="0007385E"/>
    <w:rsid w:val="000A668E"/>
    <w:rsid w:val="000D1C2B"/>
    <w:rsid w:val="00162C5B"/>
    <w:rsid w:val="00187162"/>
    <w:rsid w:val="00232E2E"/>
    <w:rsid w:val="00236E28"/>
    <w:rsid w:val="002603BF"/>
    <w:rsid w:val="00262741"/>
    <w:rsid w:val="002B73CB"/>
    <w:rsid w:val="002C4DE9"/>
    <w:rsid w:val="003F038C"/>
    <w:rsid w:val="004378C8"/>
    <w:rsid w:val="00470C05"/>
    <w:rsid w:val="004E5EC1"/>
    <w:rsid w:val="00551DA3"/>
    <w:rsid w:val="00600849"/>
    <w:rsid w:val="00814639"/>
    <w:rsid w:val="00814949"/>
    <w:rsid w:val="0085480D"/>
    <w:rsid w:val="00974079"/>
    <w:rsid w:val="009751E8"/>
    <w:rsid w:val="00982BDF"/>
    <w:rsid w:val="009A2E63"/>
    <w:rsid w:val="009A7A51"/>
    <w:rsid w:val="00A337A9"/>
    <w:rsid w:val="00AA5E3C"/>
    <w:rsid w:val="00B5448C"/>
    <w:rsid w:val="00D80081"/>
    <w:rsid w:val="00DB3E7F"/>
    <w:rsid w:val="00E17A66"/>
    <w:rsid w:val="00E44893"/>
    <w:rsid w:val="00EA44C5"/>
    <w:rsid w:val="00EE3074"/>
    <w:rsid w:val="00F167DF"/>
    <w:rsid w:val="00F74E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2E63"/>
    <w:pPr>
      <w:spacing w:after="200" w:line="276" w:lineRule="auto"/>
    </w:pPr>
    <w:rPr>
      <w:rFonts w:ascii="Calibri" w:eastAsia="宋体" w:hAnsi="Calibri" w:cs="Times New Roman"/>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普通(网站) Char"/>
    <w:aliases w:val="普通 (Web) Char"/>
    <w:link w:val="a3"/>
    <w:locked/>
    <w:rsid w:val="009A2E63"/>
    <w:rPr>
      <w:rFonts w:ascii="宋体" w:eastAsia="宋体" w:hAnsi="宋体"/>
      <w:sz w:val="24"/>
    </w:rPr>
  </w:style>
  <w:style w:type="paragraph" w:styleId="a3">
    <w:name w:val="Normal (Web)"/>
    <w:aliases w:val="普通 (Web)"/>
    <w:basedOn w:val="a"/>
    <w:link w:val="Char"/>
    <w:rsid w:val="009A2E63"/>
    <w:pPr>
      <w:spacing w:before="100" w:beforeAutospacing="1" w:after="100" w:afterAutospacing="1" w:line="240" w:lineRule="auto"/>
    </w:pPr>
    <w:rPr>
      <w:rFonts w:ascii="宋体" w:hAnsi="宋体" w:cstheme="minorBidi"/>
      <w:kern w:val="2"/>
      <w:sz w:val="24"/>
    </w:rPr>
  </w:style>
  <w:style w:type="paragraph" w:styleId="a4">
    <w:name w:val="Balloon Text"/>
    <w:basedOn w:val="a"/>
    <w:link w:val="Char0"/>
    <w:uiPriority w:val="99"/>
    <w:semiHidden/>
    <w:unhideWhenUsed/>
    <w:rsid w:val="009A2E63"/>
    <w:pPr>
      <w:spacing w:after="0" w:line="240" w:lineRule="auto"/>
    </w:pPr>
    <w:rPr>
      <w:sz w:val="18"/>
      <w:szCs w:val="18"/>
    </w:rPr>
  </w:style>
  <w:style w:type="character" w:customStyle="1" w:styleId="Char0">
    <w:name w:val="批注框文本 Char"/>
    <w:basedOn w:val="a0"/>
    <w:link w:val="a4"/>
    <w:uiPriority w:val="99"/>
    <w:semiHidden/>
    <w:rsid w:val="009A2E63"/>
    <w:rPr>
      <w:rFonts w:ascii="Calibri" w:eastAsia="宋体" w:hAnsi="Calibri" w:cs="Times New Roman"/>
      <w:kern w:val="0"/>
      <w:sz w:val="18"/>
      <w:szCs w:val="18"/>
    </w:rPr>
  </w:style>
  <w:style w:type="paragraph" w:styleId="a5">
    <w:name w:val="header"/>
    <w:basedOn w:val="a"/>
    <w:link w:val="Char1"/>
    <w:uiPriority w:val="99"/>
    <w:unhideWhenUsed/>
    <w:rsid w:val="00DB3E7F"/>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5"/>
    <w:uiPriority w:val="99"/>
    <w:rsid w:val="00DB3E7F"/>
    <w:rPr>
      <w:rFonts w:ascii="Calibri" w:eastAsia="宋体" w:hAnsi="Calibri" w:cs="Times New Roman"/>
      <w:kern w:val="0"/>
      <w:sz w:val="18"/>
      <w:szCs w:val="18"/>
    </w:rPr>
  </w:style>
  <w:style w:type="paragraph" w:styleId="a6">
    <w:name w:val="footer"/>
    <w:basedOn w:val="a"/>
    <w:link w:val="Char2"/>
    <w:uiPriority w:val="99"/>
    <w:unhideWhenUsed/>
    <w:rsid w:val="00DB3E7F"/>
    <w:pPr>
      <w:tabs>
        <w:tab w:val="center" w:pos="4153"/>
        <w:tab w:val="right" w:pos="8306"/>
      </w:tabs>
      <w:snapToGrid w:val="0"/>
      <w:spacing w:line="240" w:lineRule="auto"/>
    </w:pPr>
    <w:rPr>
      <w:sz w:val="18"/>
      <w:szCs w:val="18"/>
    </w:rPr>
  </w:style>
  <w:style w:type="character" w:customStyle="1" w:styleId="Char2">
    <w:name w:val="页脚 Char"/>
    <w:basedOn w:val="a0"/>
    <w:link w:val="a6"/>
    <w:uiPriority w:val="99"/>
    <w:rsid w:val="00DB3E7F"/>
    <w:rPr>
      <w:rFonts w:ascii="Calibri" w:eastAsia="宋体" w:hAnsi="Calibri" w:cs="Times New Roman"/>
      <w:kern w:val="0"/>
      <w:sz w:val="18"/>
      <w:szCs w:val="18"/>
    </w:rPr>
  </w:style>
  <w:style w:type="paragraph" w:customStyle="1" w:styleId="Default">
    <w:name w:val="Default"/>
    <w:rsid w:val="00B5448C"/>
    <w:pPr>
      <w:widowControl w:val="0"/>
      <w:autoSpaceDE w:val="0"/>
      <w:autoSpaceDN w:val="0"/>
      <w:adjustRightInd w:val="0"/>
    </w:pPr>
    <w:rPr>
      <w:rFonts w:ascii="宋体" w:eastAsia="宋体" w:hAnsi="Calibri" w:cs="宋体"/>
      <w:color w:val="000000"/>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chinairn.com/yjbg/moref15f18f72ff1.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5.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4.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3.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istrator\&#26700;&#38754;\&#26408;&#26448;&#26399;&#36135;&#36164;&#26009;\&#26408;&#26448;&#26399;&#36135;&#30740;&#31350;&#20307;&#31995;&#19982;&#25968;&#25454;&#242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Administrator\&#26700;&#38754;\&#26408;&#26448;&#26399;&#36135;&#36164;&#26009;\&#26408;&#26448;&#26399;&#36135;&#30740;&#31350;&#20307;&#31995;&#19982;&#25968;&#25454;&#2421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dministrator\&#26700;&#38754;\&#26408;&#26448;&#26399;&#36135;&#36164;&#26009;\&#26408;&#26448;&#26399;&#36135;&#30740;&#31350;&#20307;&#31995;&#19982;&#25968;&#25454;&#242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Administrator\&#26700;&#38754;\&#26408;&#26448;&#26399;&#36135;&#36164;&#26009;\&#26408;&#26448;&#26399;&#36135;&#30740;&#31350;&#20307;&#31995;&#19982;&#25968;&#25454;&#242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Administrator\&#26700;&#38754;\&#26408;&#26448;&#26399;&#36135;&#36164;&#26009;\&#26408;&#26448;&#26399;&#36135;&#30740;&#31350;&#20307;&#31995;&#19982;&#25968;&#25454;&#242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pivotSource>
    <c:name>[方正中期研究院：钢材期货研究体系与数据库 (自动保存的).xlsx]Sheet8!数据透视表1</c:name>
    <c:fmtId val="-1"/>
  </c:pivotSource>
  <c:chart>
    <c:autoTitleDeleted val="0"/>
    <c:pivotFmts>
      <c:pivotFmt>
        <c:idx val="0"/>
        <c:spPr>
          <a:solidFill>
            <a:schemeClr val="accent1"/>
          </a:solidFill>
          <a:ln w="28575" cap="rnd">
            <a:solidFill>
              <a:schemeClr val="accent1"/>
            </a:solidFill>
            <a:round/>
          </a:ln>
          <a:effectLst/>
        </c:spPr>
        <c:marker>
          <c:symbol val="none"/>
        </c:marker>
      </c:pivotFmt>
      <c:pivotFmt>
        <c:idx val="1"/>
        <c:spPr>
          <a:solidFill>
            <a:schemeClr val="accent1"/>
          </a:solidFill>
          <a:ln w="28575" cap="rnd">
            <a:solidFill>
              <a:schemeClr val="accent1"/>
            </a:solidFill>
            <a:round/>
          </a:ln>
          <a:effectLst/>
        </c:spPr>
        <c:marker>
          <c:symbol val="none"/>
        </c:marker>
      </c:pivotFmt>
      <c:pivotFmt>
        <c:idx val="2"/>
        <c:spPr>
          <a:solidFill>
            <a:schemeClr val="accent1"/>
          </a:solidFill>
          <a:ln w="28575" cap="rnd">
            <a:solidFill>
              <a:schemeClr val="accent1"/>
            </a:solidFill>
            <a:round/>
          </a:ln>
          <a:effectLst/>
        </c:spPr>
        <c:marker>
          <c:symbol val="none"/>
        </c:marker>
      </c:pivotFmt>
      <c:pivotFmt>
        <c:idx val="3"/>
        <c:spPr>
          <a:solidFill>
            <a:schemeClr val="accent1"/>
          </a:solidFill>
          <a:ln w="28575" cap="rnd">
            <a:solidFill>
              <a:schemeClr val="accent1"/>
            </a:solidFill>
            <a:round/>
          </a:ln>
          <a:effectLst/>
        </c:spPr>
        <c:marker>
          <c:symbol val="none"/>
        </c:marker>
      </c:pivotFmt>
      <c:pivotFmt>
        <c:idx val="4"/>
        <c:spPr>
          <a:solidFill>
            <a:schemeClr val="accent1"/>
          </a:solidFill>
          <a:ln w="28575" cap="rnd">
            <a:solidFill>
              <a:schemeClr val="accent1"/>
            </a:solidFill>
            <a:round/>
          </a:ln>
          <a:effectLst/>
        </c:spPr>
        <c:marker>
          <c:symbol val="none"/>
        </c:marker>
      </c:pivotFmt>
      <c:pivotFmt>
        <c:idx val="5"/>
        <c:spPr>
          <a:solidFill>
            <a:schemeClr val="accent1"/>
          </a:solidFill>
          <a:ln w="28575" cap="rnd">
            <a:solidFill>
              <a:schemeClr val="accent1"/>
            </a:solidFill>
            <a:round/>
          </a:ln>
          <a:effectLst/>
        </c:spPr>
        <c:marker>
          <c:symbol val="none"/>
        </c:marker>
      </c:pivotFmt>
      <c:pivotFmt>
        <c:idx val="6"/>
        <c:spPr>
          <a:solidFill>
            <a:schemeClr val="accent1"/>
          </a:solidFill>
          <a:ln w="28575" cap="rnd">
            <a:solidFill>
              <a:schemeClr val="accent1"/>
            </a:solidFill>
            <a:round/>
          </a:ln>
          <a:effectLst/>
        </c:spPr>
        <c:marker>
          <c:symbol val="none"/>
        </c:marker>
      </c:pivotFmt>
      <c:pivotFmt>
        <c:idx val="7"/>
        <c:spPr>
          <a:solidFill>
            <a:schemeClr val="accent1"/>
          </a:solidFill>
          <a:ln w="28575" cap="rnd">
            <a:solidFill>
              <a:schemeClr val="accent1"/>
            </a:solidFill>
            <a:round/>
          </a:ln>
          <a:effectLst/>
        </c:spPr>
        <c:marker>
          <c:symbol val="none"/>
        </c:marker>
      </c:pivotFmt>
      <c:pivotFmt>
        <c:idx val="8"/>
        <c:spPr>
          <a:solidFill>
            <a:schemeClr val="accent1"/>
          </a:solidFill>
          <a:ln w="28575" cap="rnd">
            <a:solidFill>
              <a:schemeClr val="accent1"/>
            </a:solidFill>
            <a:round/>
          </a:ln>
          <a:effectLst/>
        </c:spPr>
        <c:marker>
          <c:symbol val="none"/>
        </c:marker>
      </c:pivotFmt>
      <c:pivotFmt>
        <c:idx val="9"/>
        <c:spPr>
          <a:solidFill>
            <a:schemeClr val="accent1"/>
          </a:solidFill>
          <a:ln w="28575" cap="rnd">
            <a:solidFill>
              <a:schemeClr val="accent1"/>
            </a:solidFill>
            <a:round/>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s>
    <c:plotArea>
      <c:layout>
        <c:manualLayout>
          <c:layoutTarget val="inner"/>
          <c:xMode val="edge"/>
          <c:yMode val="edge"/>
          <c:x val="7.9247594050743664E-2"/>
          <c:y val="5.0925925925925923E-2"/>
          <c:w val="0.90598709536307964"/>
          <c:h val="0.62557596967045781"/>
        </c:manualLayout>
      </c:layout>
      <c:barChart>
        <c:barDir val="col"/>
        <c:grouping val="clustered"/>
        <c:varyColors val="0"/>
        <c:ser>
          <c:idx val="0"/>
          <c:order val="0"/>
          <c:tx>
            <c:strRef>
              <c:f>Sheet8!$B$1</c:f>
              <c:strCache>
                <c:ptCount val="1"/>
                <c:pt idx="0">
                  <c:v> 产量:铁矿石原矿量:当月同比</c:v>
                </c:pt>
              </c:strCache>
            </c:strRef>
          </c:tx>
          <c:spPr>
            <a:solidFill>
              <a:schemeClr val="accent1"/>
            </a:solidFill>
            <a:ln>
              <a:noFill/>
            </a:ln>
            <a:effectLst/>
          </c:spPr>
          <c:invertIfNegative val="0"/>
          <c:cat>
            <c:strRef>
              <c:f>Sheet8!$A$2:$A$11</c:f>
              <c:strCache>
                <c:ptCount val="10"/>
                <c:pt idx="0">
                  <c:v>2014-01</c:v>
                </c:pt>
                <c:pt idx="1">
                  <c:v>2014-02</c:v>
                </c:pt>
                <c:pt idx="2">
                  <c:v>2014-03</c:v>
                </c:pt>
                <c:pt idx="3">
                  <c:v>2014-04</c:v>
                </c:pt>
                <c:pt idx="4">
                  <c:v>2014-05</c:v>
                </c:pt>
                <c:pt idx="5">
                  <c:v>2014-06</c:v>
                </c:pt>
                <c:pt idx="6">
                  <c:v>2014-07</c:v>
                </c:pt>
                <c:pt idx="7">
                  <c:v>2014-08</c:v>
                </c:pt>
                <c:pt idx="8">
                  <c:v>2014-09</c:v>
                </c:pt>
                <c:pt idx="9">
                  <c:v>2014-10</c:v>
                </c:pt>
              </c:strCache>
            </c:strRef>
          </c:cat>
          <c:val>
            <c:numRef>
              <c:f>Sheet8!$B$2:$B$11</c:f>
              <c:numCache>
                <c:formatCode>General</c:formatCode>
                <c:ptCount val="10"/>
                <c:pt idx="2">
                  <c:v>10</c:v>
                </c:pt>
                <c:pt idx="3">
                  <c:v>12.291700000000001</c:v>
                </c:pt>
                <c:pt idx="4">
                  <c:v>12.674899999999999</c:v>
                </c:pt>
                <c:pt idx="5">
                  <c:v>7.2907999999999999</c:v>
                </c:pt>
                <c:pt idx="6">
                  <c:v>11.397500000000001</c:v>
                </c:pt>
                <c:pt idx="7">
                  <c:v>3.9396</c:v>
                </c:pt>
                <c:pt idx="8">
                  <c:v>-0.35720000000000002</c:v>
                </c:pt>
              </c:numCache>
            </c:numRef>
          </c:val>
        </c:ser>
        <c:ser>
          <c:idx val="1"/>
          <c:order val="1"/>
          <c:tx>
            <c:strRef>
              <c:f>Sheet8!$C$1</c:f>
              <c:strCache>
                <c:ptCount val="1"/>
                <c:pt idx="0">
                  <c:v> 产量:生铁:当月同比</c:v>
                </c:pt>
              </c:strCache>
            </c:strRef>
          </c:tx>
          <c:spPr>
            <a:solidFill>
              <a:schemeClr val="accent2"/>
            </a:solidFill>
            <a:ln>
              <a:noFill/>
            </a:ln>
            <a:effectLst/>
          </c:spPr>
          <c:invertIfNegative val="0"/>
          <c:cat>
            <c:strRef>
              <c:f>Sheet8!$A$2:$A$11</c:f>
              <c:strCache>
                <c:ptCount val="10"/>
                <c:pt idx="0">
                  <c:v>2014-01</c:v>
                </c:pt>
                <c:pt idx="1">
                  <c:v>2014-02</c:v>
                </c:pt>
                <c:pt idx="2">
                  <c:v>2014-03</c:v>
                </c:pt>
                <c:pt idx="3">
                  <c:v>2014-04</c:v>
                </c:pt>
                <c:pt idx="4">
                  <c:v>2014-05</c:v>
                </c:pt>
                <c:pt idx="5">
                  <c:v>2014-06</c:v>
                </c:pt>
                <c:pt idx="6">
                  <c:v>2014-07</c:v>
                </c:pt>
                <c:pt idx="7">
                  <c:v>2014-08</c:v>
                </c:pt>
                <c:pt idx="8">
                  <c:v>2014-09</c:v>
                </c:pt>
                <c:pt idx="9">
                  <c:v>2014-10</c:v>
                </c:pt>
              </c:strCache>
            </c:strRef>
          </c:cat>
          <c:val>
            <c:numRef>
              <c:f>Sheet8!$C$2:$C$11</c:f>
              <c:numCache>
                <c:formatCode>General</c:formatCode>
                <c:ptCount val="10"/>
                <c:pt idx="2">
                  <c:v>-0.9</c:v>
                </c:pt>
                <c:pt idx="3">
                  <c:v>-0.75109999999999999</c:v>
                </c:pt>
                <c:pt idx="4">
                  <c:v>0.19950000000000001</c:v>
                </c:pt>
                <c:pt idx="5">
                  <c:v>2.2812000000000001</c:v>
                </c:pt>
                <c:pt idx="6">
                  <c:v>-0.5968</c:v>
                </c:pt>
                <c:pt idx="7">
                  <c:v>0.158</c:v>
                </c:pt>
                <c:pt idx="8">
                  <c:v>-0.54210000000000003</c:v>
                </c:pt>
              </c:numCache>
            </c:numRef>
          </c:val>
        </c:ser>
        <c:ser>
          <c:idx val="2"/>
          <c:order val="2"/>
          <c:tx>
            <c:strRef>
              <c:f>Sheet8!$D$1</c:f>
              <c:strCache>
                <c:ptCount val="1"/>
                <c:pt idx="0">
                  <c:v> 产量:粗钢:当月同比</c:v>
                </c:pt>
              </c:strCache>
            </c:strRef>
          </c:tx>
          <c:spPr>
            <a:solidFill>
              <a:schemeClr val="accent3"/>
            </a:solidFill>
            <a:ln>
              <a:noFill/>
            </a:ln>
            <a:effectLst/>
          </c:spPr>
          <c:invertIfNegative val="0"/>
          <c:cat>
            <c:strRef>
              <c:f>Sheet8!$A$2:$A$11</c:f>
              <c:strCache>
                <c:ptCount val="10"/>
                <c:pt idx="0">
                  <c:v>2014-01</c:v>
                </c:pt>
                <c:pt idx="1">
                  <c:v>2014-02</c:v>
                </c:pt>
                <c:pt idx="2">
                  <c:v>2014-03</c:v>
                </c:pt>
                <c:pt idx="3">
                  <c:v>2014-04</c:v>
                </c:pt>
                <c:pt idx="4">
                  <c:v>2014-05</c:v>
                </c:pt>
                <c:pt idx="5">
                  <c:v>2014-06</c:v>
                </c:pt>
                <c:pt idx="6">
                  <c:v>2014-07</c:v>
                </c:pt>
                <c:pt idx="7">
                  <c:v>2014-08</c:v>
                </c:pt>
                <c:pt idx="8">
                  <c:v>2014-09</c:v>
                </c:pt>
                <c:pt idx="9">
                  <c:v>2014-10</c:v>
                </c:pt>
              </c:strCache>
            </c:strRef>
          </c:cat>
          <c:val>
            <c:numRef>
              <c:f>Sheet8!$D$2:$D$11</c:f>
              <c:numCache>
                <c:formatCode>General</c:formatCode>
                <c:ptCount val="10"/>
                <c:pt idx="2">
                  <c:v>2.2000000000000002</c:v>
                </c:pt>
                <c:pt idx="3">
                  <c:v>2.1482999999999999</c:v>
                </c:pt>
                <c:pt idx="4">
                  <c:v>2.5583</c:v>
                </c:pt>
                <c:pt idx="5">
                  <c:v>4.5118999999999998</c:v>
                </c:pt>
                <c:pt idx="6">
                  <c:v>1.526</c:v>
                </c:pt>
                <c:pt idx="7">
                  <c:v>1.0398000000000001</c:v>
                </c:pt>
                <c:pt idx="8">
                  <c:v>1.7500000000000002E-2</c:v>
                </c:pt>
              </c:numCache>
            </c:numRef>
          </c:val>
        </c:ser>
        <c:ser>
          <c:idx val="3"/>
          <c:order val="3"/>
          <c:tx>
            <c:strRef>
              <c:f>Sheet8!$E$1</c:f>
              <c:strCache>
                <c:ptCount val="1"/>
                <c:pt idx="0">
                  <c:v> 产量:钢材:当月同比</c:v>
                </c:pt>
              </c:strCache>
            </c:strRef>
          </c:tx>
          <c:spPr>
            <a:solidFill>
              <a:schemeClr val="accent4"/>
            </a:solidFill>
            <a:ln>
              <a:noFill/>
            </a:ln>
            <a:effectLst/>
          </c:spPr>
          <c:invertIfNegative val="0"/>
          <c:cat>
            <c:strRef>
              <c:f>Sheet8!$A$2:$A$11</c:f>
              <c:strCache>
                <c:ptCount val="10"/>
                <c:pt idx="0">
                  <c:v>2014-01</c:v>
                </c:pt>
                <c:pt idx="1">
                  <c:v>2014-02</c:v>
                </c:pt>
                <c:pt idx="2">
                  <c:v>2014-03</c:v>
                </c:pt>
                <c:pt idx="3">
                  <c:v>2014-04</c:v>
                </c:pt>
                <c:pt idx="4">
                  <c:v>2014-05</c:v>
                </c:pt>
                <c:pt idx="5">
                  <c:v>2014-06</c:v>
                </c:pt>
                <c:pt idx="6">
                  <c:v>2014-07</c:v>
                </c:pt>
                <c:pt idx="7">
                  <c:v>2014-08</c:v>
                </c:pt>
                <c:pt idx="8">
                  <c:v>2014-09</c:v>
                </c:pt>
                <c:pt idx="9">
                  <c:v>2014-10</c:v>
                </c:pt>
              </c:strCache>
            </c:strRef>
          </c:cat>
          <c:val>
            <c:numRef>
              <c:f>Sheet8!$E$2:$E$11</c:f>
              <c:numCache>
                <c:formatCode>General</c:formatCode>
                <c:ptCount val="10"/>
                <c:pt idx="2">
                  <c:v>5</c:v>
                </c:pt>
                <c:pt idx="3">
                  <c:v>5.4047000000000001</c:v>
                </c:pt>
                <c:pt idx="4">
                  <c:v>6.0857999999999999</c:v>
                </c:pt>
                <c:pt idx="5">
                  <c:v>7.1014999999999997</c:v>
                </c:pt>
                <c:pt idx="6">
                  <c:v>3.6871999999999998</c:v>
                </c:pt>
                <c:pt idx="7">
                  <c:v>2.4277000000000002</c:v>
                </c:pt>
                <c:pt idx="8">
                  <c:v>1.7267999999999999</c:v>
                </c:pt>
              </c:numCache>
            </c:numRef>
          </c:val>
        </c:ser>
        <c:ser>
          <c:idx val="4"/>
          <c:order val="4"/>
          <c:tx>
            <c:strRef>
              <c:f>Sheet8!$F$1</c:f>
              <c:strCache>
                <c:ptCount val="1"/>
                <c:pt idx="0">
                  <c:v> 铁矿砂及其精矿进口量:当月值同比</c:v>
                </c:pt>
              </c:strCache>
            </c:strRef>
          </c:tx>
          <c:spPr>
            <a:solidFill>
              <a:schemeClr val="accent5"/>
            </a:solidFill>
            <a:ln>
              <a:noFill/>
            </a:ln>
            <a:effectLst/>
          </c:spPr>
          <c:invertIfNegative val="0"/>
          <c:cat>
            <c:strRef>
              <c:f>Sheet8!$A$2:$A$11</c:f>
              <c:strCache>
                <c:ptCount val="10"/>
                <c:pt idx="0">
                  <c:v>2014-01</c:v>
                </c:pt>
                <c:pt idx="1">
                  <c:v>2014-02</c:v>
                </c:pt>
                <c:pt idx="2">
                  <c:v>2014-03</c:v>
                </c:pt>
                <c:pt idx="3">
                  <c:v>2014-04</c:v>
                </c:pt>
                <c:pt idx="4">
                  <c:v>2014-05</c:v>
                </c:pt>
                <c:pt idx="5">
                  <c:v>2014-06</c:v>
                </c:pt>
                <c:pt idx="6">
                  <c:v>2014-07</c:v>
                </c:pt>
                <c:pt idx="7">
                  <c:v>2014-08</c:v>
                </c:pt>
                <c:pt idx="8">
                  <c:v>2014-09</c:v>
                </c:pt>
                <c:pt idx="9">
                  <c:v>2014-10</c:v>
                </c:pt>
              </c:strCache>
            </c:strRef>
          </c:cat>
          <c:val>
            <c:numRef>
              <c:f>Sheet8!$F$2:$F$11</c:f>
              <c:numCache>
                <c:formatCode>General</c:formatCode>
                <c:ptCount val="10"/>
                <c:pt idx="0">
                  <c:v>32.491008544400358</c:v>
                </c:pt>
                <c:pt idx="1">
                  <c:v>8.5468309110244576</c:v>
                </c:pt>
                <c:pt idx="2">
                  <c:v>14.580731216111543</c:v>
                </c:pt>
                <c:pt idx="3">
                  <c:v>24.179687267311976</c:v>
                </c:pt>
                <c:pt idx="4">
                  <c:v>12.86712952158693</c:v>
                </c:pt>
                <c:pt idx="5">
                  <c:v>19.688110754414126</c:v>
                </c:pt>
                <c:pt idx="6">
                  <c:v>12.822220399234338</c:v>
                </c:pt>
                <c:pt idx="7">
                  <c:v>8.5080394145775973</c:v>
                </c:pt>
                <c:pt idx="8">
                  <c:v>13.562472512737999</c:v>
                </c:pt>
                <c:pt idx="9">
                  <c:v>17.042606516290729</c:v>
                </c:pt>
              </c:numCache>
            </c:numRef>
          </c:val>
        </c:ser>
        <c:dLbls>
          <c:showLegendKey val="0"/>
          <c:showVal val="0"/>
          <c:showCatName val="0"/>
          <c:showSerName val="0"/>
          <c:showPercent val="0"/>
          <c:showBubbleSize val="0"/>
        </c:dLbls>
        <c:gapWidth val="150"/>
        <c:axId val="83400960"/>
        <c:axId val="83402752"/>
      </c:barChart>
      <c:catAx>
        <c:axId val="8340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3402752"/>
        <c:crosses val="autoZero"/>
        <c:auto val="1"/>
        <c:lblAlgn val="ctr"/>
        <c:lblOffset val="100"/>
        <c:noMultiLvlLbl val="0"/>
      </c:catAx>
      <c:valAx>
        <c:axId val="83402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3400960"/>
        <c:crosses val="autoZero"/>
        <c:crossBetween val="between"/>
      </c:valAx>
      <c:spPr>
        <a:noFill/>
        <a:ln>
          <a:noFill/>
        </a:ln>
        <a:effectLst/>
      </c:spPr>
    </c:plotArea>
    <c:legend>
      <c:legendPos val="b"/>
      <c:layout>
        <c:manualLayout>
          <c:xMode val="edge"/>
          <c:yMode val="edge"/>
          <c:x val="1.4659667541557298E-2"/>
          <c:y val="0.70890930300379118"/>
          <c:w val="0.95956955380577424"/>
          <c:h val="0.263312919218431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868285214348206"/>
          <c:y val="5.1400554097404488E-2"/>
          <c:w val="0.73564807524059583"/>
          <c:h val="0.6253883978788366"/>
        </c:manualLayout>
      </c:layout>
      <c:barChart>
        <c:barDir val="col"/>
        <c:grouping val="clustered"/>
        <c:varyColors val="0"/>
        <c:ser>
          <c:idx val="0"/>
          <c:order val="0"/>
          <c:tx>
            <c:v>中国纤维板产量（立方米）</c:v>
          </c:tx>
          <c:spPr>
            <a:solidFill>
              <a:srgbClr val="A19779"/>
            </a:solidFill>
            <a:ln>
              <a:solidFill>
                <a:schemeClr val="bg2">
                  <a:lumMod val="50000"/>
                </a:schemeClr>
              </a:solidFill>
            </a:ln>
          </c:spPr>
          <c:invertIfNegative val="0"/>
          <c:cat>
            <c:numRef>
              <c:f>中国两板供需!$A$14:$A$82</c:f>
              <c:numCache>
                <c:formatCode>yyyy\-mm;@</c:formatCode>
                <c:ptCount val="69"/>
                <c:pt idx="0">
                  <c:v>41912</c:v>
                </c:pt>
                <c:pt idx="1">
                  <c:v>41882</c:v>
                </c:pt>
                <c:pt idx="2">
                  <c:v>41851</c:v>
                </c:pt>
                <c:pt idx="3">
                  <c:v>41820</c:v>
                </c:pt>
                <c:pt idx="4">
                  <c:v>41790</c:v>
                </c:pt>
                <c:pt idx="5">
                  <c:v>41759</c:v>
                </c:pt>
                <c:pt idx="6">
                  <c:v>41729</c:v>
                </c:pt>
                <c:pt idx="7">
                  <c:v>41639</c:v>
                </c:pt>
                <c:pt idx="8">
                  <c:v>41608</c:v>
                </c:pt>
                <c:pt idx="9">
                  <c:v>41578</c:v>
                </c:pt>
                <c:pt idx="10">
                  <c:v>41547</c:v>
                </c:pt>
                <c:pt idx="11">
                  <c:v>41517</c:v>
                </c:pt>
                <c:pt idx="12">
                  <c:v>41486</c:v>
                </c:pt>
                <c:pt idx="13">
                  <c:v>41455</c:v>
                </c:pt>
                <c:pt idx="14">
                  <c:v>41425</c:v>
                </c:pt>
                <c:pt idx="15">
                  <c:v>41394</c:v>
                </c:pt>
                <c:pt idx="16">
                  <c:v>41364</c:v>
                </c:pt>
                <c:pt idx="17">
                  <c:v>41274</c:v>
                </c:pt>
                <c:pt idx="18">
                  <c:v>41243</c:v>
                </c:pt>
                <c:pt idx="19">
                  <c:v>41213</c:v>
                </c:pt>
                <c:pt idx="20">
                  <c:v>41182</c:v>
                </c:pt>
                <c:pt idx="21">
                  <c:v>41152</c:v>
                </c:pt>
                <c:pt idx="22">
                  <c:v>41121</c:v>
                </c:pt>
                <c:pt idx="23">
                  <c:v>41090</c:v>
                </c:pt>
                <c:pt idx="24">
                  <c:v>41060</c:v>
                </c:pt>
                <c:pt idx="25">
                  <c:v>41029</c:v>
                </c:pt>
                <c:pt idx="26">
                  <c:v>40999</c:v>
                </c:pt>
                <c:pt idx="27">
                  <c:v>40968</c:v>
                </c:pt>
                <c:pt idx="28">
                  <c:v>40939</c:v>
                </c:pt>
                <c:pt idx="29">
                  <c:v>40908</c:v>
                </c:pt>
                <c:pt idx="30">
                  <c:v>40877</c:v>
                </c:pt>
                <c:pt idx="31">
                  <c:v>40847</c:v>
                </c:pt>
                <c:pt idx="32">
                  <c:v>40816</c:v>
                </c:pt>
                <c:pt idx="33">
                  <c:v>40786</c:v>
                </c:pt>
                <c:pt idx="34">
                  <c:v>40755</c:v>
                </c:pt>
                <c:pt idx="35">
                  <c:v>40724</c:v>
                </c:pt>
                <c:pt idx="36">
                  <c:v>40694</c:v>
                </c:pt>
                <c:pt idx="37">
                  <c:v>40663</c:v>
                </c:pt>
                <c:pt idx="38">
                  <c:v>40633</c:v>
                </c:pt>
                <c:pt idx="39">
                  <c:v>40602</c:v>
                </c:pt>
                <c:pt idx="40">
                  <c:v>40574</c:v>
                </c:pt>
                <c:pt idx="41">
                  <c:v>40543</c:v>
                </c:pt>
                <c:pt idx="42">
                  <c:v>40512</c:v>
                </c:pt>
                <c:pt idx="43">
                  <c:v>40482</c:v>
                </c:pt>
                <c:pt idx="44">
                  <c:v>40451</c:v>
                </c:pt>
                <c:pt idx="45">
                  <c:v>40421</c:v>
                </c:pt>
                <c:pt idx="46">
                  <c:v>40390</c:v>
                </c:pt>
                <c:pt idx="47">
                  <c:v>40359</c:v>
                </c:pt>
                <c:pt idx="48">
                  <c:v>40329</c:v>
                </c:pt>
                <c:pt idx="49">
                  <c:v>40298</c:v>
                </c:pt>
                <c:pt idx="50">
                  <c:v>40268</c:v>
                </c:pt>
                <c:pt idx="51">
                  <c:v>40237</c:v>
                </c:pt>
                <c:pt idx="52">
                  <c:v>40209</c:v>
                </c:pt>
                <c:pt idx="53">
                  <c:v>40178</c:v>
                </c:pt>
                <c:pt idx="54">
                  <c:v>40147</c:v>
                </c:pt>
                <c:pt idx="55">
                  <c:v>40117</c:v>
                </c:pt>
                <c:pt idx="56">
                  <c:v>40086</c:v>
                </c:pt>
                <c:pt idx="57">
                  <c:v>40056</c:v>
                </c:pt>
                <c:pt idx="58">
                  <c:v>40025</c:v>
                </c:pt>
                <c:pt idx="59">
                  <c:v>39994</c:v>
                </c:pt>
                <c:pt idx="60">
                  <c:v>39964</c:v>
                </c:pt>
                <c:pt idx="61">
                  <c:v>39933</c:v>
                </c:pt>
                <c:pt idx="62">
                  <c:v>39903</c:v>
                </c:pt>
                <c:pt idx="63">
                  <c:v>39872</c:v>
                </c:pt>
                <c:pt idx="64">
                  <c:v>39844</c:v>
                </c:pt>
                <c:pt idx="65">
                  <c:v>39813</c:v>
                </c:pt>
                <c:pt idx="66">
                  <c:v>39782</c:v>
                </c:pt>
                <c:pt idx="67">
                  <c:v>39752</c:v>
                </c:pt>
                <c:pt idx="68">
                  <c:v>39721</c:v>
                </c:pt>
              </c:numCache>
            </c:numRef>
          </c:cat>
          <c:val>
            <c:numRef>
              <c:f>中国两板供需!$D$14:$D$82</c:f>
              <c:numCache>
                <c:formatCode>###,###,###,###,##0.00</c:formatCode>
                <c:ptCount val="69"/>
                <c:pt idx="0">
                  <c:v>5757568.5499999998</c:v>
                </c:pt>
                <c:pt idx="1">
                  <c:v>5521210.3600000003</c:v>
                </c:pt>
                <c:pt idx="2">
                  <c:v>5714404.3700000001</c:v>
                </c:pt>
                <c:pt idx="3">
                  <c:v>6185535.3099999996</c:v>
                </c:pt>
                <c:pt idx="4">
                  <c:v>5547014.9500000002</c:v>
                </c:pt>
                <c:pt idx="5">
                  <c:v>5439565.71</c:v>
                </c:pt>
                <c:pt idx="6">
                  <c:v>5650960.2300000004</c:v>
                </c:pt>
                <c:pt idx="7">
                  <c:v>6328694.6799999997</c:v>
                </c:pt>
                <c:pt idx="8">
                  <c:v>6009730.8300000001</c:v>
                </c:pt>
                <c:pt idx="9">
                  <c:v>5383314.8399999999</c:v>
                </c:pt>
                <c:pt idx="10">
                  <c:v>4977876.4400000004</c:v>
                </c:pt>
                <c:pt idx="11">
                  <c:v>4712659.09</c:v>
                </c:pt>
                <c:pt idx="12">
                  <c:v>4858321.66</c:v>
                </c:pt>
                <c:pt idx="13">
                  <c:v>5316161.58</c:v>
                </c:pt>
                <c:pt idx="14">
                  <c:v>4973048.7300000004</c:v>
                </c:pt>
                <c:pt idx="15">
                  <c:v>5058253.08</c:v>
                </c:pt>
                <c:pt idx="16">
                  <c:v>4831737.24</c:v>
                </c:pt>
                <c:pt idx="17">
                  <c:v>5880350.5899999999</c:v>
                </c:pt>
                <c:pt idx="18">
                  <c:v>5969624.7400000002</c:v>
                </c:pt>
                <c:pt idx="19">
                  <c:v>5070829.0999999996</c:v>
                </c:pt>
                <c:pt idx="20">
                  <c:v>5356680.24</c:v>
                </c:pt>
                <c:pt idx="21">
                  <c:v>4522069.32</c:v>
                </c:pt>
                <c:pt idx="22">
                  <c:v>4484393.42</c:v>
                </c:pt>
                <c:pt idx="23">
                  <c:v>5165252.8499999996</c:v>
                </c:pt>
                <c:pt idx="24">
                  <c:v>4513386.76</c:v>
                </c:pt>
                <c:pt idx="25">
                  <c:v>4546557.38</c:v>
                </c:pt>
                <c:pt idx="26">
                  <c:v>4659246.17</c:v>
                </c:pt>
                <c:pt idx="27">
                  <c:v>3627103.72</c:v>
                </c:pt>
                <c:pt idx="28">
                  <c:v>2984293.67</c:v>
                </c:pt>
                <c:pt idx="29">
                  <c:v>5042936.0199999996</c:v>
                </c:pt>
                <c:pt idx="30">
                  <c:v>4867484.63</c:v>
                </c:pt>
                <c:pt idx="31">
                  <c:v>4532525.5999999996</c:v>
                </c:pt>
                <c:pt idx="32">
                  <c:v>4268512.93</c:v>
                </c:pt>
                <c:pt idx="33">
                  <c:v>4120062.23</c:v>
                </c:pt>
                <c:pt idx="34">
                  <c:v>3557288.41</c:v>
                </c:pt>
                <c:pt idx="35">
                  <c:v>4703980.29</c:v>
                </c:pt>
                <c:pt idx="36">
                  <c:v>4128365.99</c:v>
                </c:pt>
                <c:pt idx="37">
                  <c:v>3991325.28</c:v>
                </c:pt>
                <c:pt idx="38">
                  <c:v>4011077.96</c:v>
                </c:pt>
                <c:pt idx="39">
                  <c:v>2521322.2200000002</c:v>
                </c:pt>
                <c:pt idx="40">
                  <c:v>2934302.98</c:v>
                </c:pt>
                <c:pt idx="41">
                  <c:v>4476459.8600000003</c:v>
                </c:pt>
                <c:pt idx="42">
                  <c:v>4116919.12</c:v>
                </c:pt>
                <c:pt idx="43">
                  <c:v>3903605.55</c:v>
                </c:pt>
                <c:pt idx="44">
                  <c:v>3656483.49</c:v>
                </c:pt>
                <c:pt idx="45">
                  <c:v>3482670.54</c:v>
                </c:pt>
                <c:pt idx="46">
                  <c:v>3270931.99</c:v>
                </c:pt>
                <c:pt idx="47">
                  <c:v>3772992.8</c:v>
                </c:pt>
                <c:pt idx="48">
                  <c:v>3512610.09</c:v>
                </c:pt>
                <c:pt idx="49">
                  <c:v>3188420.99</c:v>
                </c:pt>
                <c:pt idx="50">
                  <c:v>3022457.75</c:v>
                </c:pt>
                <c:pt idx="51">
                  <c:v>1837125.15</c:v>
                </c:pt>
                <c:pt idx="52">
                  <c:v>2690460.14</c:v>
                </c:pt>
                <c:pt idx="53">
                  <c:v>3615296.7</c:v>
                </c:pt>
                <c:pt idx="54">
                  <c:v>3302376.12</c:v>
                </c:pt>
                <c:pt idx="55">
                  <c:v>3342360.89</c:v>
                </c:pt>
                <c:pt idx="56">
                  <c:v>3023511.58</c:v>
                </c:pt>
                <c:pt idx="57">
                  <c:v>2873177.6</c:v>
                </c:pt>
                <c:pt idx="58">
                  <c:v>2629257.9700000002</c:v>
                </c:pt>
                <c:pt idx="59">
                  <c:v>2955380.32</c:v>
                </c:pt>
                <c:pt idx="60">
                  <c:v>2641760.96</c:v>
                </c:pt>
                <c:pt idx="61">
                  <c:v>2390052.9900000002</c:v>
                </c:pt>
                <c:pt idx="62">
                  <c:v>2700604.68</c:v>
                </c:pt>
                <c:pt idx="63">
                  <c:v>1495468</c:v>
                </c:pt>
                <c:pt idx="64">
                  <c:v>1421511</c:v>
                </c:pt>
                <c:pt idx="65">
                  <c:v>2710629.73</c:v>
                </c:pt>
                <c:pt idx="66">
                  <c:v>2454207.02</c:v>
                </c:pt>
                <c:pt idx="67">
                  <c:v>2439052.88</c:v>
                </c:pt>
                <c:pt idx="68">
                  <c:v>2430489.11</c:v>
                </c:pt>
              </c:numCache>
            </c:numRef>
          </c:val>
        </c:ser>
        <c:dLbls>
          <c:showLegendKey val="0"/>
          <c:showVal val="0"/>
          <c:showCatName val="0"/>
          <c:showSerName val="0"/>
          <c:showPercent val="0"/>
          <c:showBubbleSize val="0"/>
        </c:dLbls>
        <c:gapWidth val="150"/>
        <c:axId val="84649472"/>
        <c:axId val="84651008"/>
      </c:barChart>
      <c:lineChart>
        <c:grouping val="standard"/>
        <c:varyColors val="0"/>
        <c:ser>
          <c:idx val="1"/>
          <c:order val="1"/>
          <c:tx>
            <c:v>同比（%）</c:v>
          </c:tx>
          <c:marker>
            <c:symbol val="none"/>
          </c:marker>
          <c:val>
            <c:numRef>
              <c:f>中国两板供需!$E$14:$E$82</c:f>
              <c:numCache>
                <c:formatCode>###,###,###,###,##0.00</c:formatCode>
                <c:ptCount val="69"/>
                <c:pt idx="0">
                  <c:v>5.32</c:v>
                </c:pt>
                <c:pt idx="1">
                  <c:v>6.96</c:v>
                </c:pt>
                <c:pt idx="2">
                  <c:v>6.66</c:v>
                </c:pt>
                <c:pt idx="3">
                  <c:v>7.26</c:v>
                </c:pt>
                <c:pt idx="4">
                  <c:v>5.63</c:v>
                </c:pt>
                <c:pt idx="5">
                  <c:v>4.33</c:v>
                </c:pt>
                <c:pt idx="6">
                  <c:v>11.51</c:v>
                </c:pt>
                <c:pt idx="7">
                  <c:v>3.55</c:v>
                </c:pt>
                <c:pt idx="8">
                  <c:v>-1.82</c:v>
                </c:pt>
                <c:pt idx="9">
                  <c:v>2.36</c:v>
                </c:pt>
                <c:pt idx="10">
                  <c:v>-8.7799999999999994</c:v>
                </c:pt>
                <c:pt idx="11">
                  <c:v>3.32</c:v>
                </c:pt>
                <c:pt idx="12">
                  <c:v>6.76</c:v>
                </c:pt>
                <c:pt idx="13">
                  <c:v>3.95</c:v>
                </c:pt>
                <c:pt idx="14">
                  <c:v>8.5299999999999994</c:v>
                </c:pt>
                <c:pt idx="15">
                  <c:v>9.98</c:v>
                </c:pt>
                <c:pt idx="16">
                  <c:v>4.67</c:v>
                </c:pt>
                <c:pt idx="17">
                  <c:v>16.97</c:v>
                </c:pt>
                <c:pt idx="18">
                  <c:v>24.83</c:v>
                </c:pt>
                <c:pt idx="19">
                  <c:v>18.18</c:v>
                </c:pt>
                <c:pt idx="20">
                  <c:v>22.01</c:v>
                </c:pt>
                <c:pt idx="21">
                  <c:v>7.29</c:v>
                </c:pt>
                <c:pt idx="22">
                  <c:v>11.48</c:v>
                </c:pt>
                <c:pt idx="23">
                  <c:v>7.98</c:v>
                </c:pt>
                <c:pt idx="24">
                  <c:v>5.31</c:v>
                </c:pt>
                <c:pt idx="25">
                  <c:v>13.36</c:v>
                </c:pt>
                <c:pt idx="26">
                  <c:v>15.96</c:v>
                </c:pt>
                <c:pt idx="27">
                  <c:v>46.77</c:v>
                </c:pt>
                <c:pt idx="28">
                  <c:v>0.9</c:v>
                </c:pt>
                <c:pt idx="29">
                  <c:v>14.76</c:v>
                </c:pt>
                <c:pt idx="30">
                  <c:v>15.6</c:v>
                </c:pt>
                <c:pt idx="31">
                  <c:v>26.8</c:v>
                </c:pt>
                <c:pt idx="32">
                  <c:v>18.54</c:v>
                </c:pt>
                <c:pt idx="33">
                  <c:v>22.99</c:v>
                </c:pt>
                <c:pt idx="34">
                  <c:v>17.37</c:v>
                </c:pt>
                <c:pt idx="35">
                  <c:v>34.49</c:v>
                </c:pt>
                <c:pt idx="36">
                  <c:v>29.88</c:v>
                </c:pt>
                <c:pt idx="37">
                  <c:v>24.75</c:v>
                </c:pt>
                <c:pt idx="38">
                  <c:v>33.76</c:v>
                </c:pt>
                <c:pt idx="39">
                  <c:v>33.9</c:v>
                </c:pt>
                <c:pt idx="40">
                  <c:v>8.5299999999999994</c:v>
                </c:pt>
                <c:pt idx="41">
                  <c:v>21.55</c:v>
                </c:pt>
                <c:pt idx="42">
                  <c:v>22.44</c:v>
                </c:pt>
                <c:pt idx="43">
                  <c:v>14.94</c:v>
                </c:pt>
                <c:pt idx="44">
                  <c:v>21.29</c:v>
                </c:pt>
                <c:pt idx="45">
                  <c:v>32.69</c:v>
                </c:pt>
                <c:pt idx="46">
                  <c:v>25.65</c:v>
                </c:pt>
                <c:pt idx="47">
                  <c:v>28.66</c:v>
                </c:pt>
                <c:pt idx="48">
                  <c:v>33.450000000000003</c:v>
                </c:pt>
                <c:pt idx="49">
                  <c:v>20.49</c:v>
                </c:pt>
                <c:pt idx="50">
                  <c:v>11.32</c:v>
                </c:pt>
                <c:pt idx="51">
                  <c:v>17.41</c:v>
                </c:pt>
                <c:pt idx="52">
                  <c:v>74.08</c:v>
                </c:pt>
                <c:pt idx="53">
                  <c:v>19.89</c:v>
                </c:pt>
                <c:pt idx="54">
                  <c:v>24.4</c:v>
                </c:pt>
                <c:pt idx="55">
                  <c:v>12.7</c:v>
                </c:pt>
                <c:pt idx="56">
                  <c:v>10.59</c:v>
                </c:pt>
                <c:pt idx="57">
                  <c:v>26.38</c:v>
                </c:pt>
                <c:pt idx="58">
                  <c:v>3.92</c:v>
                </c:pt>
                <c:pt idx="59">
                  <c:v>3.7</c:v>
                </c:pt>
                <c:pt idx="60">
                  <c:v>3.42</c:v>
                </c:pt>
                <c:pt idx="61">
                  <c:v>-5.12</c:v>
                </c:pt>
                <c:pt idx="62">
                  <c:v>-0.95</c:v>
                </c:pt>
                <c:pt idx="63">
                  <c:v>-4.3499999999999996</c:v>
                </c:pt>
                <c:pt idx="64">
                  <c:v>-24.05</c:v>
                </c:pt>
                <c:pt idx="65">
                  <c:v>3.02</c:v>
                </c:pt>
                <c:pt idx="66">
                  <c:v>6.04</c:v>
                </c:pt>
                <c:pt idx="67">
                  <c:v>2.2799999999999998</c:v>
                </c:pt>
                <c:pt idx="68">
                  <c:v>-1.74</c:v>
                </c:pt>
              </c:numCache>
            </c:numRef>
          </c:val>
          <c:smooth val="0"/>
        </c:ser>
        <c:dLbls>
          <c:showLegendKey val="0"/>
          <c:showVal val="0"/>
          <c:showCatName val="0"/>
          <c:showSerName val="0"/>
          <c:showPercent val="0"/>
          <c:showBubbleSize val="0"/>
        </c:dLbls>
        <c:marker val="1"/>
        <c:smooth val="0"/>
        <c:axId val="84658432"/>
        <c:axId val="84656896"/>
      </c:lineChart>
      <c:dateAx>
        <c:axId val="84649472"/>
        <c:scaling>
          <c:orientation val="minMax"/>
        </c:scaling>
        <c:delete val="0"/>
        <c:axPos val="b"/>
        <c:numFmt formatCode="yyyy\-mm;@" sourceLinked="1"/>
        <c:majorTickMark val="out"/>
        <c:minorTickMark val="none"/>
        <c:tickLblPos val="nextTo"/>
        <c:crossAx val="84651008"/>
        <c:crosses val="autoZero"/>
        <c:auto val="1"/>
        <c:lblOffset val="100"/>
        <c:baseTimeUnit val="months"/>
      </c:dateAx>
      <c:valAx>
        <c:axId val="84651008"/>
        <c:scaling>
          <c:orientation val="minMax"/>
        </c:scaling>
        <c:delete val="0"/>
        <c:axPos val="l"/>
        <c:numFmt formatCode="0_);[Red]\(0\)" sourceLinked="0"/>
        <c:majorTickMark val="out"/>
        <c:minorTickMark val="none"/>
        <c:tickLblPos val="nextTo"/>
        <c:crossAx val="84649472"/>
        <c:crosses val="autoZero"/>
        <c:crossBetween val="between"/>
      </c:valAx>
      <c:valAx>
        <c:axId val="84656896"/>
        <c:scaling>
          <c:orientation val="minMax"/>
        </c:scaling>
        <c:delete val="0"/>
        <c:axPos val="r"/>
        <c:numFmt formatCode="0_ " sourceLinked="0"/>
        <c:majorTickMark val="out"/>
        <c:minorTickMark val="none"/>
        <c:tickLblPos val="nextTo"/>
        <c:crossAx val="84658432"/>
        <c:crosses val="max"/>
        <c:crossBetween val="between"/>
      </c:valAx>
      <c:catAx>
        <c:axId val="84658432"/>
        <c:scaling>
          <c:orientation val="minMax"/>
        </c:scaling>
        <c:delete val="1"/>
        <c:axPos val="b"/>
        <c:majorTickMark val="out"/>
        <c:minorTickMark val="none"/>
        <c:tickLblPos val="nextTo"/>
        <c:crossAx val="84656896"/>
        <c:crosses val="autoZero"/>
        <c:auto val="1"/>
        <c:lblAlgn val="ctr"/>
        <c:lblOffset val="100"/>
        <c:noMultiLvlLbl val="0"/>
      </c:catAx>
    </c:plotArea>
    <c:legend>
      <c:legendPos val="b"/>
      <c:layout>
        <c:manualLayout>
          <c:xMode val="edge"/>
          <c:yMode val="edge"/>
          <c:x val="0.14141666666666675"/>
          <c:y val="0.9023939195100612"/>
          <c:w val="0.79870069605568494"/>
          <c:h val="9.7606084953666544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25240594925642"/>
          <c:y val="5.1400554097404488E-2"/>
          <c:w val="0.84819203849518876"/>
          <c:h val="0.61176232489011151"/>
        </c:manualLayout>
      </c:layout>
      <c:lineChart>
        <c:grouping val="standard"/>
        <c:varyColors val="0"/>
        <c:ser>
          <c:idx val="0"/>
          <c:order val="0"/>
          <c:tx>
            <c:v>原木进口单价（美元/立方米）</c:v>
          </c:tx>
          <c:spPr>
            <a:ln>
              <a:solidFill>
                <a:schemeClr val="bg2">
                  <a:lumMod val="50000"/>
                </a:schemeClr>
              </a:solidFill>
            </a:ln>
          </c:spPr>
          <c:marker>
            <c:symbol val="none"/>
          </c:marker>
          <c:cat>
            <c:numRef>
              <c:f>原木进出口!$A$14:$A$120</c:f>
              <c:numCache>
                <c:formatCode>yyyy\-mm;@</c:formatCode>
                <c:ptCount val="107"/>
                <c:pt idx="0">
                  <c:v>41912</c:v>
                </c:pt>
                <c:pt idx="1">
                  <c:v>41882</c:v>
                </c:pt>
                <c:pt idx="2">
                  <c:v>41851</c:v>
                </c:pt>
                <c:pt idx="3">
                  <c:v>41820</c:v>
                </c:pt>
                <c:pt idx="4">
                  <c:v>41790</c:v>
                </c:pt>
                <c:pt idx="5">
                  <c:v>41759</c:v>
                </c:pt>
                <c:pt idx="6">
                  <c:v>41729</c:v>
                </c:pt>
                <c:pt idx="7">
                  <c:v>41698</c:v>
                </c:pt>
                <c:pt idx="8">
                  <c:v>41670</c:v>
                </c:pt>
                <c:pt idx="9">
                  <c:v>41639</c:v>
                </c:pt>
                <c:pt idx="10">
                  <c:v>41608</c:v>
                </c:pt>
                <c:pt idx="11">
                  <c:v>41578</c:v>
                </c:pt>
                <c:pt idx="12">
                  <c:v>41547</c:v>
                </c:pt>
                <c:pt idx="13">
                  <c:v>41517</c:v>
                </c:pt>
                <c:pt idx="14">
                  <c:v>41486</c:v>
                </c:pt>
                <c:pt idx="15">
                  <c:v>41455</c:v>
                </c:pt>
                <c:pt idx="16">
                  <c:v>41425</c:v>
                </c:pt>
                <c:pt idx="17">
                  <c:v>41394</c:v>
                </c:pt>
                <c:pt idx="18">
                  <c:v>41364</c:v>
                </c:pt>
                <c:pt idx="19">
                  <c:v>41333</c:v>
                </c:pt>
                <c:pt idx="20">
                  <c:v>41305</c:v>
                </c:pt>
                <c:pt idx="21">
                  <c:v>41274</c:v>
                </c:pt>
                <c:pt idx="22">
                  <c:v>41243</c:v>
                </c:pt>
                <c:pt idx="23">
                  <c:v>41213</c:v>
                </c:pt>
                <c:pt idx="24">
                  <c:v>41182</c:v>
                </c:pt>
                <c:pt idx="25">
                  <c:v>41152</c:v>
                </c:pt>
                <c:pt idx="26">
                  <c:v>41121</c:v>
                </c:pt>
                <c:pt idx="27">
                  <c:v>41090</c:v>
                </c:pt>
                <c:pt idx="28">
                  <c:v>41060</c:v>
                </c:pt>
                <c:pt idx="29">
                  <c:v>41029</c:v>
                </c:pt>
                <c:pt idx="30">
                  <c:v>40999</c:v>
                </c:pt>
                <c:pt idx="31">
                  <c:v>40968</c:v>
                </c:pt>
                <c:pt idx="32">
                  <c:v>40939</c:v>
                </c:pt>
                <c:pt idx="33">
                  <c:v>40908</c:v>
                </c:pt>
                <c:pt idx="34">
                  <c:v>40877</c:v>
                </c:pt>
                <c:pt idx="35">
                  <c:v>40847</c:v>
                </c:pt>
                <c:pt idx="36">
                  <c:v>40816</c:v>
                </c:pt>
                <c:pt idx="37">
                  <c:v>40786</c:v>
                </c:pt>
                <c:pt idx="38">
                  <c:v>40755</c:v>
                </c:pt>
                <c:pt idx="39">
                  <c:v>40724</c:v>
                </c:pt>
                <c:pt idx="40">
                  <c:v>40694</c:v>
                </c:pt>
                <c:pt idx="41">
                  <c:v>40663</c:v>
                </c:pt>
                <c:pt idx="42">
                  <c:v>40633</c:v>
                </c:pt>
                <c:pt idx="43">
                  <c:v>40602</c:v>
                </c:pt>
                <c:pt idx="44">
                  <c:v>40574</c:v>
                </c:pt>
                <c:pt idx="45">
                  <c:v>40543</c:v>
                </c:pt>
                <c:pt idx="46">
                  <c:v>40512</c:v>
                </c:pt>
                <c:pt idx="47">
                  <c:v>40482</c:v>
                </c:pt>
                <c:pt idx="48">
                  <c:v>40451</c:v>
                </c:pt>
                <c:pt idx="49">
                  <c:v>40421</c:v>
                </c:pt>
                <c:pt idx="50">
                  <c:v>40390</c:v>
                </c:pt>
                <c:pt idx="51">
                  <c:v>40359</c:v>
                </c:pt>
                <c:pt idx="52">
                  <c:v>40329</c:v>
                </c:pt>
                <c:pt idx="53">
                  <c:v>40298</c:v>
                </c:pt>
                <c:pt idx="54">
                  <c:v>40268</c:v>
                </c:pt>
                <c:pt idx="55">
                  <c:v>40237</c:v>
                </c:pt>
                <c:pt idx="56">
                  <c:v>40209</c:v>
                </c:pt>
                <c:pt idx="57">
                  <c:v>40178</c:v>
                </c:pt>
                <c:pt idx="58">
                  <c:v>40147</c:v>
                </c:pt>
                <c:pt idx="59">
                  <c:v>40117</c:v>
                </c:pt>
                <c:pt idx="60">
                  <c:v>40086</c:v>
                </c:pt>
                <c:pt idx="61">
                  <c:v>40056</c:v>
                </c:pt>
                <c:pt idx="62">
                  <c:v>40025</c:v>
                </c:pt>
                <c:pt idx="63">
                  <c:v>39994</c:v>
                </c:pt>
                <c:pt idx="64">
                  <c:v>39964</c:v>
                </c:pt>
                <c:pt idx="65">
                  <c:v>39933</c:v>
                </c:pt>
                <c:pt idx="66">
                  <c:v>39903</c:v>
                </c:pt>
                <c:pt idx="67">
                  <c:v>39872</c:v>
                </c:pt>
                <c:pt idx="68">
                  <c:v>39844</c:v>
                </c:pt>
                <c:pt idx="69">
                  <c:v>39813</c:v>
                </c:pt>
                <c:pt idx="70">
                  <c:v>39782</c:v>
                </c:pt>
                <c:pt idx="71">
                  <c:v>39752</c:v>
                </c:pt>
                <c:pt idx="72">
                  <c:v>39721</c:v>
                </c:pt>
                <c:pt idx="73">
                  <c:v>39691</c:v>
                </c:pt>
                <c:pt idx="74">
                  <c:v>39660</c:v>
                </c:pt>
                <c:pt idx="75">
                  <c:v>39629</c:v>
                </c:pt>
                <c:pt idx="76">
                  <c:v>39599</c:v>
                </c:pt>
                <c:pt idx="77">
                  <c:v>39568</c:v>
                </c:pt>
                <c:pt idx="78">
                  <c:v>39538</c:v>
                </c:pt>
                <c:pt idx="79">
                  <c:v>39507</c:v>
                </c:pt>
                <c:pt idx="80">
                  <c:v>39478</c:v>
                </c:pt>
                <c:pt idx="81">
                  <c:v>39447</c:v>
                </c:pt>
                <c:pt idx="82">
                  <c:v>39416</c:v>
                </c:pt>
                <c:pt idx="83">
                  <c:v>39386</c:v>
                </c:pt>
                <c:pt idx="84">
                  <c:v>39355</c:v>
                </c:pt>
                <c:pt idx="85">
                  <c:v>39325</c:v>
                </c:pt>
                <c:pt idx="86">
                  <c:v>39294</c:v>
                </c:pt>
                <c:pt idx="87">
                  <c:v>39263</c:v>
                </c:pt>
                <c:pt idx="88">
                  <c:v>39233</c:v>
                </c:pt>
                <c:pt idx="89">
                  <c:v>39202</c:v>
                </c:pt>
                <c:pt idx="90">
                  <c:v>39172</c:v>
                </c:pt>
                <c:pt idx="91">
                  <c:v>39141</c:v>
                </c:pt>
                <c:pt idx="92">
                  <c:v>39113</c:v>
                </c:pt>
                <c:pt idx="93">
                  <c:v>39082</c:v>
                </c:pt>
                <c:pt idx="94">
                  <c:v>39051</c:v>
                </c:pt>
                <c:pt idx="95">
                  <c:v>39021</c:v>
                </c:pt>
                <c:pt idx="96">
                  <c:v>38990</c:v>
                </c:pt>
                <c:pt idx="97">
                  <c:v>38960</c:v>
                </c:pt>
                <c:pt idx="98">
                  <c:v>38929</c:v>
                </c:pt>
                <c:pt idx="99">
                  <c:v>38898</c:v>
                </c:pt>
                <c:pt idx="100">
                  <c:v>38868</c:v>
                </c:pt>
                <c:pt idx="101">
                  <c:v>38837</c:v>
                </c:pt>
                <c:pt idx="102">
                  <c:v>38807</c:v>
                </c:pt>
                <c:pt idx="103">
                  <c:v>38776</c:v>
                </c:pt>
                <c:pt idx="104">
                  <c:v>38748</c:v>
                </c:pt>
                <c:pt idx="105">
                  <c:v>38717</c:v>
                </c:pt>
                <c:pt idx="106">
                  <c:v>38686</c:v>
                </c:pt>
              </c:numCache>
            </c:numRef>
          </c:cat>
          <c:val>
            <c:numRef>
              <c:f>原木进出口!$D$14:$D$120</c:f>
              <c:numCache>
                <c:formatCode>###,###,###,###,##0.00</c:formatCode>
                <c:ptCount val="107"/>
                <c:pt idx="0">
                  <c:v>220.51</c:v>
                </c:pt>
                <c:pt idx="1">
                  <c:v>233.48</c:v>
                </c:pt>
                <c:pt idx="2">
                  <c:v>227.8</c:v>
                </c:pt>
                <c:pt idx="3">
                  <c:v>223.3</c:v>
                </c:pt>
                <c:pt idx="4">
                  <c:v>241.97</c:v>
                </c:pt>
                <c:pt idx="5">
                  <c:v>240.95</c:v>
                </c:pt>
                <c:pt idx="6">
                  <c:v>259.10000000000002</c:v>
                </c:pt>
                <c:pt idx="7">
                  <c:v>232.26</c:v>
                </c:pt>
                <c:pt idx="8">
                  <c:v>226.55</c:v>
                </c:pt>
                <c:pt idx="9">
                  <c:v>218.91</c:v>
                </c:pt>
                <c:pt idx="10">
                  <c:v>206.12</c:v>
                </c:pt>
                <c:pt idx="11">
                  <c:v>200.94</c:v>
                </c:pt>
                <c:pt idx="12">
                  <c:v>204.22</c:v>
                </c:pt>
                <c:pt idx="13">
                  <c:v>205.36</c:v>
                </c:pt>
                <c:pt idx="14">
                  <c:v>207.89</c:v>
                </c:pt>
                <c:pt idx="15">
                  <c:v>225.19</c:v>
                </c:pt>
                <c:pt idx="16">
                  <c:v>201.88</c:v>
                </c:pt>
                <c:pt idx="17">
                  <c:v>203.36</c:v>
                </c:pt>
                <c:pt idx="18">
                  <c:v>203.97</c:v>
                </c:pt>
                <c:pt idx="19">
                  <c:v>202.45</c:v>
                </c:pt>
                <c:pt idx="20">
                  <c:v>193.66</c:v>
                </c:pt>
                <c:pt idx="21">
                  <c:v>173.41</c:v>
                </c:pt>
                <c:pt idx="22">
                  <c:v>183.51</c:v>
                </c:pt>
                <c:pt idx="23">
                  <c:v>186</c:v>
                </c:pt>
                <c:pt idx="24">
                  <c:v>187.43</c:v>
                </c:pt>
                <c:pt idx="25">
                  <c:v>192.97</c:v>
                </c:pt>
                <c:pt idx="26">
                  <c:v>187.45</c:v>
                </c:pt>
                <c:pt idx="27">
                  <c:v>192.48</c:v>
                </c:pt>
                <c:pt idx="28">
                  <c:v>197.19</c:v>
                </c:pt>
                <c:pt idx="29">
                  <c:v>197.81</c:v>
                </c:pt>
                <c:pt idx="30">
                  <c:v>193.96</c:v>
                </c:pt>
                <c:pt idx="31">
                  <c:v>205.62</c:v>
                </c:pt>
                <c:pt idx="32">
                  <c:v>196.73</c:v>
                </c:pt>
                <c:pt idx="33">
                  <c:v>193.42</c:v>
                </c:pt>
                <c:pt idx="34">
                  <c:v>198.31</c:v>
                </c:pt>
                <c:pt idx="35">
                  <c:v>191.17</c:v>
                </c:pt>
                <c:pt idx="36">
                  <c:v>201.09</c:v>
                </c:pt>
                <c:pt idx="37">
                  <c:v>212.01</c:v>
                </c:pt>
                <c:pt idx="38">
                  <c:v>212.03</c:v>
                </c:pt>
                <c:pt idx="39">
                  <c:v>208.98</c:v>
                </c:pt>
                <c:pt idx="40">
                  <c:v>197.45</c:v>
                </c:pt>
                <c:pt idx="41">
                  <c:v>185.43</c:v>
                </c:pt>
                <c:pt idx="42">
                  <c:v>174.83</c:v>
                </c:pt>
                <c:pt idx="43">
                  <c:v>180.36</c:v>
                </c:pt>
                <c:pt idx="44">
                  <c:v>183.3</c:v>
                </c:pt>
                <c:pt idx="45">
                  <c:v>187.27</c:v>
                </c:pt>
                <c:pt idx="46">
                  <c:v>187.5</c:v>
                </c:pt>
                <c:pt idx="47">
                  <c:v>172.24</c:v>
                </c:pt>
                <c:pt idx="48">
                  <c:v>174.82</c:v>
                </c:pt>
                <c:pt idx="49">
                  <c:v>171.7</c:v>
                </c:pt>
                <c:pt idx="50">
                  <c:v>177.61</c:v>
                </c:pt>
                <c:pt idx="51">
                  <c:v>185.93</c:v>
                </c:pt>
                <c:pt idx="52">
                  <c:v>186.55</c:v>
                </c:pt>
                <c:pt idx="53">
                  <c:v>172.42</c:v>
                </c:pt>
                <c:pt idx="54">
                  <c:v>165.95</c:v>
                </c:pt>
                <c:pt idx="55">
                  <c:v>171.36</c:v>
                </c:pt>
                <c:pt idx="56">
                  <c:v>163.72</c:v>
                </c:pt>
                <c:pt idx="57">
                  <c:v>166.26</c:v>
                </c:pt>
                <c:pt idx="58">
                  <c:v>161.63</c:v>
                </c:pt>
                <c:pt idx="59">
                  <c:v>155.21</c:v>
                </c:pt>
                <c:pt idx="60">
                  <c:v>160.09</c:v>
                </c:pt>
                <c:pt idx="61">
                  <c:v>143.53</c:v>
                </c:pt>
                <c:pt idx="62">
                  <c:v>138.44</c:v>
                </c:pt>
                <c:pt idx="63">
                  <c:v>136.94</c:v>
                </c:pt>
                <c:pt idx="64">
                  <c:v>133.29</c:v>
                </c:pt>
                <c:pt idx="65">
                  <c:v>126.18</c:v>
                </c:pt>
                <c:pt idx="66">
                  <c:v>127.52</c:v>
                </c:pt>
                <c:pt idx="67">
                  <c:v>146.51</c:v>
                </c:pt>
                <c:pt idx="68">
                  <c:v>164.37</c:v>
                </c:pt>
                <c:pt idx="69">
                  <c:v>174.04</c:v>
                </c:pt>
                <c:pt idx="70">
                  <c:v>179.42</c:v>
                </c:pt>
                <c:pt idx="71">
                  <c:v>172.03</c:v>
                </c:pt>
                <c:pt idx="72">
                  <c:v>182.78</c:v>
                </c:pt>
                <c:pt idx="73">
                  <c:v>171.36</c:v>
                </c:pt>
                <c:pt idx="74">
                  <c:v>199.34</c:v>
                </c:pt>
                <c:pt idx="75">
                  <c:v>179.65</c:v>
                </c:pt>
                <c:pt idx="76">
                  <c:v>183</c:v>
                </c:pt>
                <c:pt idx="77">
                  <c:v>174.2</c:v>
                </c:pt>
                <c:pt idx="78">
                  <c:v>169.44</c:v>
                </c:pt>
                <c:pt idx="79">
                  <c:v>151.34</c:v>
                </c:pt>
                <c:pt idx="80">
                  <c:v>169.9</c:v>
                </c:pt>
                <c:pt idx="81">
                  <c:v>157.19999999999999</c:v>
                </c:pt>
                <c:pt idx="82">
                  <c:v>154.91</c:v>
                </c:pt>
                <c:pt idx="83">
                  <c:v>145.91</c:v>
                </c:pt>
                <c:pt idx="84">
                  <c:v>146.51</c:v>
                </c:pt>
                <c:pt idx="85">
                  <c:v>146.08000000000001</c:v>
                </c:pt>
                <c:pt idx="86">
                  <c:v>148.85</c:v>
                </c:pt>
                <c:pt idx="87">
                  <c:v>145.97999999999999</c:v>
                </c:pt>
                <c:pt idx="88">
                  <c:v>147.34</c:v>
                </c:pt>
                <c:pt idx="89">
                  <c:v>138.94999999999999</c:v>
                </c:pt>
                <c:pt idx="90">
                  <c:v>140.51</c:v>
                </c:pt>
                <c:pt idx="91">
                  <c:v>131.78</c:v>
                </c:pt>
                <c:pt idx="92">
                  <c:v>129.88</c:v>
                </c:pt>
                <c:pt idx="93">
                  <c:v>146.44999999999999</c:v>
                </c:pt>
                <c:pt idx="94">
                  <c:v>130.5</c:v>
                </c:pt>
                <c:pt idx="95">
                  <c:v>131.75</c:v>
                </c:pt>
                <c:pt idx="96">
                  <c:v>129.02000000000001</c:v>
                </c:pt>
                <c:pt idx="97">
                  <c:v>122.45</c:v>
                </c:pt>
                <c:pt idx="98">
                  <c:v>116.3</c:v>
                </c:pt>
                <c:pt idx="99">
                  <c:v>127.03</c:v>
                </c:pt>
                <c:pt idx="100">
                  <c:v>118.93</c:v>
                </c:pt>
                <c:pt idx="101">
                  <c:v>114.42</c:v>
                </c:pt>
                <c:pt idx="102">
                  <c:v>111.83</c:v>
                </c:pt>
                <c:pt idx="103">
                  <c:v>115.61</c:v>
                </c:pt>
                <c:pt idx="104">
                  <c:v>104.43</c:v>
                </c:pt>
                <c:pt idx="105">
                  <c:v>117.79</c:v>
                </c:pt>
                <c:pt idx="106">
                  <c:v>111.2</c:v>
                </c:pt>
              </c:numCache>
            </c:numRef>
          </c:val>
          <c:smooth val="0"/>
        </c:ser>
        <c:ser>
          <c:idx val="1"/>
          <c:order val="1"/>
          <c:tx>
            <c:v>锯材进口单价</c:v>
          </c:tx>
          <c:spPr>
            <a:ln>
              <a:solidFill>
                <a:srgbClr val="AA0911"/>
              </a:solidFill>
            </a:ln>
          </c:spPr>
          <c:marker>
            <c:symbol val="none"/>
          </c:marker>
          <c:cat>
            <c:numRef>
              <c:f>原木进出口!$A$14:$A$120</c:f>
              <c:numCache>
                <c:formatCode>yyyy\-mm;@</c:formatCode>
                <c:ptCount val="107"/>
                <c:pt idx="0">
                  <c:v>41912</c:v>
                </c:pt>
                <c:pt idx="1">
                  <c:v>41882</c:v>
                </c:pt>
                <c:pt idx="2">
                  <c:v>41851</c:v>
                </c:pt>
                <c:pt idx="3">
                  <c:v>41820</c:v>
                </c:pt>
                <c:pt idx="4">
                  <c:v>41790</c:v>
                </c:pt>
                <c:pt idx="5">
                  <c:v>41759</c:v>
                </c:pt>
                <c:pt idx="6">
                  <c:v>41729</c:v>
                </c:pt>
                <c:pt idx="7">
                  <c:v>41698</c:v>
                </c:pt>
                <c:pt idx="8">
                  <c:v>41670</c:v>
                </c:pt>
                <c:pt idx="9">
                  <c:v>41639</c:v>
                </c:pt>
                <c:pt idx="10">
                  <c:v>41608</c:v>
                </c:pt>
                <c:pt idx="11">
                  <c:v>41578</c:v>
                </c:pt>
                <c:pt idx="12">
                  <c:v>41547</c:v>
                </c:pt>
                <c:pt idx="13">
                  <c:v>41517</c:v>
                </c:pt>
                <c:pt idx="14">
                  <c:v>41486</c:v>
                </c:pt>
                <c:pt idx="15">
                  <c:v>41455</c:v>
                </c:pt>
                <c:pt idx="16">
                  <c:v>41425</c:v>
                </c:pt>
                <c:pt idx="17">
                  <c:v>41394</c:v>
                </c:pt>
                <c:pt idx="18">
                  <c:v>41364</c:v>
                </c:pt>
                <c:pt idx="19">
                  <c:v>41333</c:v>
                </c:pt>
                <c:pt idx="20">
                  <c:v>41305</c:v>
                </c:pt>
                <c:pt idx="21">
                  <c:v>41274</c:v>
                </c:pt>
                <c:pt idx="22">
                  <c:v>41243</c:v>
                </c:pt>
                <c:pt idx="23">
                  <c:v>41213</c:v>
                </c:pt>
                <c:pt idx="24">
                  <c:v>41182</c:v>
                </c:pt>
                <c:pt idx="25">
                  <c:v>41152</c:v>
                </c:pt>
                <c:pt idx="26">
                  <c:v>41121</c:v>
                </c:pt>
                <c:pt idx="27">
                  <c:v>41090</c:v>
                </c:pt>
                <c:pt idx="28">
                  <c:v>41060</c:v>
                </c:pt>
                <c:pt idx="29">
                  <c:v>41029</c:v>
                </c:pt>
                <c:pt idx="30">
                  <c:v>40999</c:v>
                </c:pt>
                <c:pt idx="31">
                  <c:v>40968</c:v>
                </c:pt>
                <c:pt idx="32">
                  <c:v>40939</c:v>
                </c:pt>
                <c:pt idx="33">
                  <c:v>40908</c:v>
                </c:pt>
                <c:pt idx="34">
                  <c:v>40877</c:v>
                </c:pt>
                <c:pt idx="35">
                  <c:v>40847</c:v>
                </c:pt>
                <c:pt idx="36">
                  <c:v>40816</c:v>
                </c:pt>
                <c:pt idx="37">
                  <c:v>40786</c:v>
                </c:pt>
                <c:pt idx="38">
                  <c:v>40755</c:v>
                </c:pt>
                <c:pt idx="39">
                  <c:v>40724</c:v>
                </c:pt>
                <c:pt idx="40">
                  <c:v>40694</c:v>
                </c:pt>
                <c:pt idx="41">
                  <c:v>40663</c:v>
                </c:pt>
                <c:pt idx="42">
                  <c:v>40633</c:v>
                </c:pt>
                <c:pt idx="43">
                  <c:v>40602</c:v>
                </c:pt>
                <c:pt idx="44">
                  <c:v>40574</c:v>
                </c:pt>
                <c:pt idx="45">
                  <c:v>40543</c:v>
                </c:pt>
                <c:pt idx="46">
                  <c:v>40512</c:v>
                </c:pt>
                <c:pt idx="47">
                  <c:v>40482</c:v>
                </c:pt>
                <c:pt idx="48">
                  <c:v>40451</c:v>
                </c:pt>
                <c:pt idx="49">
                  <c:v>40421</c:v>
                </c:pt>
                <c:pt idx="50">
                  <c:v>40390</c:v>
                </c:pt>
                <c:pt idx="51">
                  <c:v>40359</c:v>
                </c:pt>
                <c:pt idx="52">
                  <c:v>40329</c:v>
                </c:pt>
                <c:pt idx="53">
                  <c:v>40298</c:v>
                </c:pt>
                <c:pt idx="54">
                  <c:v>40268</c:v>
                </c:pt>
                <c:pt idx="55">
                  <c:v>40237</c:v>
                </c:pt>
                <c:pt idx="56">
                  <c:v>40209</c:v>
                </c:pt>
                <c:pt idx="57">
                  <c:v>40178</c:v>
                </c:pt>
                <c:pt idx="58">
                  <c:v>40147</c:v>
                </c:pt>
                <c:pt idx="59">
                  <c:v>40117</c:v>
                </c:pt>
                <c:pt idx="60">
                  <c:v>40086</c:v>
                </c:pt>
                <c:pt idx="61">
                  <c:v>40056</c:v>
                </c:pt>
                <c:pt idx="62">
                  <c:v>40025</c:v>
                </c:pt>
                <c:pt idx="63">
                  <c:v>39994</c:v>
                </c:pt>
                <c:pt idx="64">
                  <c:v>39964</c:v>
                </c:pt>
                <c:pt idx="65">
                  <c:v>39933</c:v>
                </c:pt>
                <c:pt idx="66">
                  <c:v>39903</c:v>
                </c:pt>
                <c:pt idx="67">
                  <c:v>39872</c:v>
                </c:pt>
                <c:pt idx="68">
                  <c:v>39844</c:v>
                </c:pt>
                <c:pt idx="69">
                  <c:v>39813</c:v>
                </c:pt>
                <c:pt idx="70">
                  <c:v>39782</c:v>
                </c:pt>
                <c:pt idx="71">
                  <c:v>39752</c:v>
                </c:pt>
                <c:pt idx="72">
                  <c:v>39721</c:v>
                </c:pt>
                <c:pt idx="73">
                  <c:v>39691</c:v>
                </c:pt>
                <c:pt idx="74">
                  <c:v>39660</c:v>
                </c:pt>
                <c:pt idx="75">
                  <c:v>39629</c:v>
                </c:pt>
                <c:pt idx="76">
                  <c:v>39599</c:v>
                </c:pt>
                <c:pt idx="77">
                  <c:v>39568</c:v>
                </c:pt>
                <c:pt idx="78">
                  <c:v>39538</c:v>
                </c:pt>
                <c:pt idx="79">
                  <c:v>39507</c:v>
                </c:pt>
                <c:pt idx="80">
                  <c:v>39478</c:v>
                </c:pt>
                <c:pt idx="81">
                  <c:v>39447</c:v>
                </c:pt>
                <c:pt idx="82">
                  <c:v>39416</c:v>
                </c:pt>
                <c:pt idx="83">
                  <c:v>39386</c:v>
                </c:pt>
                <c:pt idx="84">
                  <c:v>39355</c:v>
                </c:pt>
                <c:pt idx="85">
                  <c:v>39325</c:v>
                </c:pt>
                <c:pt idx="86">
                  <c:v>39294</c:v>
                </c:pt>
                <c:pt idx="87">
                  <c:v>39263</c:v>
                </c:pt>
                <c:pt idx="88">
                  <c:v>39233</c:v>
                </c:pt>
                <c:pt idx="89">
                  <c:v>39202</c:v>
                </c:pt>
                <c:pt idx="90">
                  <c:v>39172</c:v>
                </c:pt>
                <c:pt idx="91">
                  <c:v>39141</c:v>
                </c:pt>
                <c:pt idx="92">
                  <c:v>39113</c:v>
                </c:pt>
                <c:pt idx="93">
                  <c:v>39082</c:v>
                </c:pt>
                <c:pt idx="94">
                  <c:v>39051</c:v>
                </c:pt>
                <c:pt idx="95">
                  <c:v>39021</c:v>
                </c:pt>
                <c:pt idx="96">
                  <c:v>38990</c:v>
                </c:pt>
                <c:pt idx="97">
                  <c:v>38960</c:v>
                </c:pt>
                <c:pt idx="98">
                  <c:v>38929</c:v>
                </c:pt>
                <c:pt idx="99">
                  <c:v>38898</c:v>
                </c:pt>
                <c:pt idx="100">
                  <c:v>38868</c:v>
                </c:pt>
                <c:pt idx="101">
                  <c:v>38837</c:v>
                </c:pt>
                <c:pt idx="102">
                  <c:v>38807</c:v>
                </c:pt>
                <c:pt idx="103">
                  <c:v>38776</c:v>
                </c:pt>
                <c:pt idx="104">
                  <c:v>38748</c:v>
                </c:pt>
                <c:pt idx="105">
                  <c:v>38717</c:v>
                </c:pt>
                <c:pt idx="106">
                  <c:v>38686</c:v>
                </c:pt>
              </c:numCache>
            </c:numRef>
          </c:cat>
          <c:val>
            <c:numRef>
              <c:f>原木进出口!$Q$14:$Q$120</c:f>
              <c:numCache>
                <c:formatCode>General</c:formatCode>
                <c:ptCount val="107"/>
                <c:pt idx="0">
                  <c:v>320.04309187688</c:v>
                </c:pt>
                <c:pt idx="1">
                  <c:v>307.554476290732</c:v>
                </c:pt>
                <c:pt idx="2">
                  <c:v>311.930563257546</c:v>
                </c:pt>
                <c:pt idx="3">
                  <c:v>320.69639111263302</c:v>
                </c:pt>
                <c:pt idx="4">
                  <c:v>317.83018544691402</c:v>
                </c:pt>
                <c:pt idx="5">
                  <c:v>325.823214801966</c:v>
                </c:pt>
                <c:pt idx="6">
                  <c:v>315.31382446566602</c:v>
                </c:pt>
                <c:pt idx="7">
                  <c:v>301.04964964965001</c:v>
                </c:pt>
                <c:pt idx="8">
                  <c:v>316.918237672636</c:v>
                </c:pt>
                <c:pt idx="9">
                  <c:v>309.26682464455001</c:v>
                </c:pt>
                <c:pt idx="10">
                  <c:v>290.24794520547903</c:v>
                </c:pt>
                <c:pt idx="11">
                  <c:v>285.53963133640599</c:v>
                </c:pt>
                <c:pt idx="12">
                  <c:v>279.13272727272698</c:v>
                </c:pt>
                <c:pt idx="13">
                  <c:v>276.95</c:v>
                </c:pt>
                <c:pt idx="14">
                  <c:v>290.374545454545</c:v>
                </c:pt>
                <c:pt idx="15">
                  <c:v>285.34948453608303</c:v>
                </c:pt>
                <c:pt idx="16">
                  <c:v>279.229864253394</c:v>
                </c:pt>
                <c:pt idx="17">
                  <c:v>274.65196078431399</c:v>
                </c:pt>
                <c:pt idx="18">
                  <c:v>283.74081632653099</c:v>
                </c:pt>
                <c:pt idx="19">
                  <c:v>271.86310679611699</c:v>
                </c:pt>
                <c:pt idx="20">
                  <c:v>275.404</c:v>
                </c:pt>
                <c:pt idx="21">
                  <c:v>267.78368421052602</c:v>
                </c:pt>
                <c:pt idx="22">
                  <c:v>268.32204301075302</c:v>
                </c:pt>
                <c:pt idx="23">
                  <c:v>271.30308641975301</c:v>
                </c:pt>
                <c:pt idx="24">
                  <c:v>276.55628742515</c:v>
                </c:pt>
                <c:pt idx="25">
                  <c:v>276.60526315789502</c:v>
                </c:pt>
                <c:pt idx="26">
                  <c:v>267.495906432749</c:v>
                </c:pt>
                <c:pt idx="27">
                  <c:v>264.62329545454497</c:v>
                </c:pt>
                <c:pt idx="28">
                  <c:v>258.33921568627397</c:v>
                </c:pt>
                <c:pt idx="29">
                  <c:v>264.39943820224698</c:v>
                </c:pt>
                <c:pt idx="30">
                  <c:v>264.23036649214703</c:v>
                </c:pt>
                <c:pt idx="31">
                  <c:v>263.708387096774</c:v>
                </c:pt>
                <c:pt idx="32">
                  <c:v>266.18053097345103</c:v>
                </c:pt>
                <c:pt idx="33">
                  <c:v>267.59895287958102</c:v>
                </c:pt>
                <c:pt idx="34">
                  <c:v>269.46524064171098</c:v>
                </c:pt>
                <c:pt idx="35">
                  <c:v>263.92666666666702</c:v>
                </c:pt>
                <c:pt idx="36">
                  <c:v>266.280213903743</c:v>
                </c:pt>
                <c:pt idx="37">
                  <c:v>264.36985645932998</c:v>
                </c:pt>
                <c:pt idx="38">
                  <c:v>267.13316831683198</c:v>
                </c:pt>
                <c:pt idx="39">
                  <c:v>265.91287128712901</c:v>
                </c:pt>
                <c:pt idx="40">
                  <c:v>266.29944751381203</c:v>
                </c:pt>
                <c:pt idx="41">
                  <c:v>264.962983425414</c:v>
                </c:pt>
                <c:pt idx="42">
                  <c:v>264.24285714285702</c:v>
                </c:pt>
                <c:pt idx="43">
                  <c:v>256.976699029126</c:v>
                </c:pt>
                <c:pt idx="44">
                  <c:v>255.81582278481</c:v>
                </c:pt>
                <c:pt idx="45">
                  <c:v>259.52658227848099</c:v>
                </c:pt>
                <c:pt idx="46">
                  <c:v>259.10340136054401</c:v>
                </c:pt>
                <c:pt idx="47">
                  <c:v>253.93587786259499</c:v>
                </c:pt>
                <c:pt idx="48">
                  <c:v>268.52148148148098</c:v>
                </c:pt>
                <c:pt idx="49">
                  <c:v>278.98492063492102</c:v>
                </c:pt>
                <c:pt idx="50">
                  <c:v>284.95433070866102</c:v>
                </c:pt>
                <c:pt idx="51">
                  <c:v>274.36717557251899</c:v>
                </c:pt>
                <c:pt idx="52">
                  <c:v>257.90495867768601</c:v>
                </c:pt>
                <c:pt idx="53">
                  <c:v>258.152100840336</c:v>
                </c:pt>
                <c:pt idx="54">
                  <c:v>248.566956521739</c:v>
                </c:pt>
                <c:pt idx="55">
                  <c:v>242.95303030303</c:v>
                </c:pt>
                <c:pt idx="56">
                  <c:v>245.67575757575801</c:v>
                </c:pt>
                <c:pt idx="57">
                  <c:v>246.682407407407</c:v>
                </c:pt>
                <c:pt idx="58">
                  <c:v>245.97956989247299</c:v>
                </c:pt>
                <c:pt idx="59">
                  <c:v>242.040909090909</c:v>
                </c:pt>
                <c:pt idx="60">
                  <c:v>237.25050505050501</c:v>
                </c:pt>
                <c:pt idx="61">
                  <c:v>235.39090909090899</c:v>
                </c:pt>
                <c:pt idx="62">
                  <c:v>216.18653846153799</c:v>
                </c:pt>
                <c:pt idx="63">
                  <c:v>225.67011494252901</c:v>
                </c:pt>
                <c:pt idx="64">
                  <c:v>225.044578313253</c:v>
                </c:pt>
                <c:pt idx="65">
                  <c:v>219.356976744186</c:v>
                </c:pt>
                <c:pt idx="66">
                  <c:v>224.777777777778</c:v>
                </c:pt>
                <c:pt idx="67">
                  <c:v>255.40697674418601</c:v>
                </c:pt>
                <c:pt idx="68">
                  <c:v>263.68421052631601</c:v>
                </c:pt>
                <c:pt idx="69">
                  <c:v>266.09692307692302</c:v>
                </c:pt>
                <c:pt idx="70">
                  <c:v>281.47213114754101</c:v>
                </c:pt>
                <c:pt idx="71">
                  <c:v>288.74696969696998</c:v>
                </c:pt>
                <c:pt idx="72">
                  <c:v>294.24</c:v>
                </c:pt>
                <c:pt idx="73">
                  <c:v>301.90555555555602</c:v>
                </c:pt>
                <c:pt idx="74">
                  <c:v>298.56307692307701</c:v>
                </c:pt>
                <c:pt idx="75">
                  <c:v>291.65762711864397</c:v>
                </c:pt>
                <c:pt idx="76">
                  <c:v>281.98615384615402</c:v>
                </c:pt>
                <c:pt idx="77">
                  <c:v>279.43548387096803</c:v>
                </c:pt>
                <c:pt idx="78">
                  <c:v>281.22456140350903</c:v>
                </c:pt>
                <c:pt idx="79">
                  <c:v>278.18461538461497</c:v>
                </c:pt>
                <c:pt idx="80">
                  <c:v>285.22909090909098</c:v>
                </c:pt>
                <c:pt idx="81">
                  <c:v>272.090924865521</c:v>
                </c:pt>
                <c:pt idx="82">
                  <c:v>270.982142857143</c:v>
                </c:pt>
                <c:pt idx="83">
                  <c:v>264.77454545454498</c:v>
                </c:pt>
                <c:pt idx="84">
                  <c:v>255.76451612903199</c:v>
                </c:pt>
                <c:pt idx="85">
                  <c:v>280.98727272727302</c:v>
                </c:pt>
                <c:pt idx="86">
                  <c:v>283.19642857142901</c:v>
                </c:pt>
                <c:pt idx="87">
                  <c:v>289.07222222222202</c:v>
                </c:pt>
                <c:pt idx="88">
                  <c:v>263.98035714285697</c:v>
                </c:pt>
                <c:pt idx="89">
                  <c:v>261.57413793103399</c:v>
                </c:pt>
                <c:pt idx="90">
                  <c:v>272.88</c:v>
                </c:pt>
                <c:pt idx="91">
                  <c:v>263.61428571428598</c:v>
                </c:pt>
                <c:pt idx="92">
                  <c:v>277.86862745098</c:v>
                </c:pt>
                <c:pt idx="93">
                  <c:v>300.82400000000001</c:v>
                </c:pt>
                <c:pt idx="94">
                  <c:v>292.97083333333302</c:v>
                </c:pt>
                <c:pt idx="95">
                  <c:v>288.16938775510198</c:v>
                </c:pt>
                <c:pt idx="96">
                  <c:v>297.46800000000002</c:v>
                </c:pt>
                <c:pt idx="97">
                  <c:v>291.16071428571399</c:v>
                </c:pt>
                <c:pt idx="98">
                  <c:v>275.93396226415098</c:v>
                </c:pt>
                <c:pt idx="99">
                  <c:v>268.73207547169801</c:v>
                </c:pt>
                <c:pt idx="100">
                  <c:v>254.636363636364</c:v>
                </c:pt>
                <c:pt idx="101">
                  <c:v>265.98545454545501</c:v>
                </c:pt>
                <c:pt idx="102">
                  <c:v>258.27586206896598</c:v>
                </c:pt>
                <c:pt idx="103">
                  <c:v>279.00833333333298</c:v>
                </c:pt>
                <c:pt idx="104">
                  <c:v>270.80454545454501</c:v>
                </c:pt>
                <c:pt idx="105">
                  <c:v>279.56326530612199</c:v>
                </c:pt>
                <c:pt idx="106">
                  <c:v>259.88</c:v>
                </c:pt>
              </c:numCache>
            </c:numRef>
          </c:val>
          <c:smooth val="0"/>
        </c:ser>
        <c:dLbls>
          <c:showLegendKey val="0"/>
          <c:showVal val="0"/>
          <c:showCatName val="0"/>
          <c:showSerName val="0"/>
          <c:showPercent val="0"/>
          <c:showBubbleSize val="0"/>
        </c:dLbls>
        <c:marker val="1"/>
        <c:smooth val="0"/>
        <c:axId val="84667008"/>
        <c:axId val="84726144"/>
      </c:lineChart>
      <c:dateAx>
        <c:axId val="84667008"/>
        <c:scaling>
          <c:orientation val="minMax"/>
        </c:scaling>
        <c:delete val="0"/>
        <c:axPos val="b"/>
        <c:numFmt formatCode="yyyy\-mm;@" sourceLinked="1"/>
        <c:majorTickMark val="out"/>
        <c:minorTickMark val="none"/>
        <c:tickLblPos val="nextTo"/>
        <c:crossAx val="84726144"/>
        <c:crosses val="autoZero"/>
        <c:auto val="1"/>
        <c:lblOffset val="100"/>
        <c:baseTimeUnit val="months"/>
      </c:dateAx>
      <c:valAx>
        <c:axId val="84726144"/>
        <c:scaling>
          <c:orientation val="minMax"/>
        </c:scaling>
        <c:delete val="0"/>
        <c:axPos val="l"/>
        <c:numFmt formatCode="###,###,###,###,##0.00" sourceLinked="1"/>
        <c:majorTickMark val="out"/>
        <c:minorTickMark val="none"/>
        <c:tickLblPos val="nextTo"/>
        <c:crossAx val="84667008"/>
        <c:crosses val="autoZero"/>
        <c:crossBetween val="between"/>
      </c:valAx>
    </c:plotArea>
    <c:legend>
      <c:legendPos val="b"/>
      <c:layout>
        <c:manualLayout>
          <c:xMode val="edge"/>
          <c:yMode val="edge"/>
          <c:x val="3.0999562554680712E-3"/>
          <c:y val="0.90702354913969052"/>
          <c:w val="0.99690004374453189"/>
          <c:h val="8.3717191601049915E-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36351706036742"/>
          <c:y val="5.1400554097404488E-2"/>
          <c:w val="0.85608092738407748"/>
          <c:h val="0.5706300258284448"/>
        </c:manualLayout>
      </c:layout>
      <c:lineChart>
        <c:grouping val="standard"/>
        <c:varyColors val="0"/>
        <c:ser>
          <c:idx val="0"/>
          <c:order val="0"/>
          <c:tx>
            <c:strRef>
              <c:f>石化原料!$F$10</c:f>
              <c:strCache>
                <c:ptCount val="1"/>
                <c:pt idx="0">
                  <c:v>出厂价:甲醛:银河化工</c:v>
                </c:pt>
              </c:strCache>
            </c:strRef>
          </c:tx>
          <c:spPr>
            <a:ln>
              <a:solidFill>
                <a:srgbClr val="AA0911"/>
              </a:solidFill>
            </a:ln>
          </c:spPr>
          <c:marker>
            <c:symbol val="none"/>
          </c:marker>
          <c:cat>
            <c:numRef>
              <c:f>石化原料!$E$14:$E$192</c:f>
              <c:numCache>
                <c:formatCode>yyyy\-mm\-dd;@</c:formatCode>
                <c:ptCount val="179"/>
                <c:pt idx="0">
                  <c:v>41942</c:v>
                </c:pt>
                <c:pt idx="1">
                  <c:v>41941</c:v>
                </c:pt>
                <c:pt idx="2">
                  <c:v>41940</c:v>
                </c:pt>
                <c:pt idx="3">
                  <c:v>41939</c:v>
                </c:pt>
                <c:pt idx="4">
                  <c:v>41936</c:v>
                </c:pt>
                <c:pt idx="5">
                  <c:v>41935</c:v>
                </c:pt>
                <c:pt idx="6">
                  <c:v>41934</c:v>
                </c:pt>
                <c:pt idx="7">
                  <c:v>41933</c:v>
                </c:pt>
                <c:pt idx="8">
                  <c:v>41932</c:v>
                </c:pt>
                <c:pt idx="9">
                  <c:v>41929</c:v>
                </c:pt>
                <c:pt idx="10">
                  <c:v>41928</c:v>
                </c:pt>
                <c:pt idx="11">
                  <c:v>41927</c:v>
                </c:pt>
                <c:pt idx="12">
                  <c:v>41926</c:v>
                </c:pt>
                <c:pt idx="13">
                  <c:v>41925</c:v>
                </c:pt>
                <c:pt idx="14">
                  <c:v>41923</c:v>
                </c:pt>
                <c:pt idx="15">
                  <c:v>41922</c:v>
                </c:pt>
                <c:pt idx="16">
                  <c:v>41921</c:v>
                </c:pt>
                <c:pt idx="17">
                  <c:v>41920</c:v>
                </c:pt>
                <c:pt idx="18">
                  <c:v>41912</c:v>
                </c:pt>
                <c:pt idx="19">
                  <c:v>41911</c:v>
                </c:pt>
                <c:pt idx="20">
                  <c:v>41910</c:v>
                </c:pt>
                <c:pt idx="21">
                  <c:v>41908</c:v>
                </c:pt>
                <c:pt idx="22">
                  <c:v>41907</c:v>
                </c:pt>
                <c:pt idx="23">
                  <c:v>41906</c:v>
                </c:pt>
                <c:pt idx="24">
                  <c:v>41905</c:v>
                </c:pt>
                <c:pt idx="25">
                  <c:v>41904</c:v>
                </c:pt>
                <c:pt idx="26">
                  <c:v>41901</c:v>
                </c:pt>
                <c:pt idx="27">
                  <c:v>41900</c:v>
                </c:pt>
                <c:pt idx="28">
                  <c:v>41899</c:v>
                </c:pt>
                <c:pt idx="29">
                  <c:v>41898</c:v>
                </c:pt>
                <c:pt idx="30">
                  <c:v>41897</c:v>
                </c:pt>
                <c:pt idx="31">
                  <c:v>41894</c:v>
                </c:pt>
                <c:pt idx="32">
                  <c:v>41893</c:v>
                </c:pt>
                <c:pt idx="33">
                  <c:v>41892</c:v>
                </c:pt>
                <c:pt idx="34">
                  <c:v>41891</c:v>
                </c:pt>
                <c:pt idx="35">
                  <c:v>41887</c:v>
                </c:pt>
                <c:pt idx="36">
                  <c:v>41886</c:v>
                </c:pt>
                <c:pt idx="37">
                  <c:v>41885</c:v>
                </c:pt>
                <c:pt idx="38">
                  <c:v>41884</c:v>
                </c:pt>
                <c:pt idx="39">
                  <c:v>41883</c:v>
                </c:pt>
                <c:pt idx="40">
                  <c:v>41880</c:v>
                </c:pt>
                <c:pt idx="41">
                  <c:v>41879</c:v>
                </c:pt>
                <c:pt idx="42">
                  <c:v>41878</c:v>
                </c:pt>
                <c:pt idx="43">
                  <c:v>41877</c:v>
                </c:pt>
                <c:pt idx="44">
                  <c:v>41876</c:v>
                </c:pt>
                <c:pt idx="45">
                  <c:v>41873</c:v>
                </c:pt>
                <c:pt idx="46">
                  <c:v>41872</c:v>
                </c:pt>
                <c:pt idx="47">
                  <c:v>41871</c:v>
                </c:pt>
                <c:pt idx="48">
                  <c:v>41870</c:v>
                </c:pt>
                <c:pt idx="49">
                  <c:v>41869</c:v>
                </c:pt>
                <c:pt idx="50">
                  <c:v>41866</c:v>
                </c:pt>
                <c:pt idx="51">
                  <c:v>41865</c:v>
                </c:pt>
                <c:pt idx="52">
                  <c:v>41864</c:v>
                </c:pt>
                <c:pt idx="53">
                  <c:v>41863</c:v>
                </c:pt>
                <c:pt idx="54">
                  <c:v>41862</c:v>
                </c:pt>
                <c:pt idx="55">
                  <c:v>41859</c:v>
                </c:pt>
                <c:pt idx="56">
                  <c:v>41858</c:v>
                </c:pt>
                <c:pt idx="57">
                  <c:v>41857</c:v>
                </c:pt>
                <c:pt idx="58">
                  <c:v>41856</c:v>
                </c:pt>
                <c:pt idx="59">
                  <c:v>41855</c:v>
                </c:pt>
                <c:pt idx="60">
                  <c:v>41852</c:v>
                </c:pt>
                <c:pt idx="61">
                  <c:v>41851</c:v>
                </c:pt>
                <c:pt idx="62">
                  <c:v>41850</c:v>
                </c:pt>
                <c:pt idx="63">
                  <c:v>41849</c:v>
                </c:pt>
                <c:pt idx="64">
                  <c:v>41848</c:v>
                </c:pt>
                <c:pt idx="65">
                  <c:v>41845</c:v>
                </c:pt>
                <c:pt idx="66">
                  <c:v>41844</c:v>
                </c:pt>
                <c:pt idx="67">
                  <c:v>41843</c:v>
                </c:pt>
                <c:pt idx="68">
                  <c:v>41842</c:v>
                </c:pt>
                <c:pt idx="69">
                  <c:v>41841</c:v>
                </c:pt>
                <c:pt idx="70">
                  <c:v>41838</c:v>
                </c:pt>
                <c:pt idx="71">
                  <c:v>41837</c:v>
                </c:pt>
                <c:pt idx="72">
                  <c:v>41836</c:v>
                </c:pt>
                <c:pt idx="73">
                  <c:v>41835</c:v>
                </c:pt>
                <c:pt idx="74">
                  <c:v>41834</c:v>
                </c:pt>
                <c:pt idx="75">
                  <c:v>41831</c:v>
                </c:pt>
                <c:pt idx="76">
                  <c:v>41830</c:v>
                </c:pt>
                <c:pt idx="77">
                  <c:v>41829</c:v>
                </c:pt>
                <c:pt idx="78">
                  <c:v>41828</c:v>
                </c:pt>
                <c:pt idx="79">
                  <c:v>41827</c:v>
                </c:pt>
                <c:pt idx="80">
                  <c:v>41824</c:v>
                </c:pt>
                <c:pt idx="81">
                  <c:v>41823</c:v>
                </c:pt>
                <c:pt idx="82">
                  <c:v>41822</c:v>
                </c:pt>
                <c:pt idx="83">
                  <c:v>41821</c:v>
                </c:pt>
                <c:pt idx="84">
                  <c:v>41820</c:v>
                </c:pt>
                <c:pt idx="85">
                  <c:v>41817</c:v>
                </c:pt>
                <c:pt idx="86">
                  <c:v>41816</c:v>
                </c:pt>
                <c:pt idx="87">
                  <c:v>41815</c:v>
                </c:pt>
                <c:pt idx="88">
                  <c:v>41814</c:v>
                </c:pt>
                <c:pt idx="89">
                  <c:v>41813</c:v>
                </c:pt>
                <c:pt idx="90">
                  <c:v>41810</c:v>
                </c:pt>
                <c:pt idx="91">
                  <c:v>41809</c:v>
                </c:pt>
                <c:pt idx="92">
                  <c:v>41808</c:v>
                </c:pt>
                <c:pt idx="93">
                  <c:v>41807</c:v>
                </c:pt>
                <c:pt idx="94">
                  <c:v>41806</c:v>
                </c:pt>
                <c:pt idx="95">
                  <c:v>41803</c:v>
                </c:pt>
                <c:pt idx="96">
                  <c:v>41802</c:v>
                </c:pt>
                <c:pt idx="97">
                  <c:v>41801</c:v>
                </c:pt>
                <c:pt idx="98">
                  <c:v>41800</c:v>
                </c:pt>
                <c:pt idx="99">
                  <c:v>41799</c:v>
                </c:pt>
                <c:pt idx="100">
                  <c:v>41796</c:v>
                </c:pt>
                <c:pt idx="101">
                  <c:v>41795</c:v>
                </c:pt>
                <c:pt idx="102">
                  <c:v>41794</c:v>
                </c:pt>
                <c:pt idx="103">
                  <c:v>41793</c:v>
                </c:pt>
                <c:pt idx="104">
                  <c:v>41789</c:v>
                </c:pt>
                <c:pt idx="105">
                  <c:v>41788</c:v>
                </c:pt>
                <c:pt idx="106">
                  <c:v>41787</c:v>
                </c:pt>
                <c:pt idx="107">
                  <c:v>41786</c:v>
                </c:pt>
                <c:pt idx="108">
                  <c:v>41785</c:v>
                </c:pt>
                <c:pt idx="109">
                  <c:v>41782</c:v>
                </c:pt>
                <c:pt idx="110">
                  <c:v>41781</c:v>
                </c:pt>
                <c:pt idx="111">
                  <c:v>41780</c:v>
                </c:pt>
                <c:pt idx="112">
                  <c:v>41779</c:v>
                </c:pt>
                <c:pt idx="113">
                  <c:v>41778</c:v>
                </c:pt>
                <c:pt idx="114">
                  <c:v>41775</c:v>
                </c:pt>
                <c:pt idx="115">
                  <c:v>41774</c:v>
                </c:pt>
                <c:pt idx="116">
                  <c:v>41773</c:v>
                </c:pt>
                <c:pt idx="117">
                  <c:v>41772</c:v>
                </c:pt>
                <c:pt idx="118">
                  <c:v>41771</c:v>
                </c:pt>
                <c:pt idx="119">
                  <c:v>41768</c:v>
                </c:pt>
                <c:pt idx="120">
                  <c:v>41767</c:v>
                </c:pt>
                <c:pt idx="121">
                  <c:v>41766</c:v>
                </c:pt>
                <c:pt idx="122">
                  <c:v>41765</c:v>
                </c:pt>
                <c:pt idx="123">
                  <c:v>41764</c:v>
                </c:pt>
                <c:pt idx="124">
                  <c:v>41763</c:v>
                </c:pt>
                <c:pt idx="125">
                  <c:v>41759</c:v>
                </c:pt>
                <c:pt idx="126">
                  <c:v>41758</c:v>
                </c:pt>
                <c:pt idx="127">
                  <c:v>41757</c:v>
                </c:pt>
                <c:pt idx="128">
                  <c:v>41754</c:v>
                </c:pt>
                <c:pt idx="129">
                  <c:v>41753</c:v>
                </c:pt>
                <c:pt idx="130">
                  <c:v>41752</c:v>
                </c:pt>
                <c:pt idx="131">
                  <c:v>41751</c:v>
                </c:pt>
                <c:pt idx="132">
                  <c:v>41750</c:v>
                </c:pt>
                <c:pt idx="133">
                  <c:v>41747</c:v>
                </c:pt>
                <c:pt idx="134">
                  <c:v>41746</c:v>
                </c:pt>
                <c:pt idx="135">
                  <c:v>41745</c:v>
                </c:pt>
                <c:pt idx="136">
                  <c:v>41744</c:v>
                </c:pt>
                <c:pt idx="137">
                  <c:v>41743</c:v>
                </c:pt>
                <c:pt idx="138">
                  <c:v>41740</c:v>
                </c:pt>
                <c:pt idx="139">
                  <c:v>41739</c:v>
                </c:pt>
                <c:pt idx="140">
                  <c:v>41738</c:v>
                </c:pt>
                <c:pt idx="141">
                  <c:v>41737</c:v>
                </c:pt>
                <c:pt idx="142">
                  <c:v>41733</c:v>
                </c:pt>
                <c:pt idx="143">
                  <c:v>41732</c:v>
                </c:pt>
                <c:pt idx="144">
                  <c:v>41731</c:v>
                </c:pt>
                <c:pt idx="145">
                  <c:v>41730</c:v>
                </c:pt>
                <c:pt idx="146">
                  <c:v>41729</c:v>
                </c:pt>
                <c:pt idx="147">
                  <c:v>41726</c:v>
                </c:pt>
                <c:pt idx="148">
                  <c:v>41725</c:v>
                </c:pt>
                <c:pt idx="149">
                  <c:v>41724</c:v>
                </c:pt>
                <c:pt idx="150">
                  <c:v>41723</c:v>
                </c:pt>
                <c:pt idx="151">
                  <c:v>41722</c:v>
                </c:pt>
                <c:pt idx="152">
                  <c:v>41719</c:v>
                </c:pt>
                <c:pt idx="153">
                  <c:v>41718</c:v>
                </c:pt>
                <c:pt idx="154">
                  <c:v>41717</c:v>
                </c:pt>
                <c:pt idx="155">
                  <c:v>41716</c:v>
                </c:pt>
                <c:pt idx="156">
                  <c:v>41715</c:v>
                </c:pt>
                <c:pt idx="157">
                  <c:v>41712</c:v>
                </c:pt>
                <c:pt idx="158">
                  <c:v>41711</c:v>
                </c:pt>
                <c:pt idx="159">
                  <c:v>41709</c:v>
                </c:pt>
                <c:pt idx="160">
                  <c:v>41708</c:v>
                </c:pt>
                <c:pt idx="161">
                  <c:v>41705</c:v>
                </c:pt>
                <c:pt idx="162">
                  <c:v>41704</c:v>
                </c:pt>
                <c:pt idx="163">
                  <c:v>41703</c:v>
                </c:pt>
                <c:pt idx="164">
                  <c:v>41701</c:v>
                </c:pt>
                <c:pt idx="165">
                  <c:v>41700</c:v>
                </c:pt>
                <c:pt idx="166">
                  <c:v>41698</c:v>
                </c:pt>
                <c:pt idx="167">
                  <c:v>41697</c:v>
                </c:pt>
                <c:pt idx="168">
                  <c:v>41696</c:v>
                </c:pt>
                <c:pt idx="169">
                  <c:v>41695</c:v>
                </c:pt>
                <c:pt idx="170">
                  <c:v>41691</c:v>
                </c:pt>
                <c:pt idx="171">
                  <c:v>41690</c:v>
                </c:pt>
                <c:pt idx="172">
                  <c:v>41689</c:v>
                </c:pt>
                <c:pt idx="173">
                  <c:v>41688</c:v>
                </c:pt>
                <c:pt idx="174">
                  <c:v>41687</c:v>
                </c:pt>
                <c:pt idx="175">
                  <c:v>41684</c:v>
                </c:pt>
                <c:pt idx="176">
                  <c:v>41683</c:v>
                </c:pt>
                <c:pt idx="177">
                  <c:v>41682</c:v>
                </c:pt>
                <c:pt idx="178">
                  <c:v>41681</c:v>
                </c:pt>
              </c:numCache>
            </c:numRef>
          </c:cat>
          <c:val>
            <c:numRef>
              <c:f>石化原料!$F$14:$F$192</c:f>
              <c:numCache>
                <c:formatCode>###,###,###,###,##0.00</c:formatCode>
                <c:ptCount val="179"/>
                <c:pt idx="0">
                  <c:v>1230</c:v>
                </c:pt>
                <c:pt idx="1">
                  <c:v>1230</c:v>
                </c:pt>
                <c:pt idx="2">
                  <c:v>1230</c:v>
                </c:pt>
                <c:pt idx="3">
                  <c:v>1230</c:v>
                </c:pt>
                <c:pt idx="4">
                  <c:v>1230</c:v>
                </c:pt>
                <c:pt idx="5">
                  <c:v>1230</c:v>
                </c:pt>
                <c:pt idx="6">
                  <c:v>1230</c:v>
                </c:pt>
                <c:pt idx="7">
                  <c:v>1230</c:v>
                </c:pt>
                <c:pt idx="8">
                  <c:v>1230</c:v>
                </c:pt>
                <c:pt idx="9">
                  <c:v>1250</c:v>
                </c:pt>
                <c:pt idx="10">
                  <c:v>1250</c:v>
                </c:pt>
                <c:pt idx="11">
                  <c:v>1250</c:v>
                </c:pt>
                <c:pt idx="12">
                  <c:v>1250</c:v>
                </c:pt>
                <c:pt idx="13">
                  <c:v>1250</c:v>
                </c:pt>
                <c:pt idx="14">
                  <c:v>1250</c:v>
                </c:pt>
                <c:pt idx="15">
                  <c:v>1250</c:v>
                </c:pt>
                <c:pt idx="16">
                  <c:v>1250</c:v>
                </c:pt>
                <c:pt idx="17">
                  <c:v>1250</c:v>
                </c:pt>
                <c:pt idx="18">
                  <c:v>1250</c:v>
                </c:pt>
                <c:pt idx="19">
                  <c:v>1250</c:v>
                </c:pt>
                <c:pt idx="20">
                  <c:v>1250</c:v>
                </c:pt>
                <c:pt idx="21">
                  <c:v>1250</c:v>
                </c:pt>
                <c:pt idx="22">
                  <c:v>1250</c:v>
                </c:pt>
                <c:pt idx="23">
                  <c:v>1250</c:v>
                </c:pt>
                <c:pt idx="24">
                  <c:v>1250</c:v>
                </c:pt>
                <c:pt idx="25">
                  <c:v>1250</c:v>
                </c:pt>
                <c:pt idx="26">
                  <c:v>1250</c:v>
                </c:pt>
                <c:pt idx="27">
                  <c:v>1250</c:v>
                </c:pt>
                <c:pt idx="28">
                  <c:v>1250</c:v>
                </c:pt>
                <c:pt idx="29">
                  <c:v>1250</c:v>
                </c:pt>
                <c:pt idx="30">
                  <c:v>1250</c:v>
                </c:pt>
                <c:pt idx="31">
                  <c:v>1250</c:v>
                </c:pt>
                <c:pt idx="32">
                  <c:v>1250</c:v>
                </c:pt>
                <c:pt idx="33">
                  <c:v>1250</c:v>
                </c:pt>
                <c:pt idx="34">
                  <c:v>1250</c:v>
                </c:pt>
                <c:pt idx="35">
                  <c:v>1250</c:v>
                </c:pt>
                <c:pt idx="36">
                  <c:v>1250</c:v>
                </c:pt>
                <c:pt idx="37">
                  <c:v>1250</c:v>
                </c:pt>
                <c:pt idx="38">
                  <c:v>1250</c:v>
                </c:pt>
                <c:pt idx="39">
                  <c:v>1250</c:v>
                </c:pt>
                <c:pt idx="40">
                  <c:v>1250</c:v>
                </c:pt>
                <c:pt idx="41">
                  <c:v>1250</c:v>
                </c:pt>
                <c:pt idx="42">
                  <c:v>1250</c:v>
                </c:pt>
                <c:pt idx="43">
                  <c:v>1250</c:v>
                </c:pt>
                <c:pt idx="44">
                  <c:v>1250</c:v>
                </c:pt>
                <c:pt idx="45">
                  <c:v>1250</c:v>
                </c:pt>
                <c:pt idx="46">
                  <c:v>1250</c:v>
                </c:pt>
                <c:pt idx="47">
                  <c:v>1250</c:v>
                </c:pt>
                <c:pt idx="48">
                  <c:v>1250</c:v>
                </c:pt>
                <c:pt idx="49">
                  <c:v>1250</c:v>
                </c:pt>
                <c:pt idx="50">
                  <c:v>1250</c:v>
                </c:pt>
                <c:pt idx="51">
                  <c:v>1250</c:v>
                </c:pt>
                <c:pt idx="52">
                  <c:v>1250</c:v>
                </c:pt>
                <c:pt idx="53">
                  <c:v>1250</c:v>
                </c:pt>
                <c:pt idx="54">
                  <c:v>1250</c:v>
                </c:pt>
                <c:pt idx="55">
                  <c:v>1250</c:v>
                </c:pt>
                <c:pt idx="56">
                  <c:v>1250</c:v>
                </c:pt>
                <c:pt idx="57">
                  <c:v>1250</c:v>
                </c:pt>
                <c:pt idx="58">
                  <c:v>1250</c:v>
                </c:pt>
                <c:pt idx="59">
                  <c:v>1250</c:v>
                </c:pt>
                <c:pt idx="60">
                  <c:v>1250</c:v>
                </c:pt>
                <c:pt idx="61">
                  <c:v>1250</c:v>
                </c:pt>
                <c:pt idx="62">
                  <c:v>1250</c:v>
                </c:pt>
                <c:pt idx="63">
                  <c:v>1250</c:v>
                </c:pt>
                <c:pt idx="64">
                  <c:v>1250</c:v>
                </c:pt>
                <c:pt idx="65">
                  <c:v>1250</c:v>
                </c:pt>
                <c:pt idx="66">
                  <c:v>1250</c:v>
                </c:pt>
                <c:pt idx="67">
                  <c:v>1250</c:v>
                </c:pt>
                <c:pt idx="68">
                  <c:v>1250</c:v>
                </c:pt>
                <c:pt idx="69">
                  <c:v>1250</c:v>
                </c:pt>
                <c:pt idx="70">
                  <c:v>1250</c:v>
                </c:pt>
                <c:pt idx="71">
                  <c:v>1250</c:v>
                </c:pt>
                <c:pt idx="72">
                  <c:v>1250</c:v>
                </c:pt>
                <c:pt idx="73">
                  <c:v>1250</c:v>
                </c:pt>
                <c:pt idx="74">
                  <c:v>1250</c:v>
                </c:pt>
                <c:pt idx="75">
                  <c:v>1250</c:v>
                </c:pt>
                <c:pt idx="76">
                  <c:v>1250</c:v>
                </c:pt>
                <c:pt idx="77">
                  <c:v>1250</c:v>
                </c:pt>
                <c:pt idx="78">
                  <c:v>1250</c:v>
                </c:pt>
                <c:pt idx="79">
                  <c:v>1250</c:v>
                </c:pt>
                <c:pt idx="80">
                  <c:v>1250</c:v>
                </c:pt>
                <c:pt idx="81">
                  <c:v>1250</c:v>
                </c:pt>
                <c:pt idx="82">
                  <c:v>1250</c:v>
                </c:pt>
                <c:pt idx="83">
                  <c:v>1250</c:v>
                </c:pt>
                <c:pt idx="84">
                  <c:v>1250</c:v>
                </c:pt>
                <c:pt idx="85">
                  <c:v>1250</c:v>
                </c:pt>
                <c:pt idx="86">
                  <c:v>1250</c:v>
                </c:pt>
                <c:pt idx="87">
                  <c:v>1250</c:v>
                </c:pt>
                <c:pt idx="88">
                  <c:v>1250</c:v>
                </c:pt>
                <c:pt idx="89">
                  <c:v>1250</c:v>
                </c:pt>
                <c:pt idx="90">
                  <c:v>1300</c:v>
                </c:pt>
                <c:pt idx="91">
                  <c:v>1300</c:v>
                </c:pt>
                <c:pt idx="92">
                  <c:v>1300</c:v>
                </c:pt>
                <c:pt idx="93">
                  <c:v>1300</c:v>
                </c:pt>
                <c:pt idx="94">
                  <c:v>1300</c:v>
                </c:pt>
                <c:pt idx="95">
                  <c:v>1300</c:v>
                </c:pt>
                <c:pt idx="96">
                  <c:v>1300</c:v>
                </c:pt>
                <c:pt idx="97">
                  <c:v>1300</c:v>
                </c:pt>
                <c:pt idx="98">
                  <c:v>1300</c:v>
                </c:pt>
                <c:pt idx="99">
                  <c:v>1300</c:v>
                </c:pt>
                <c:pt idx="100">
                  <c:v>1300</c:v>
                </c:pt>
                <c:pt idx="101">
                  <c:v>1300</c:v>
                </c:pt>
                <c:pt idx="102">
                  <c:v>1300</c:v>
                </c:pt>
                <c:pt idx="103">
                  <c:v>1300</c:v>
                </c:pt>
                <c:pt idx="104">
                  <c:v>1300</c:v>
                </c:pt>
                <c:pt idx="105">
                  <c:v>1300</c:v>
                </c:pt>
                <c:pt idx="106">
                  <c:v>1300</c:v>
                </c:pt>
                <c:pt idx="107">
                  <c:v>1300</c:v>
                </c:pt>
                <c:pt idx="108">
                  <c:v>1300</c:v>
                </c:pt>
                <c:pt idx="109">
                  <c:v>1300</c:v>
                </c:pt>
                <c:pt idx="110">
                  <c:v>1300</c:v>
                </c:pt>
                <c:pt idx="111">
                  <c:v>1300</c:v>
                </c:pt>
                <c:pt idx="112">
                  <c:v>1300</c:v>
                </c:pt>
                <c:pt idx="113">
                  <c:v>1300</c:v>
                </c:pt>
                <c:pt idx="114">
                  <c:v>1300</c:v>
                </c:pt>
                <c:pt idx="115">
                  <c:v>1300</c:v>
                </c:pt>
                <c:pt idx="116">
                  <c:v>1300</c:v>
                </c:pt>
                <c:pt idx="117">
                  <c:v>1300</c:v>
                </c:pt>
                <c:pt idx="118">
                  <c:v>1300</c:v>
                </c:pt>
                <c:pt idx="119">
                  <c:v>1300</c:v>
                </c:pt>
                <c:pt idx="120">
                  <c:v>1300</c:v>
                </c:pt>
                <c:pt idx="121">
                  <c:v>1300</c:v>
                </c:pt>
                <c:pt idx="122">
                  <c:v>1300</c:v>
                </c:pt>
                <c:pt idx="123">
                  <c:v>1300</c:v>
                </c:pt>
                <c:pt idx="124">
                  <c:v>1300</c:v>
                </c:pt>
                <c:pt idx="125">
                  <c:v>1300</c:v>
                </c:pt>
                <c:pt idx="126">
                  <c:v>1300</c:v>
                </c:pt>
                <c:pt idx="127">
                  <c:v>1300</c:v>
                </c:pt>
                <c:pt idx="128">
                  <c:v>1300</c:v>
                </c:pt>
                <c:pt idx="129">
                  <c:v>1300</c:v>
                </c:pt>
                <c:pt idx="130">
                  <c:v>1300</c:v>
                </c:pt>
                <c:pt idx="131">
                  <c:v>1300</c:v>
                </c:pt>
                <c:pt idx="132">
                  <c:v>1300</c:v>
                </c:pt>
                <c:pt idx="133">
                  <c:v>1300</c:v>
                </c:pt>
                <c:pt idx="134">
                  <c:v>1300</c:v>
                </c:pt>
                <c:pt idx="135">
                  <c:v>1300</c:v>
                </c:pt>
                <c:pt idx="136">
                  <c:v>1300</c:v>
                </c:pt>
                <c:pt idx="137">
                  <c:v>1300</c:v>
                </c:pt>
                <c:pt idx="138">
                  <c:v>1300</c:v>
                </c:pt>
                <c:pt idx="139">
                  <c:v>1300</c:v>
                </c:pt>
                <c:pt idx="140">
                  <c:v>1300</c:v>
                </c:pt>
                <c:pt idx="141">
                  <c:v>1300</c:v>
                </c:pt>
                <c:pt idx="142">
                  <c:v>1300</c:v>
                </c:pt>
                <c:pt idx="143">
                  <c:v>1300</c:v>
                </c:pt>
                <c:pt idx="144">
                  <c:v>1300</c:v>
                </c:pt>
                <c:pt idx="145">
                  <c:v>1300</c:v>
                </c:pt>
                <c:pt idx="146">
                  <c:v>1300</c:v>
                </c:pt>
                <c:pt idx="147">
                  <c:v>1300</c:v>
                </c:pt>
                <c:pt idx="148">
                  <c:v>1300</c:v>
                </c:pt>
                <c:pt idx="149">
                  <c:v>1300</c:v>
                </c:pt>
                <c:pt idx="150">
                  <c:v>1350</c:v>
                </c:pt>
                <c:pt idx="151">
                  <c:v>1350</c:v>
                </c:pt>
                <c:pt idx="152">
                  <c:v>1350</c:v>
                </c:pt>
                <c:pt idx="153">
                  <c:v>1350</c:v>
                </c:pt>
                <c:pt idx="154">
                  <c:v>1350</c:v>
                </c:pt>
                <c:pt idx="155">
                  <c:v>1350</c:v>
                </c:pt>
                <c:pt idx="156">
                  <c:v>1350</c:v>
                </c:pt>
                <c:pt idx="157">
                  <c:v>1350</c:v>
                </c:pt>
                <c:pt idx="158">
                  <c:v>1350</c:v>
                </c:pt>
                <c:pt idx="159">
                  <c:v>1350</c:v>
                </c:pt>
                <c:pt idx="160">
                  <c:v>1350</c:v>
                </c:pt>
                <c:pt idx="161">
                  <c:v>1350</c:v>
                </c:pt>
                <c:pt idx="162">
                  <c:v>1350</c:v>
                </c:pt>
                <c:pt idx="163">
                  <c:v>1350</c:v>
                </c:pt>
                <c:pt idx="164">
                  <c:v>1350</c:v>
                </c:pt>
                <c:pt idx="165">
                  <c:v>1350</c:v>
                </c:pt>
                <c:pt idx="166">
                  <c:v>1350</c:v>
                </c:pt>
                <c:pt idx="167">
                  <c:v>1350</c:v>
                </c:pt>
                <c:pt idx="168">
                  <c:v>1400</c:v>
                </c:pt>
                <c:pt idx="169">
                  <c:v>1400</c:v>
                </c:pt>
                <c:pt idx="170">
                  <c:v>1400</c:v>
                </c:pt>
                <c:pt idx="171">
                  <c:v>1400</c:v>
                </c:pt>
                <c:pt idx="172">
                  <c:v>1400</c:v>
                </c:pt>
                <c:pt idx="173">
                  <c:v>1400</c:v>
                </c:pt>
                <c:pt idx="174">
                  <c:v>1400</c:v>
                </c:pt>
                <c:pt idx="175">
                  <c:v>1400</c:v>
                </c:pt>
                <c:pt idx="176">
                  <c:v>1400</c:v>
                </c:pt>
                <c:pt idx="177">
                  <c:v>1400</c:v>
                </c:pt>
                <c:pt idx="178">
                  <c:v>1400</c:v>
                </c:pt>
              </c:numCache>
            </c:numRef>
          </c:val>
          <c:smooth val="0"/>
        </c:ser>
        <c:dLbls>
          <c:showLegendKey val="0"/>
          <c:showVal val="0"/>
          <c:showCatName val="0"/>
          <c:showSerName val="0"/>
          <c:showPercent val="0"/>
          <c:showBubbleSize val="0"/>
        </c:dLbls>
        <c:marker val="1"/>
        <c:smooth val="0"/>
        <c:axId val="86138880"/>
        <c:axId val="86140416"/>
      </c:lineChart>
      <c:dateAx>
        <c:axId val="86138880"/>
        <c:scaling>
          <c:orientation val="minMax"/>
        </c:scaling>
        <c:delete val="0"/>
        <c:axPos val="b"/>
        <c:numFmt formatCode="yyyy\-mm\-dd;@" sourceLinked="1"/>
        <c:majorTickMark val="out"/>
        <c:minorTickMark val="none"/>
        <c:tickLblPos val="nextTo"/>
        <c:txPr>
          <a:bodyPr rot="5400000" vert="horz"/>
          <a:lstStyle/>
          <a:p>
            <a:pPr>
              <a:defRPr/>
            </a:pPr>
            <a:endParaRPr lang="zh-CN"/>
          </a:p>
        </c:txPr>
        <c:crossAx val="86140416"/>
        <c:crosses val="autoZero"/>
        <c:auto val="1"/>
        <c:lblOffset val="100"/>
        <c:baseTimeUnit val="days"/>
      </c:dateAx>
      <c:valAx>
        <c:axId val="86140416"/>
        <c:scaling>
          <c:orientation val="minMax"/>
          <c:min val="800"/>
        </c:scaling>
        <c:delete val="0"/>
        <c:axPos val="l"/>
        <c:numFmt formatCode="#,##0_);[Red]\(#,##0\)" sourceLinked="0"/>
        <c:majorTickMark val="out"/>
        <c:minorTickMark val="none"/>
        <c:tickLblPos val="nextTo"/>
        <c:crossAx val="86138880"/>
        <c:crosses val="autoZero"/>
        <c:crossBetween val="between"/>
      </c:valAx>
    </c:plotArea>
    <c:legend>
      <c:legendPos val="b"/>
      <c:layout>
        <c:manualLayout>
          <c:xMode val="edge"/>
          <c:yMode val="edge"/>
          <c:x val="0.11805956864087637"/>
          <c:y val="0.9116531787693205"/>
          <c:w val="0.7076713454296476"/>
          <c:h val="8.8346665830117854E-2"/>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26640419947525"/>
          <c:y val="3.334710210404028E-2"/>
          <c:w val="0.84940026246719202"/>
          <c:h val="0.56441504238199769"/>
        </c:manualLayout>
      </c:layout>
      <c:lineChart>
        <c:grouping val="standard"/>
        <c:varyColors val="0"/>
        <c:ser>
          <c:idx val="0"/>
          <c:order val="0"/>
          <c:tx>
            <c:strRef>
              <c:f>石化原料!$H$10</c:f>
              <c:strCache>
                <c:ptCount val="1"/>
                <c:pt idx="0">
                  <c:v>出厂价:尿素:四川美丰</c:v>
                </c:pt>
              </c:strCache>
            </c:strRef>
          </c:tx>
          <c:spPr>
            <a:ln>
              <a:solidFill>
                <a:srgbClr val="AA0911"/>
              </a:solidFill>
            </a:ln>
          </c:spPr>
          <c:marker>
            <c:symbol val="none"/>
          </c:marker>
          <c:cat>
            <c:numRef>
              <c:f>石化原料!$G$13:$G$352</c:f>
              <c:numCache>
                <c:formatCode>yyyy\-mm\-dd;@</c:formatCode>
                <c:ptCount val="340"/>
                <c:pt idx="0">
                  <c:v>41942</c:v>
                </c:pt>
                <c:pt idx="1">
                  <c:v>41941</c:v>
                </c:pt>
                <c:pt idx="2">
                  <c:v>41940</c:v>
                </c:pt>
                <c:pt idx="3">
                  <c:v>41939</c:v>
                </c:pt>
                <c:pt idx="4">
                  <c:v>41938</c:v>
                </c:pt>
                <c:pt idx="5">
                  <c:v>41937</c:v>
                </c:pt>
                <c:pt idx="6">
                  <c:v>41936</c:v>
                </c:pt>
                <c:pt idx="7">
                  <c:v>41935</c:v>
                </c:pt>
                <c:pt idx="8">
                  <c:v>41934</c:v>
                </c:pt>
                <c:pt idx="9">
                  <c:v>41933</c:v>
                </c:pt>
                <c:pt idx="10">
                  <c:v>41932</c:v>
                </c:pt>
                <c:pt idx="11">
                  <c:v>41931</c:v>
                </c:pt>
                <c:pt idx="12">
                  <c:v>41930</c:v>
                </c:pt>
                <c:pt idx="13">
                  <c:v>41929</c:v>
                </c:pt>
                <c:pt idx="14">
                  <c:v>41928</c:v>
                </c:pt>
                <c:pt idx="15">
                  <c:v>41927</c:v>
                </c:pt>
                <c:pt idx="16">
                  <c:v>41926</c:v>
                </c:pt>
                <c:pt idx="17">
                  <c:v>41925</c:v>
                </c:pt>
                <c:pt idx="18">
                  <c:v>41924</c:v>
                </c:pt>
                <c:pt idx="19">
                  <c:v>41923</c:v>
                </c:pt>
                <c:pt idx="20">
                  <c:v>41922</c:v>
                </c:pt>
                <c:pt idx="21">
                  <c:v>41921</c:v>
                </c:pt>
                <c:pt idx="22">
                  <c:v>41920</c:v>
                </c:pt>
                <c:pt idx="23">
                  <c:v>41919</c:v>
                </c:pt>
                <c:pt idx="24">
                  <c:v>41918</c:v>
                </c:pt>
                <c:pt idx="25">
                  <c:v>41917</c:v>
                </c:pt>
                <c:pt idx="26">
                  <c:v>41916</c:v>
                </c:pt>
                <c:pt idx="27">
                  <c:v>41915</c:v>
                </c:pt>
                <c:pt idx="28">
                  <c:v>41914</c:v>
                </c:pt>
                <c:pt idx="29">
                  <c:v>41913</c:v>
                </c:pt>
                <c:pt idx="30">
                  <c:v>41912</c:v>
                </c:pt>
                <c:pt idx="31">
                  <c:v>41911</c:v>
                </c:pt>
                <c:pt idx="32">
                  <c:v>41910</c:v>
                </c:pt>
                <c:pt idx="33">
                  <c:v>41909</c:v>
                </c:pt>
                <c:pt idx="34">
                  <c:v>41908</c:v>
                </c:pt>
                <c:pt idx="35">
                  <c:v>41907</c:v>
                </c:pt>
                <c:pt idx="36">
                  <c:v>41906</c:v>
                </c:pt>
                <c:pt idx="37">
                  <c:v>41905</c:v>
                </c:pt>
                <c:pt idx="38">
                  <c:v>41904</c:v>
                </c:pt>
                <c:pt idx="39">
                  <c:v>41903</c:v>
                </c:pt>
                <c:pt idx="40">
                  <c:v>41902</c:v>
                </c:pt>
                <c:pt idx="41">
                  <c:v>41901</c:v>
                </c:pt>
                <c:pt idx="42">
                  <c:v>41900</c:v>
                </c:pt>
                <c:pt idx="43">
                  <c:v>41899</c:v>
                </c:pt>
                <c:pt idx="44">
                  <c:v>41898</c:v>
                </c:pt>
                <c:pt idx="45">
                  <c:v>41897</c:v>
                </c:pt>
                <c:pt idx="46">
                  <c:v>41896</c:v>
                </c:pt>
                <c:pt idx="47">
                  <c:v>41895</c:v>
                </c:pt>
                <c:pt idx="48">
                  <c:v>41894</c:v>
                </c:pt>
                <c:pt idx="49">
                  <c:v>41893</c:v>
                </c:pt>
                <c:pt idx="50">
                  <c:v>41892</c:v>
                </c:pt>
                <c:pt idx="51">
                  <c:v>41891</c:v>
                </c:pt>
                <c:pt idx="52">
                  <c:v>41890</c:v>
                </c:pt>
                <c:pt idx="53">
                  <c:v>41889</c:v>
                </c:pt>
                <c:pt idx="54">
                  <c:v>41888</c:v>
                </c:pt>
                <c:pt idx="55">
                  <c:v>41887</c:v>
                </c:pt>
                <c:pt idx="56">
                  <c:v>41886</c:v>
                </c:pt>
                <c:pt idx="57">
                  <c:v>41885</c:v>
                </c:pt>
                <c:pt idx="58">
                  <c:v>41884</c:v>
                </c:pt>
                <c:pt idx="59">
                  <c:v>41883</c:v>
                </c:pt>
                <c:pt idx="60">
                  <c:v>41882</c:v>
                </c:pt>
                <c:pt idx="61">
                  <c:v>41881</c:v>
                </c:pt>
                <c:pt idx="62">
                  <c:v>41880</c:v>
                </c:pt>
                <c:pt idx="63">
                  <c:v>41879</c:v>
                </c:pt>
                <c:pt idx="64">
                  <c:v>41878</c:v>
                </c:pt>
                <c:pt idx="65">
                  <c:v>41877</c:v>
                </c:pt>
                <c:pt idx="66">
                  <c:v>41876</c:v>
                </c:pt>
                <c:pt idx="67">
                  <c:v>41875</c:v>
                </c:pt>
                <c:pt idx="68">
                  <c:v>41874</c:v>
                </c:pt>
                <c:pt idx="69">
                  <c:v>41873</c:v>
                </c:pt>
                <c:pt idx="70">
                  <c:v>41872</c:v>
                </c:pt>
                <c:pt idx="71">
                  <c:v>41871</c:v>
                </c:pt>
                <c:pt idx="72">
                  <c:v>41870</c:v>
                </c:pt>
                <c:pt idx="73">
                  <c:v>41869</c:v>
                </c:pt>
                <c:pt idx="74">
                  <c:v>41868</c:v>
                </c:pt>
                <c:pt idx="75">
                  <c:v>41867</c:v>
                </c:pt>
                <c:pt idx="76">
                  <c:v>41866</c:v>
                </c:pt>
                <c:pt idx="77">
                  <c:v>41865</c:v>
                </c:pt>
                <c:pt idx="78">
                  <c:v>41864</c:v>
                </c:pt>
                <c:pt idx="79">
                  <c:v>41863</c:v>
                </c:pt>
                <c:pt idx="80">
                  <c:v>41862</c:v>
                </c:pt>
                <c:pt idx="81">
                  <c:v>41861</c:v>
                </c:pt>
                <c:pt idx="82">
                  <c:v>41860</c:v>
                </c:pt>
                <c:pt idx="83">
                  <c:v>41859</c:v>
                </c:pt>
                <c:pt idx="84">
                  <c:v>41858</c:v>
                </c:pt>
                <c:pt idx="85">
                  <c:v>41857</c:v>
                </c:pt>
                <c:pt idx="86">
                  <c:v>41856</c:v>
                </c:pt>
                <c:pt idx="87">
                  <c:v>41855</c:v>
                </c:pt>
                <c:pt idx="88">
                  <c:v>41854</c:v>
                </c:pt>
                <c:pt idx="89">
                  <c:v>41853</c:v>
                </c:pt>
                <c:pt idx="90">
                  <c:v>41852</c:v>
                </c:pt>
                <c:pt idx="91">
                  <c:v>41851</c:v>
                </c:pt>
                <c:pt idx="92">
                  <c:v>41850</c:v>
                </c:pt>
                <c:pt idx="93">
                  <c:v>41849</c:v>
                </c:pt>
                <c:pt idx="94">
                  <c:v>41848</c:v>
                </c:pt>
                <c:pt idx="95">
                  <c:v>41847</c:v>
                </c:pt>
                <c:pt idx="96">
                  <c:v>41846</c:v>
                </c:pt>
                <c:pt idx="97">
                  <c:v>41845</c:v>
                </c:pt>
                <c:pt idx="98">
                  <c:v>41844</c:v>
                </c:pt>
                <c:pt idx="99">
                  <c:v>41843</c:v>
                </c:pt>
                <c:pt idx="100">
                  <c:v>41842</c:v>
                </c:pt>
                <c:pt idx="101">
                  <c:v>41841</c:v>
                </c:pt>
                <c:pt idx="102">
                  <c:v>41840</c:v>
                </c:pt>
                <c:pt idx="103">
                  <c:v>41839</c:v>
                </c:pt>
                <c:pt idx="104">
                  <c:v>41838</c:v>
                </c:pt>
                <c:pt idx="105">
                  <c:v>41837</c:v>
                </c:pt>
                <c:pt idx="106">
                  <c:v>41836</c:v>
                </c:pt>
                <c:pt idx="107">
                  <c:v>41835</c:v>
                </c:pt>
                <c:pt idx="108">
                  <c:v>41834</c:v>
                </c:pt>
                <c:pt idx="109">
                  <c:v>41833</c:v>
                </c:pt>
                <c:pt idx="110">
                  <c:v>41832</c:v>
                </c:pt>
                <c:pt idx="111">
                  <c:v>41831</c:v>
                </c:pt>
                <c:pt idx="112">
                  <c:v>41830</c:v>
                </c:pt>
                <c:pt idx="113">
                  <c:v>41829</c:v>
                </c:pt>
                <c:pt idx="114">
                  <c:v>41828</c:v>
                </c:pt>
                <c:pt idx="115">
                  <c:v>41827</c:v>
                </c:pt>
                <c:pt idx="116">
                  <c:v>41826</c:v>
                </c:pt>
                <c:pt idx="117">
                  <c:v>41825</c:v>
                </c:pt>
                <c:pt idx="118">
                  <c:v>41824</c:v>
                </c:pt>
                <c:pt idx="119">
                  <c:v>41823</c:v>
                </c:pt>
                <c:pt idx="120">
                  <c:v>41822</c:v>
                </c:pt>
                <c:pt idx="121">
                  <c:v>41821</c:v>
                </c:pt>
                <c:pt idx="122">
                  <c:v>41820</c:v>
                </c:pt>
                <c:pt idx="123">
                  <c:v>41819</c:v>
                </c:pt>
                <c:pt idx="124">
                  <c:v>41818</c:v>
                </c:pt>
                <c:pt idx="125">
                  <c:v>41817</c:v>
                </c:pt>
                <c:pt idx="126">
                  <c:v>41816</c:v>
                </c:pt>
                <c:pt idx="127">
                  <c:v>41815</c:v>
                </c:pt>
                <c:pt idx="128">
                  <c:v>41814</c:v>
                </c:pt>
                <c:pt idx="129">
                  <c:v>41813</c:v>
                </c:pt>
                <c:pt idx="130">
                  <c:v>41812</c:v>
                </c:pt>
                <c:pt idx="131">
                  <c:v>41811</c:v>
                </c:pt>
                <c:pt idx="132">
                  <c:v>41810</c:v>
                </c:pt>
                <c:pt idx="133">
                  <c:v>41809</c:v>
                </c:pt>
                <c:pt idx="134">
                  <c:v>41808</c:v>
                </c:pt>
                <c:pt idx="135">
                  <c:v>41807</c:v>
                </c:pt>
                <c:pt idx="136">
                  <c:v>41806</c:v>
                </c:pt>
                <c:pt idx="137">
                  <c:v>41805</c:v>
                </c:pt>
                <c:pt idx="138">
                  <c:v>41804</c:v>
                </c:pt>
                <c:pt idx="139">
                  <c:v>41803</c:v>
                </c:pt>
                <c:pt idx="140">
                  <c:v>41802</c:v>
                </c:pt>
                <c:pt idx="141">
                  <c:v>41801</c:v>
                </c:pt>
                <c:pt idx="142">
                  <c:v>41800</c:v>
                </c:pt>
                <c:pt idx="143">
                  <c:v>41799</c:v>
                </c:pt>
                <c:pt idx="144">
                  <c:v>41798</c:v>
                </c:pt>
                <c:pt idx="145">
                  <c:v>41797</c:v>
                </c:pt>
                <c:pt idx="146">
                  <c:v>41796</c:v>
                </c:pt>
                <c:pt idx="147">
                  <c:v>41795</c:v>
                </c:pt>
                <c:pt idx="148">
                  <c:v>41794</c:v>
                </c:pt>
                <c:pt idx="149">
                  <c:v>41793</c:v>
                </c:pt>
                <c:pt idx="150">
                  <c:v>41792</c:v>
                </c:pt>
                <c:pt idx="151">
                  <c:v>41791</c:v>
                </c:pt>
                <c:pt idx="152">
                  <c:v>41790</c:v>
                </c:pt>
                <c:pt idx="153">
                  <c:v>41789</c:v>
                </c:pt>
                <c:pt idx="154">
                  <c:v>41788</c:v>
                </c:pt>
                <c:pt idx="155">
                  <c:v>41787</c:v>
                </c:pt>
                <c:pt idx="156">
                  <c:v>41786</c:v>
                </c:pt>
                <c:pt idx="157">
                  <c:v>41785</c:v>
                </c:pt>
                <c:pt idx="158">
                  <c:v>41784</c:v>
                </c:pt>
                <c:pt idx="159">
                  <c:v>41783</c:v>
                </c:pt>
                <c:pt idx="160">
                  <c:v>41782</c:v>
                </c:pt>
                <c:pt idx="161">
                  <c:v>41781</c:v>
                </c:pt>
                <c:pt idx="162">
                  <c:v>41780</c:v>
                </c:pt>
                <c:pt idx="163">
                  <c:v>41779</c:v>
                </c:pt>
                <c:pt idx="164">
                  <c:v>41778</c:v>
                </c:pt>
                <c:pt idx="165">
                  <c:v>41777</c:v>
                </c:pt>
                <c:pt idx="166">
                  <c:v>41776</c:v>
                </c:pt>
                <c:pt idx="167">
                  <c:v>41775</c:v>
                </c:pt>
                <c:pt idx="168">
                  <c:v>41774</c:v>
                </c:pt>
                <c:pt idx="169">
                  <c:v>41773</c:v>
                </c:pt>
                <c:pt idx="170">
                  <c:v>41772</c:v>
                </c:pt>
                <c:pt idx="171">
                  <c:v>41771</c:v>
                </c:pt>
                <c:pt idx="172">
                  <c:v>41770</c:v>
                </c:pt>
                <c:pt idx="173">
                  <c:v>41769</c:v>
                </c:pt>
                <c:pt idx="174">
                  <c:v>41768</c:v>
                </c:pt>
                <c:pt idx="175">
                  <c:v>41767</c:v>
                </c:pt>
                <c:pt idx="176">
                  <c:v>41766</c:v>
                </c:pt>
                <c:pt idx="177">
                  <c:v>41765</c:v>
                </c:pt>
                <c:pt idx="178">
                  <c:v>41764</c:v>
                </c:pt>
                <c:pt idx="179">
                  <c:v>41763</c:v>
                </c:pt>
                <c:pt idx="180">
                  <c:v>41762</c:v>
                </c:pt>
                <c:pt idx="181">
                  <c:v>41761</c:v>
                </c:pt>
                <c:pt idx="182">
                  <c:v>41760</c:v>
                </c:pt>
                <c:pt idx="183">
                  <c:v>41759</c:v>
                </c:pt>
                <c:pt idx="184">
                  <c:v>41758</c:v>
                </c:pt>
                <c:pt idx="185">
                  <c:v>41757</c:v>
                </c:pt>
                <c:pt idx="186">
                  <c:v>41756</c:v>
                </c:pt>
                <c:pt idx="187">
                  <c:v>41755</c:v>
                </c:pt>
                <c:pt idx="188">
                  <c:v>41754</c:v>
                </c:pt>
                <c:pt idx="189">
                  <c:v>41753</c:v>
                </c:pt>
                <c:pt idx="190">
                  <c:v>41752</c:v>
                </c:pt>
                <c:pt idx="191">
                  <c:v>41751</c:v>
                </c:pt>
                <c:pt idx="192">
                  <c:v>41750</c:v>
                </c:pt>
                <c:pt idx="193">
                  <c:v>41749</c:v>
                </c:pt>
                <c:pt idx="194">
                  <c:v>41748</c:v>
                </c:pt>
                <c:pt idx="195">
                  <c:v>41747</c:v>
                </c:pt>
                <c:pt idx="196">
                  <c:v>41746</c:v>
                </c:pt>
                <c:pt idx="197">
                  <c:v>41745</c:v>
                </c:pt>
                <c:pt idx="198">
                  <c:v>41744</c:v>
                </c:pt>
                <c:pt idx="199">
                  <c:v>41743</c:v>
                </c:pt>
                <c:pt idx="200">
                  <c:v>41742</c:v>
                </c:pt>
                <c:pt idx="201">
                  <c:v>41741</c:v>
                </c:pt>
                <c:pt idx="202">
                  <c:v>41740</c:v>
                </c:pt>
                <c:pt idx="203">
                  <c:v>41739</c:v>
                </c:pt>
                <c:pt idx="204">
                  <c:v>41738</c:v>
                </c:pt>
                <c:pt idx="205">
                  <c:v>41737</c:v>
                </c:pt>
                <c:pt idx="206">
                  <c:v>41736</c:v>
                </c:pt>
                <c:pt idx="207">
                  <c:v>41735</c:v>
                </c:pt>
                <c:pt idx="208">
                  <c:v>41734</c:v>
                </c:pt>
                <c:pt idx="209">
                  <c:v>41733</c:v>
                </c:pt>
                <c:pt idx="210">
                  <c:v>41732</c:v>
                </c:pt>
                <c:pt idx="211">
                  <c:v>41731</c:v>
                </c:pt>
                <c:pt idx="212">
                  <c:v>41730</c:v>
                </c:pt>
                <c:pt idx="213">
                  <c:v>41729</c:v>
                </c:pt>
                <c:pt idx="214">
                  <c:v>41728</c:v>
                </c:pt>
                <c:pt idx="215">
                  <c:v>41727</c:v>
                </c:pt>
                <c:pt idx="216">
                  <c:v>41726</c:v>
                </c:pt>
                <c:pt idx="217">
                  <c:v>41725</c:v>
                </c:pt>
                <c:pt idx="218">
                  <c:v>41724</c:v>
                </c:pt>
                <c:pt idx="219">
                  <c:v>41723</c:v>
                </c:pt>
                <c:pt idx="220">
                  <c:v>41722</c:v>
                </c:pt>
                <c:pt idx="221">
                  <c:v>41721</c:v>
                </c:pt>
                <c:pt idx="222">
                  <c:v>41720</c:v>
                </c:pt>
                <c:pt idx="223">
                  <c:v>41719</c:v>
                </c:pt>
                <c:pt idx="224">
                  <c:v>41718</c:v>
                </c:pt>
                <c:pt idx="225">
                  <c:v>41717</c:v>
                </c:pt>
                <c:pt idx="226">
                  <c:v>41716</c:v>
                </c:pt>
                <c:pt idx="227">
                  <c:v>41715</c:v>
                </c:pt>
                <c:pt idx="228">
                  <c:v>41714</c:v>
                </c:pt>
                <c:pt idx="229">
                  <c:v>41713</c:v>
                </c:pt>
                <c:pt idx="230">
                  <c:v>41712</c:v>
                </c:pt>
                <c:pt idx="231">
                  <c:v>41711</c:v>
                </c:pt>
                <c:pt idx="232">
                  <c:v>41710</c:v>
                </c:pt>
                <c:pt idx="233">
                  <c:v>41709</c:v>
                </c:pt>
                <c:pt idx="234">
                  <c:v>41708</c:v>
                </c:pt>
                <c:pt idx="235">
                  <c:v>41707</c:v>
                </c:pt>
                <c:pt idx="236">
                  <c:v>41706</c:v>
                </c:pt>
                <c:pt idx="237">
                  <c:v>41705</c:v>
                </c:pt>
                <c:pt idx="238">
                  <c:v>41704</c:v>
                </c:pt>
                <c:pt idx="239">
                  <c:v>41703</c:v>
                </c:pt>
                <c:pt idx="240">
                  <c:v>41702</c:v>
                </c:pt>
                <c:pt idx="241">
                  <c:v>41701</c:v>
                </c:pt>
                <c:pt idx="242">
                  <c:v>41700</c:v>
                </c:pt>
                <c:pt idx="243">
                  <c:v>41699</c:v>
                </c:pt>
                <c:pt idx="244">
                  <c:v>41698</c:v>
                </c:pt>
                <c:pt idx="245">
                  <c:v>41697</c:v>
                </c:pt>
                <c:pt idx="246">
                  <c:v>41696</c:v>
                </c:pt>
                <c:pt idx="247">
                  <c:v>41695</c:v>
                </c:pt>
                <c:pt idx="248">
                  <c:v>41694</c:v>
                </c:pt>
                <c:pt idx="249">
                  <c:v>41693</c:v>
                </c:pt>
                <c:pt idx="250">
                  <c:v>41692</c:v>
                </c:pt>
                <c:pt idx="251">
                  <c:v>41691</c:v>
                </c:pt>
                <c:pt idx="252">
                  <c:v>41690</c:v>
                </c:pt>
                <c:pt idx="253">
                  <c:v>41689</c:v>
                </c:pt>
                <c:pt idx="254">
                  <c:v>41688</c:v>
                </c:pt>
                <c:pt idx="255">
                  <c:v>41687</c:v>
                </c:pt>
                <c:pt idx="256">
                  <c:v>41686</c:v>
                </c:pt>
                <c:pt idx="257">
                  <c:v>41685</c:v>
                </c:pt>
                <c:pt idx="258">
                  <c:v>41684</c:v>
                </c:pt>
                <c:pt idx="259">
                  <c:v>41683</c:v>
                </c:pt>
                <c:pt idx="260">
                  <c:v>41682</c:v>
                </c:pt>
                <c:pt idx="261">
                  <c:v>41681</c:v>
                </c:pt>
                <c:pt idx="262">
                  <c:v>41680</c:v>
                </c:pt>
                <c:pt idx="263">
                  <c:v>41679</c:v>
                </c:pt>
                <c:pt idx="264">
                  <c:v>41678</c:v>
                </c:pt>
                <c:pt idx="265">
                  <c:v>41677</c:v>
                </c:pt>
                <c:pt idx="266">
                  <c:v>41676</c:v>
                </c:pt>
                <c:pt idx="267">
                  <c:v>41675</c:v>
                </c:pt>
                <c:pt idx="268">
                  <c:v>41674</c:v>
                </c:pt>
                <c:pt idx="269">
                  <c:v>41673</c:v>
                </c:pt>
                <c:pt idx="270">
                  <c:v>41672</c:v>
                </c:pt>
                <c:pt idx="271">
                  <c:v>41671</c:v>
                </c:pt>
                <c:pt idx="272">
                  <c:v>41670</c:v>
                </c:pt>
                <c:pt idx="273">
                  <c:v>41669</c:v>
                </c:pt>
                <c:pt idx="274">
                  <c:v>41668</c:v>
                </c:pt>
                <c:pt idx="275">
                  <c:v>41667</c:v>
                </c:pt>
                <c:pt idx="276">
                  <c:v>41666</c:v>
                </c:pt>
                <c:pt idx="277">
                  <c:v>41665</c:v>
                </c:pt>
                <c:pt idx="278">
                  <c:v>41664</c:v>
                </c:pt>
                <c:pt idx="279">
                  <c:v>41663</c:v>
                </c:pt>
                <c:pt idx="280">
                  <c:v>41662</c:v>
                </c:pt>
                <c:pt idx="281">
                  <c:v>41661</c:v>
                </c:pt>
                <c:pt idx="282">
                  <c:v>41660</c:v>
                </c:pt>
                <c:pt idx="283">
                  <c:v>41659</c:v>
                </c:pt>
                <c:pt idx="284">
                  <c:v>41658</c:v>
                </c:pt>
                <c:pt idx="285">
                  <c:v>41657</c:v>
                </c:pt>
                <c:pt idx="286">
                  <c:v>41656</c:v>
                </c:pt>
                <c:pt idx="287">
                  <c:v>41655</c:v>
                </c:pt>
                <c:pt idx="288">
                  <c:v>41654</c:v>
                </c:pt>
                <c:pt idx="289">
                  <c:v>41653</c:v>
                </c:pt>
                <c:pt idx="290">
                  <c:v>41652</c:v>
                </c:pt>
                <c:pt idx="291">
                  <c:v>41651</c:v>
                </c:pt>
                <c:pt idx="292">
                  <c:v>41650</c:v>
                </c:pt>
                <c:pt idx="293">
                  <c:v>41649</c:v>
                </c:pt>
                <c:pt idx="294">
                  <c:v>41648</c:v>
                </c:pt>
                <c:pt idx="295">
                  <c:v>41647</c:v>
                </c:pt>
                <c:pt idx="296">
                  <c:v>41646</c:v>
                </c:pt>
                <c:pt idx="297">
                  <c:v>41645</c:v>
                </c:pt>
                <c:pt idx="298">
                  <c:v>41644</c:v>
                </c:pt>
                <c:pt idx="299">
                  <c:v>41643</c:v>
                </c:pt>
                <c:pt idx="300">
                  <c:v>41642</c:v>
                </c:pt>
                <c:pt idx="301">
                  <c:v>41641</c:v>
                </c:pt>
                <c:pt idx="302">
                  <c:v>41640</c:v>
                </c:pt>
                <c:pt idx="303">
                  <c:v>41639</c:v>
                </c:pt>
                <c:pt idx="304">
                  <c:v>41638</c:v>
                </c:pt>
                <c:pt idx="305">
                  <c:v>41637</c:v>
                </c:pt>
                <c:pt idx="306">
                  <c:v>41636</c:v>
                </c:pt>
                <c:pt idx="307">
                  <c:v>41635</c:v>
                </c:pt>
                <c:pt idx="308">
                  <c:v>41634</c:v>
                </c:pt>
                <c:pt idx="309">
                  <c:v>41633</c:v>
                </c:pt>
                <c:pt idx="310">
                  <c:v>41632</c:v>
                </c:pt>
                <c:pt idx="311">
                  <c:v>41631</c:v>
                </c:pt>
                <c:pt idx="312">
                  <c:v>41630</c:v>
                </c:pt>
                <c:pt idx="313">
                  <c:v>41629</c:v>
                </c:pt>
                <c:pt idx="314">
                  <c:v>41628</c:v>
                </c:pt>
                <c:pt idx="315">
                  <c:v>41627</c:v>
                </c:pt>
                <c:pt idx="316">
                  <c:v>41626</c:v>
                </c:pt>
                <c:pt idx="317">
                  <c:v>41625</c:v>
                </c:pt>
                <c:pt idx="318">
                  <c:v>41624</c:v>
                </c:pt>
                <c:pt idx="319">
                  <c:v>41623</c:v>
                </c:pt>
                <c:pt idx="320">
                  <c:v>41622</c:v>
                </c:pt>
                <c:pt idx="321">
                  <c:v>41621</c:v>
                </c:pt>
                <c:pt idx="322">
                  <c:v>41620</c:v>
                </c:pt>
                <c:pt idx="323">
                  <c:v>41619</c:v>
                </c:pt>
                <c:pt idx="324">
                  <c:v>41618</c:v>
                </c:pt>
                <c:pt idx="325">
                  <c:v>41617</c:v>
                </c:pt>
                <c:pt idx="326">
                  <c:v>41616</c:v>
                </c:pt>
                <c:pt idx="327">
                  <c:v>41615</c:v>
                </c:pt>
                <c:pt idx="328">
                  <c:v>41614</c:v>
                </c:pt>
                <c:pt idx="329">
                  <c:v>41613</c:v>
                </c:pt>
                <c:pt idx="330">
                  <c:v>41612</c:v>
                </c:pt>
                <c:pt idx="331">
                  <c:v>41611</c:v>
                </c:pt>
                <c:pt idx="332">
                  <c:v>41610</c:v>
                </c:pt>
                <c:pt idx="333">
                  <c:v>41607</c:v>
                </c:pt>
                <c:pt idx="334">
                  <c:v>41606</c:v>
                </c:pt>
                <c:pt idx="335">
                  <c:v>41605</c:v>
                </c:pt>
                <c:pt idx="336">
                  <c:v>41604</c:v>
                </c:pt>
                <c:pt idx="337">
                  <c:v>41603</c:v>
                </c:pt>
                <c:pt idx="338">
                  <c:v>41600</c:v>
                </c:pt>
                <c:pt idx="339">
                  <c:v>41599</c:v>
                </c:pt>
              </c:numCache>
            </c:numRef>
          </c:cat>
          <c:val>
            <c:numRef>
              <c:f>石化原料!$H$13:$H$352</c:f>
              <c:numCache>
                <c:formatCode>###,###,###,###,##0.00</c:formatCode>
                <c:ptCount val="340"/>
                <c:pt idx="0">
                  <c:v>1687</c:v>
                </c:pt>
                <c:pt idx="1">
                  <c:v>1687</c:v>
                </c:pt>
                <c:pt idx="2">
                  <c:v>1687</c:v>
                </c:pt>
                <c:pt idx="3">
                  <c:v>1687</c:v>
                </c:pt>
                <c:pt idx="4">
                  <c:v>1687</c:v>
                </c:pt>
                <c:pt idx="5">
                  <c:v>1687</c:v>
                </c:pt>
                <c:pt idx="6">
                  <c:v>1687</c:v>
                </c:pt>
                <c:pt idx="7">
                  <c:v>1687</c:v>
                </c:pt>
                <c:pt idx="8">
                  <c:v>1687</c:v>
                </c:pt>
                <c:pt idx="9">
                  <c:v>1687</c:v>
                </c:pt>
                <c:pt idx="10">
                  <c:v>1687</c:v>
                </c:pt>
                <c:pt idx="11">
                  <c:v>1687</c:v>
                </c:pt>
                <c:pt idx="12">
                  <c:v>1687</c:v>
                </c:pt>
                <c:pt idx="13">
                  <c:v>1687</c:v>
                </c:pt>
                <c:pt idx="14">
                  <c:v>1687</c:v>
                </c:pt>
                <c:pt idx="15">
                  <c:v>1687</c:v>
                </c:pt>
                <c:pt idx="16">
                  <c:v>1687</c:v>
                </c:pt>
                <c:pt idx="17">
                  <c:v>1687</c:v>
                </c:pt>
                <c:pt idx="18">
                  <c:v>1687</c:v>
                </c:pt>
                <c:pt idx="19">
                  <c:v>1687</c:v>
                </c:pt>
                <c:pt idx="20">
                  <c:v>1687</c:v>
                </c:pt>
                <c:pt idx="21">
                  <c:v>1687</c:v>
                </c:pt>
                <c:pt idx="22">
                  <c:v>1687</c:v>
                </c:pt>
                <c:pt idx="23">
                  <c:v>1687</c:v>
                </c:pt>
                <c:pt idx="24">
                  <c:v>1687</c:v>
                </c:pt>
                <c:pt idx="25">
                  <c:v>1687</c:v>
                </c:pt>
                <c:pt idx="26">
                  <c:v>1687</c:v>
                </c:pt>
                <c:pt idx="27">
                  <c:v>1687</c:v>
                </c:pt>
                <c:pt idx="28">
                  <c:v>1687</c:v>
                </c:pt>
                <c:pt idx="29">
                  <c:v>1687</c:v>
                </c:pt>
                <c:pt idx="30">
                  <c:v>1687</c:v>
                </c:pt>
                <c:pt idx="31">
                  <c:v>1687</c:v>
                </c:pt>
                <c:pt idx="32">
                  <c:v>1687</c:v>
                </c:pt>
                <c:pt idx="33">
                  <c:v>1687</c:v>
                </c:pt>
                <c:pt idx="34">
                  <c:v>1687</c:v>
                </c:pt>
                <c:pt idx="35">
                  <c:v>1687</c:v>
                </c:pt>
                <c:pt idx="36">
                  <c:v>1687</c:v>
                </c:pt>
                <c:pt idx="37">
                  <c:v>1687</c:v>
                </c:pt>
                <c:pt idx="38">
                  <c:v>1687</c:v>
                </c:pt>
                <c:pt idx="39">
                  <c:v>1687</c:v>
                </c:pt>
                <c:pt idx="40">
                  <c:v>1687</c:v>
                </c:pt>
                <c:pt idx="41">
                  <c:v>1687</c:v>
                </c:pt>
                <c:pt idx="42">
                  <c:v>1687</c:v>
                </c:pt>
                <c:pt idx="43">
                  <c:v>1687</c:v>
                </c:pt>
                <c:pt idx="44">
                  <c:v>1687</c:v>
                </c:pt>
                <c:pt idx="45">
                  <c:v>1687</c:v>
                </c:pt>
                <c:pt idx="46">
                  <c:v>1687</c:v>
                </c:pt>
                <c:pt idx="47">
                  <c:v>1687</c:v>
                </c:pt>
                <c:pt idx="48">
                  <c:v>1687</c:v>
                </c:pt>
                <c:pt idx="49">
                  <c:v>1687</c:v>
                </c:pt>
                <c:pt idx="50">
                  <c:v>1687</c:v>
                </c:pt>
                <c:pt idx="51">
                  <c:v>1660</c:v>
                </c:pt>
                <c:pt idx="52">
                  <c:v>1660</c:v>
                </c:pt>
                <c:pt idx="53">
                  <c:v>1660</c:v>
                </c:pt>
                <c:pt idx="54">
                  <c:v>1660</c:v>
                </c:pt>
                <c:pt idx="55">
                  <c:v>1660</c:v>
                </c:pt>
                <c:pt idx="56">
                  <c:v>1660</c:v>
                </c:pt>
                <c:pt idx="57">
                  <c:v>1660</c:v>
                </c:pt>
                <c:pt idx="58">
                  <c:v>1660</c:v>
                </c:pt>
                <c:pt idx="59">
                  <c:v>1660</c:v>
                </c:pt>
                <c:pt idx="60">
                  <c:v>1630</c:v>
                </c:pt>
                <c:pt idx="61">
                  <c:v>1630</c:v>
                </c:pt>
                <c:pt idx="62">
                  <c:v>1630</c:v>
                </c:pt>
                <c:pt idx="63">
                  <c:v>1630</c:v>
                </c:pt>
                <c:pt idx="64">
                  <c:v>1630</c:v>
                </c:pt>
                <c:pt idx="65">
                  <c:v>1560</c:v>
                </c:pt>
                <c:pt idx="66">
                  <c:v>1560</c:v>
                </c:pt>
                <c:pt idx="67">
                  <c:v>1560</c:v>
                </c:pt>
                <c:pt idx="68">
                  <c:v>1560</c:v>
                </c:pt>
                <c:pt idx="69">
                  <c:v>1560</c:v>
                </c:pt>
                <c:pt idx="70">
                  <c:v>1560</c:v>
                </c:pt>
                <c:pt idx="71">
                  <c:v>1560</c:v>
                </c:pt>
                <c:pt idx="72">
                  <c:v>1560</c:v>
                </c:pt>
                <c:pt idx="73">
                  <c:v>1550</c:v>
                </c:pt>
                <c:pt idx="74">
                  <c:v>1550</c:v>
                </c:pt>
                <c:pt idx="75">
                  <c:v>1550</c:v>
                </c:pt>
                <c:pt idx="76">
                  <c:v>1550</c:v>
                </c:pt>
                <c:pt idx="77">
                  <c:v>1550</c:v>
                </c:pt>
                <c:pt idx="78">
                  <c:v>1550</c:v>
                </c:pt>
                <c:pt idx="79">
                  <c:v>1550</c:v>
                </c:pt>
                <c:pt idx="80">
                  <c:v>1550</c:v>
                </c:pt>
                <c:pt idx="81">
                  <c:v>1550</c:v>
                </c:pt>
                <c:pt idx="82">
                  <c:v>1550</c:v>
                </c:pt>
                <c:pt idx="83">
                  <c:v>1550</c:v>
                </c:pt>
                <c:pt idx="84">
                  <c:v>1550</c:v>
                </c:pt>
                <c:pt idx="85">
                  <c:v>1550</c:v>
                </c:pt>
                <c:pt idx="86">
                  <c:v>1550</c:v>
                </c:pt>
                <c:pt idx="87">
                  <c:v>1550</c:v>
                </c:pt>
                <c:pt idx="88">
                  <c:v>1550</c:v>
                </c:pt>
                <c:pt idx="89">
                  <c:v>1550</c:v>
                </c:pt>
                <c:pt idx="90">
                  <c:v>1550</c:v>
                </c:pt>
                <c:pt idx="91">
                  <c:v>1550</c:v>
                </c:pt>
                <c:pt idx="92">
                  <c:v>1550</c:v>
                </c:pt>
                <c:pt idx="93">
                  <c:v>1550</c:v>
                </c:pt>
                <c:pt idx="94">
                  <c:v>1550</c:v>
                </c:pt>
                <c:pt idx="95">
                  <c:v>1550</c:v>
                </c:pt>
                <c:pt idx="96">
                  <c:v>1550</c:v>
                </c:pt>
                <c:pt idx="97">
                  <c:v>1550</c:v>
                </c:pt>
                <c:pt idx="98">
                  <c:v>1550</c:v>
                </c:pt>
                <c:pt idx="99">
                  <c:v>1550</c:v>
                </c:pt>
                <c:pt idx="100">
                  <c:v>1550</c:v>
                </c:pt>
                <c:pt idx="101">
                  <c:v>1550</c:v>
                </c:pt>
                <c:pt idx="102">
                  <c:v>1550</c:v>
                </c:pt>
                <c:pt idx="103">
                  <c:v>1550</c:v>
                </c:pt>
                <c:pt idx="104">
                  <c:v>1550</c:v>
                </c:pt>
                <c:pt idx="105">
                  <c:v>1550</c:v>
                </c:pt>
                <c:pt idx="106">
                  <c:v>1550</c:v>
                </c:pt>
                <c:pt idx="107">
                  <c:v>1550</c:v>
                </c:pt>
                <c:pt idx="108">
                  <c:v>1550</c:v>
                </c:pt>
                <c:pt idx="109">
                  <c:v>1550</c:v>
                </c:pt>
                <c:pt idx="110">
                  <c:v>1550</c:v>
                </c:pt>
                <c:pt idx="111">
                  <c:v>1550</c:v>
                </c:pt>
                <c:pt idx="112">
                  <c:v>1550</c:v>
                </c:pt>
                <c:pt idx="113">
                  <c:v>1550</c:v>
                </c:pt>
                <c:pt idx="114">
                  <c:v>1550</c:v>
                </c:pt>
                <c:pt idx="115">
                  <c:v>1550</c:v>
                </c:pt>
                <c:pt idx="116">
                  <c:v>1550</c:v>
                </c:pt>
                <c:pt idx="117">
                  <c:v>1550</c:v>
                </c:pt>
                <c:pt idx="118">
                  <c:v>1550</c:v>
                </c:pt>
                <c:pt idx="119">
                  <c:v>1550</c:v>
                </c:pt>
                <c:pt idx="120">
                  <c:v>1550</c:v>
                </c:pt>
                <c:pt idx="121">
                  <c:v>1550</c:v>
                </c:pt>
                <c:pt idx="122">
                  <c:v>1550</c:v>
                </c:pt>
                <c:pt idx="123">
                  <c:v>1550</c:v>
                </c:pt>
                <c:pt idx="124">
                  <c:v>1550</c:v>
                </c:pt>
                <c:pt idx="125">
                  <c:v>1550</c:v>
                </c:pt>
                <c:pt idx="126">
                  <c:v>1550</c:v>
                </c:pt>
                <c:pt idx="127">
                  <c:v>1550</c:v>
                </c:pt>
                <c:pt idx="128">
                  <c:v>1550</c:v>
                </c:pt>
                <c:pt idx="129">
                  <c:v>1550</c:v>
                </c:pt>
                <c:pt idx="130">
                  <c:v>1550</c:v>
                </c:pt>
                <c:pt idx="131">
                  <c:v>1550</c:v>
                </c:pt>
                <c:pt idx="132">
                  <c:v>1550</c:v>
                </c:pt>
                <c:pt idx="133">
                  <c:v>1550</c:v>
                </c:pt>
                <c:pt idx="134">
                  <c:v>1550</c:v>
                </c:pt>
                <c:pt idx="135">
                  <c:v>1550</c:v>
                </c:pt>
                <c:pt idx="136">
                  <c:v>1550</c:v>
                </c:pt>
                <c:pt idx="137">
                  <c:v>1550</c:v>
                </c:pt>
                <c:pt idx="138">
                  <c:v>1550</c:v>
                </c:pt>
                <c:pt idx="139">
                  <c:v>1550</c:v>
                </c:pt>
                <c:pt idx="140">
                  <c:v>1550</c:v>
                </c:pt>
                <c:pt idx="141">
                  <c:v>1550</c:v>
                </c:pt>
                <c:pt idx="142">
                  <c:v>1550</c:v>
                </c:pt>
                <c:pt idx="143">
                  <c:v>1550</c:v>
                </c:pt>
                <c:pt idx="144">
                  <c:v>1550</c:v>
                </c:pt>
                <c:pt idx="145">
                  <c:v>1550</c:v>
                </c:pt>
                <c:pt idx="146">
                  <c:v>1550</c:v>
                </c:pt>
                <c:pt idx="147">
                  <c:v>1550</c:v>
                </c:pt>
                <c:pt idx="148">
                  <c:v>1550</c:v>
                </c:pt>
                <c:pt idx="149">
                  <c:v>1550</c:v>
                </c:pt>
                <c:pt idx="150">
                  <c:v>1550</c:v>
                </c:pt>
                <c:pt idx="151">
                  <c:v>1550</c:v>
                </c:pt>
                <c:pt idx="152">
                  <c:v>1550</c:v>
                </c:pt>
                <c:pt idx="153">
                  <c:v>1550</c:v>
                </c:pt>
                <c:pt idx="154">
                  <c:v>1550</c:v>
                </c:pt>
                <c:pt idx="155">
                  <c:v>1550</c:v>
                </c:pt>
                <c:pt idx="156">
                  <c:v>1550</c:v>
                </c:pt>
                <c:pt idx="157">
                  <c:v>1550</c:v>
                </c:pt>
                <c:pt idx="158">
                  <c:v>1550</c:v>
                </c:pt>
                <c:pt idx="159">
                  <c:v>1550</c:v>
                </c:pt>
                <c:pt idx="160">
                  <c:v>1550</c:v>
                </c:pt>
                <c:pt idx="161">
                  <c:v>1550</c:v>
                </c:pt>
                <c:pt idx="162">
                  <c:v>1550</c:v>
                </c:pt>
                <c:pt idx="163">
                  <c:v>1550</c:v>
                </c:pt>
                <c:pt idx="164">
                  <c:v>1550</c:v>
                </c:pt>
                <c:pt idx="165">
                  <c:v>1550</c:v>
                </c:pt>
                <c:pt idx="166">
                  <c:v>1550</c:v>
                </c:pt>
                <c:pt idx="167">
                  <c:v>1550</c:v>
                </c:pt>
                <c:pt idx="168">
                  <c:v>1550</c:v>
                </c:pt>
                <c:pt idx="169">
                  <c:v>1550</c:v>
                </c:pt>
                <c:pt idx="170">
                  <c:v>1550</c:v>
                </c:pt>
                <c:pt idx="171">
                  <c:v>1500</c:v>
                </c:pt>
                <c:pt idx="172">
                  <c:v>1500</c:v>
                </c:pt>
                <c:pt idx="173">
                  <c:v>1500</c:v>
                </c:pt>
                <c:pt idx="174">
                  <c:v>1500</c:v>
                </c:pt>
                <c:pt idx="175">
                  <c:v>1500</c:v>
                </c:pt>
                <c:pt idx="176">
                  <c:v>1500</c:v>
                </c:pt>
                <c:pt idx="177">
                  <c:v>1500</c:v>
                </c:pt>
                <c:pt idx="178">
                  <c:v>1500</c:v>
                </c:pt>
                <c:pt idx="179">
                  <c:v>1500</c:v>
                </c:pt>
                <c:pt idx="180">
                  <c:v>1500</c:v>
                </c:pt>
                <c:pt idx="181">
                  <c:v>1500</c:v>
                </c:pt>
                <c:pt idx="182">
                  <c:v>1500</c:v>
                </c:pt>
                <c:pt idx="183">
                  <c:v>1500</c:v>
                </c:pt>
                <c:pt idx="184">
                  <c:v>1500</c:v>
                </c:pt>
                <c:pt idx="185">
                  <c:v>1500</c:v>
                </c:pt>
                <c:pt idx="186">
                  <c:v>1500</c:v>
                </c:pt>
                <c:pt idx="187">
                  <c:v>1500</c:v>
                </c:pt>
                <c:pt idx="188">
                  <c:v>1500</c:v>
                </c:pt>
                <c:pt idx="189">
                  <c:v>1500</c:v>
                </c:pt>
                <c:pt idx="190">
                  <c:v>1500</c:v>
                </c:pt>
                <c:pt idx="191">
                  <c:v>1500</c:v>
                </c:pt>
                <c:pt idx="192">
                  <c:v>1500</c:v>
                </c:pt>
                <c:pt idx="193">
                  <c:v>1500</c:v>
                </c:pt>
                <c:pt idx="194">
                  <c:v>1500</c:v>
                </c:pt>
                <c:pt idx="195">
                  <c:v>1500</c:v>
                </c:pt>
                <c:pt idx="196">
                  <c:v>1500</c:v>
                </c:pt>
                <c:pt idx="197">
                  <c:v>1500</c:v>
                </c:pt>
                <c:pt idx="198">
                  <c:v>1707</c:v>
                </c:pt>
                <c:pt idx="199">
                  <c:v>1707</c:v>
                </c:pt>
                <c:pt idx="200">
                  <c:v>1707</c:v>
                </c:pt>
                <c:pt idx="201">
                  <c:v>1707</c:v>
                </c:pt>
                <c:pt idx="202">
                  <c:v>1707</c:v>
                </c:pt>
                <c:pt idx="203">
                  <c:v>1707</c:v>
                </c:pt>
                <c:pt idx="204">
                  <c:v>1707</c:v>
                </c:pt>
                <c:pt idx="205">
                  <c:v>1707</c:v>
                </c:pt>
                <c:pt idx="206">
                  <c:v>1707</c:v>
                </c:pt>
                <c:pt idx="207">
                  <c:v>1707</c:v>
                </c:pt>
                <c:pt idx="208">
                  <c:v>1707</c:v>
                </c:pt>
                <c:pt idx="209">
                  <c:v>1707</c:v>
                </c:pt>
                <c:pt idx="210">
                  <c:v>1707</c:v>
                </c:pt>
                <c:pt idx="211">
                  <c:v>1707</c:v>
                </c:pt>
                <c:pt idx="212">
                  <c:v>1707</c:v>
                </c:pt>
                <c:pt idx="213">
                  <c:v>1707</c:v>
                </c:pt>
                <c:pt idx="214">
                  <c:v>1707</c:v>
                </c:pt>
                <c:pt idx="215">
                  <c:v>1707</c:v>
                </c:pt>
                <c:pt idx="216">
                  <c:v>1707</c:v>
                </c:pt>
                <c:pt idx="217">
                  <c:v>1707</c:v>
                </c:pt>
                <c:pt idx="218">
                  <c:v>1707</c:v>
                </c:pt>
                <c:pt idx="219">
                  <c:v>1707</c:v>
                </c:pt>
                <c:pt idx="220">
                  <c:v>1707</c:v>
                </c:pt>
                <c:pt idx="221">
                  <c:v>1707</c:v>
                </c:pt>
                <c:pt idx="222">
                  <c:v>1707</c:v>
                </c:pt>
                <c:pt idx="223">
                  <c:v>1707</c:v>
                </c:pt>
                <c:pt idx="224">
                  <c:v>1707</c:v>
                </c:pt>
                <c:pt idx="225">
                  <c:v>1758</c:v>
                </c:pt>
                <c:pt idx="226">
                  <c:v>1758</c:v>
                </c:pt>
                <c:pt idx="227">
                  <c:v>1758</c:v>
                </c:pt>
                <c:pt idx="228">
                  <c:v>1758</c:v>
                </c:pt>
                <c:pt idx="229">
                  <c:v>1758</c:v>
                </c:pt>
                <c:pt idx="230">
                  <c:v>1758</c:v>
                </c:pt>
                <c:pt idx="231">
                  <c:v>1758</c:v>
                </c:pt>
                <c:pt idx="232">
                  <c:v>1758</c:v>
                </c:pt>
                <c:pt idx="233">
                  <c:v>1758</c:v>
                </c:pt>
                <c:pt idx="234">
                  <c:v>1758</c:v>
                </c:pt>
                <c:pt idx="235">
                  <c:v>1830</c:v>
                </c:pt>
                <c:pt idx="236">
                  <c:v>1830</c:v>
                </c:pt>
                <c:pt idx="237">
                  <c:v>1830</c:v>
                </c:pt>
                <c:pt idx="238">
                  <c:v>1830</c:v>
                </c:pt>
                <c:pt idx="239">
                  <c:v>1830</c:v>
                </c:pt>
                <c:pt idx="240">
                  <c:v>1900</c:v>
                </c:pt>
                <c:pt idx="241">
                  <c:v>1900</c:v>
                </c:pt>
                <c:pt idx="242">
                  <c:v>1900</c:v>
                </c:pt>
                <c:pt idx="243">
                  <c:v>1900</c:v>
                </c:pt>
                <c:pt idx="244">
                  <c:v>1900</c:v>
                </c:pt>
                <c:pt idx="245">
                  <c:v>1900</c:v>
                </c:pt>
                <c:pt idx="246">
                  <c:v>1900</c:v>
                </c:pt>
                <c:pt idx="247">
                  <c:v>1900</c:v>
                </c:pt>
                <c:pt idx="248">
                  <c:v>1900</c:v>
                </c:pt>
                <c:pt idx="249">
                  <c:v>1900</c:v>
                </c:pt>
                <c:pt idx="250">
                  <c:v>1900</c:v>
                </c:pt>
                <c:pt idx="251">
                  <c:v>1900</c:v>
                </c:pt>
                <c:pt idx="252">
                  <c:v>1900</c:v>
                </c:pt>
                <c:pt idx="253">
                  <c:v>1900</c:v>
                </c:pt>
                <c:pt idx="254">
                  <c:v>1900</c:v>
                </c:pt>
                <c:pt idx="255">
                  <c:v>1900</c:v>
                </c:pt>
                <c:pt idx="256">
                  <c:v>1900</c:v>
                </c:pt>
                <c:pt idx="257">
                  <c:v>1900</c:v>
                </c:pt>
                <c:pt idx="258">
                  <c:v>1900</c:v>
                </c:pt>
                <c:pt idx="259">
                  <c:v>1900</c:v>
                </c:pt>
                <c:pt idx="260">
                  <c:v>1900</c:v>
                </c:pt>
                <c:pt idx="261">
                  <c:v>1900</c:v>
                </c:pt>
                <c:pt idx="262">
                  <c:v>1900</c:v>
                </c:pt>
                <c:pt idx="263">
                  <c:v>1900</c:v>
                </c:pt>
                <c:pt idx="264">
                  <c:v>1900</c:v>
                </c:pt>
                <c:pt idx="265">
                  <c:v>1900</c:v>
                </c:pt>
                <c:pt idx="266">
                  <c:v>1900</c:v>
                </c:pt>
                <c:pt idx="267">
                  <c:v>1900</c:v>
                </c:pt>
                <c:pt idx="268">
                  <c:v>1900</c:v>
                </c:pt>
                <c:pt idx="269">
                  <c:v>1900</c:v>
                </c:pt>
                <c:pt idx="270">
                  <c:v>1900</c:v>
                </c:pt>
                <c:pt idx="271">
                  <c:v>1900</c:v>
                </c:pt>
                <c:pt idx="272">
                  <c:v>1900</c:v>
                </c:pt>
                <c:pt idx="273">
                  <c:v>1900</c:v>
                </c:pt>
                <c:pt idx="274">
                  <c:v>1900</c:v>
                </c:pt>
                <c:pt idx="275">
                  <c:v>1900</c:v>
                </c:pt>
                <c:pt idx="276">
                  <c:v>1900</c:v>
                </c:pt>
                <c:pt idx="277">
                  <c:v>1900</c:v>
                </c:pt>
                <c:pt idx="278">
                  <c:v>1900</c:v>
                </c:pt>
                <c:pt idx="279">
                  <c:v>1900</c:v>
                </c:pt>
                <c:pt idx="280">
                  <c:v>1900</c:v>
                </c:pt>
                <c:pt idx="281">
                  <c:v>1900</c:v>
                </c:pt>
                <c:pt idx="282">
                  <c:v>1900</c:v>
                </c:pt>
                <c:pt idx="283">
                  <c:v>1900</c:v>
                </c:pt>
                <c:pt idx="284">
                  <c:v>1900</c:v>
                </c:pt>
                <c:pt idx="285">
                  <c:v>1900</c:v>
                </c:pt>
                <c:pt idx="286">
                  <c:v>1900</c:v>
                </c:pt>
                <c:pt idx="287">
                  <c:v>1900</c:v>
                </c:pt>
                <c:pt idx="288">
                  <c:v>1900</c:v>
                </c:pt>
                <c:pt idx="289">
                  <c:v>1900</c:v>
                </c:pt>
                <c:pt idx="290">
                  <c:v>1900</c:v>
                </c:pt>
                <c:pt idx="291">
                  <c:v>1900</c:v>
                </c:pt>
                <c:pt idx="292">
                  <c:v>1900</c:v>
                </c:pt>
                <c:pt idx="293">
                  <c:v>1900</c:v>
                </c:pt>
                <c:pt idx="294">
                  <c:v>1900</c:v>
                </c:pt>
                <c:pt idx="295">
                  <c:v>1900</c:v>
                </c:pt>
                <c:pt idx="296">
                  <c:v>1900</c:v>
                </c:pt>
                <c:pt idx="297">
                  <c:v>1900</c:v>
                </c:pt>
                <c:pt idx="298">
                  <c:v>1900</c:v>
                </c:pt>
                <c:pt idx="299">
                  <c:v>1900</c:v>
                </c:pt>
                <c:pt idx="300">
                  <c:v>1900</c:v>
                </c:pt>
                <c:pt idx="301">
                  <c:v>1900</c:v>
                </c:pt>
                <c:pt idx="302">
                  <c:v>1900</c:v>
                </c:pt>
                <c:pt idx="303">
                  <c:v>1900</c:v>
                </c:pt>
                <c:pt idx="304">
                  <c:v>1900</c:v>
                </c:pt>
                <c:pt idx="305">
                  <c:v>1900</c:v>
                </c:pt>
                <c:pt idx="306">
                  <c:v>1900</c:v>
                </c:pt>
                <c:pt idx="307">
                  <c:v>1900</c:v>
                </c:pt>
                <c:pt idx="308">
                  <c:v>1900</c:v>
                </c:pt>
                <c:pt idx="309">
                  <c:v>1900</c:v>
                </c:pt>
                <c:pt idx="310">
                  <c:v>1900</c:v>
                </c:pt>
                <c:pt idx="311">
                  <c:v>1900</c:v>
                </c:pt>
                <c:pt idx="312">
                  <c:v>1730</c:v>
                </c:pt>
                <c:pt idx="313">
                  <c:v>1730</c:v>
                </c:pt>
                <c:pt idx="314">
                  <c:v>1730</c:v>
                </c:pt>
                <c:pt idx="315">
                  <c:v>1730</c:v>
                </c:pt>
                <c:pt idx="316">
                  <c:v>1730</c:v>
                </c:pt>
                <c:pt idx="317">
                  <c:v>1730</c:v>
                </c:pt>
                <c:pt idx="318">
                  <c:v>1730</c:v>
                </c:pt>
                <c:pt idx="319">
                  <c:v>1730</c:v>
                </c:pt>
                <c:pt idx="320">
                  <c:v>1730</c:v>
                </c:pt>
                <c:pt idx="321">
                  <c:v>1730</c:v>
                </c:pt>
                <c:pt idx="322">
                  <c:v>1730</c:v>
                </c:pt>
                <c:pt idx="323">
                  <c:v>1730</c:v>
                </c:pt>
                <c:pt idx="324">
                  <c:v>1730</c:v>
                </c:pt>
                <c:pt idx="325">
                  <c:v>1730</c:v>
                </c:pt>
                <c:pt idx="326">
                  <c:v>1730</c:v>
                </c:pt>
                <c:pt idx="327">
                  <c:v>1730</c:v>
                </c:pt>
                <c:pt idx="328">
                  <c:v>1730</c:v>
                </c:pt>
                <c:pt idx="329">
                  <c:v>1730</c:v>
                </c:pt>
                <c:pt idx="330">
                  <c:v>1730</c:v>
                </c:pt>
                <c:pt idx="331">
                  <c:v>1730</c:v>
                </c:pt>
                <c:pt idx="332">
                  <c:v>1730</c:v>
                </c:pt>
                <c:pt idx="333">
                  <c:v>1730</c:v>
                </c:pt>
                <c:pt idx="334">
                  <c:v>1730</c:v>
                </c:pt>
                <c:pt idx="335">
                  <c:v>1730</c:v>
                </c:pt>
                <c:pt idx="336">
                  <c:v>1730</c:v>
                </c:pt>
                <c:pt idx="337">
                  <c:v>1730</c:v>
                </c:pt>
                <c:pt idx="338">
                  <c:v>1730</c:v>
                </c:pt>
                <c:pt idx="339">
                  <c:v>1730</c:v>
                </c:pt>
              </c:numCache>
            </c:numRef>
          </c:val>
          <c:smooth val="0"/>
        </c:ser>
        <c:dLbls>
          <c:showLegendKey val="0"/>
          <c:showVal val="0"/>
          <c:showCatName val="0"/>
          <c:showSerName val="0"/>
          <c:showPercent val="0"/>
          <c:showBubbleSize val="0"/>
        </c:dLbls>
        <c:marker val="1"/>
        <c:smooth val="0"/>
        <c:axId val="92615808"/>
        <c:axId val="92617344"/>
      </c:lineChart>
      <c:dateAx>
        <c:axId val="92615808"/>
        <c:scaling>
          <c:orientation val="minMax"/>
        </c:scaling>
        <c:delete val="0"/>
        <c:axPos val="b"/>
        <c:numFmt formatCode="yyyy\-mm\-dd;@" sourceLinked="1"/>
        <c:majorTickMark val="out"/>
        <c:minorTickMark val="none"/>
        <c:tickLblPos val="nextTo"/>
        <c:txPr>
          <a:bodyPr rot="5400000" vert="horz"/>
          <a:lstStyle/>
          <a:p>
            <a:pPr>
              <a:defRPr/>
            </a:pPr>
            <a:endParaRPr lang="zh-CN"/>
          </a:p>
        </c:txPr>
        <c:crossAx val="92617344"/>
        <c:crosses val="autoZero"/>
        <c:auto val="1"/>
        <c:lblOffset val="100"/>
        <c:baseTimeUnit val="days"/>
      </c:dateAx>
      <c:valAx>
        <c:axId val="92617344"/>
        <c:scaling>
          <c:orientation val="minMax"/>
        </c:scaling>
        <c:delete val="0"/>
        <c:axPos val="l"/>
        <c:numFmt formatCode="###,###,###,###,##0.00" sourceLinked="1"/>
        <c:majorTickMark val="out"/>
        <c:minorTickMark val="none"/>
        <c:tickLblPos val="nextTo"/>
        <c:crossAx val="92615808"/>
        <c:crosses val="autoZero"/>
        <c:crossBetween val="between"/>
      </c:valAx>
    </c:plotArea>
    <c:legend>
      <c:legendPos val="b"/>
      <c:layout>
        <c:manualLayout>
          <c:xMode val="edge"/>
          <c:yMode val="edge"/>
          <c:x val="0.17680008748906398"/>
          <c:y val="0.91211522739985373"/>
          <c:w val="0.64639982502187299"/>
          <c:h val="8.788477260014628E-2"/>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37751531058613"/>
          <c:y val="2.8252405949256338E-2"/>
          <c:w val="0.78095341207349145"/>
          <c:h val="0.69207385535141464"/>
        </c:manualLayout>
      </c:layout>
      <c:barChart>
        <c:barDir val="col"/>
        <c:grouping val="clustered"/>
        <c:varyColors val="0"/>
        <c:ser>
          <c:idx val="0"/>
          <c:order val="0"/>
          <c:tx>
            <c:v>我国家具月产量（万件）</c:v>
          </c:tx>
          <c:spPr>
            <a:solidFill>
              <a:srgbClr val="A19779"/>
            </a:solidFill>
            <a:ln>
              <a:solidFill>
                <a:srgbClr val="A19779"/>
              </a:solidFill>
            </a:ln>
          </c:spPr>
          <c:invertIfNegative val="0"/>
          <c:cat>
            <c:numRef>
              <c:f>家具!$A$13:$A$106</c:f>
              <c:numCache>
                <c:formatCode>yyyy\-mm;@</c:formatCode>
                <c:ptCount val="94"/>
                <c:pt idx="0">
                  <c:v>41912</c:v>
                </c:pt>
                <c:pt idx="1">
                  <c:v>41882</c:v>
                </c:pt>
                <c:pt idx="2">
                  <c:v>41851</c:v>
                </c:pt>
                <c:pt idx="3">
                  <c:v>41820</c:v>
                </c:pt>
                <c:pt idx="4">
                  <c:v>41790</c:v>
                </c:pt>
                <c:pt idx="5">
                  <c:v>41759</c:v>
                </c:pt>
                <c:pt idx="6">
                  <c:v>41729</c:v>
                </c:pt>
                <c:pt idx="7">
                  <c:v>41639</c:v>
                </c:pt>
                <c:pt idx="8">
                  <c:v>41608</c:v>
                </c:pt>
                <c:pt idx="9">
                  <c:v>41578</c:v>
                </c:pt>
                <c:pt idx="10">
                  <c:v>41547</c:v>
                </c:pt>
                <c:pt idx="11">
                  <c:v>41517</c:v>
                </c:pt>
                <c:pt idx="12">
                  <c:v>41486</c:v>
                </c:pt>
                <c:pt idx="13">
                  <c:v>41455</c:v>
                </c:pt>
                <c:pt idx="14">
                  <c:v>41425</c:v>
                </c:pt>
                <c:pt idx="15">
                  <c:v>41394</c:v>
                </c:pt>
                <c:pt idx="16">
                  <c:v>41364</c:v>
                </c:pt>
                <c:pt idx="17">
                  <c:v>41333</c:v>
                </c:pt>
                <c:pt idx="18">
                  <c:v>41305</c:v>
                </c:pt>
                <c:pt idx="19">
                  <c:v>41274</c:v>
                </c:pt>
                <c:pt idx="20">
                  <c:v>41243</c:v>
                </c:pt>
                <c:pt idx="21">
                  <c:v>41213</c:v>
                </c:pt>
                <c:pt idx="22">
                  <c:v>41182</c:v>
                </c:pt>
                <c:pt idx="23">
                  <c:v>41152</c:v>
                </c:pt>
                <c:pt idx="24">
                  <c:v>41121</c:v>
                </c:pt>
                <c:pt idx="25">
                  <c:v>41090</c:v>
                </c:pt>
                <c:pt idx="26">
                  <c:v>41060</c:v>
                </c:pt>
                <c:pt idx="27">
                  <c:v>41029</c:v>
                </c:pt>
                <c:pt idx="28">
                  <c:v>40999</c:v>
                </c:pt>
                <c:pt idx="29">
                  <c:v>40968</c:v>
                </c:pt>
                <c:pt idx="30">
                  <c:v>40939</c:v>
                </c:pt>
                <c:pt idx="31">
                  <c:v>40908</c:v>
                </c:pt>
                <c:pt idx="32">
                  <c:v>40877</c:v>
                </c:pt>
                <c:pt idx="33">
                  <c:v>40847</c:v>
                </c:pt>
                <c:pt idx="34">
                  <c:v>40816</c:v>
                </c:pt>
                <c:pt idx="35">
                  <c:v>40786</c:v>
                </c:pt>
                <c:pt idx="36">
                  <c:v>40755</c:v>
                </c:pt>
                <c:pt idx="37">
                  <c:v>40724</c:v>
                </c:pt>
                <c:pt idx="38">
                  <c:v>40694</c:v>
                </c:pt>
                <c:pt idx="39">
                  <c:v>40663</c:v>
                </c:pt>
                <c:pt idx="40">
                  <c:v>40633</c:v>
                </c:pt>
                <c:pt idx="41">
                  <c:v>40602</c:v>
                </c:pt>
                <c:pt idx="42">
                  <c:v>40574</c:v>
                </c:pt>
                <c:pt idx="43">
                  <c:v>40543</c:v>
                </c:pt>
                <c:pt idx="44">
                  <c:v>40512</c:v>
                </c:pt>
                <c:pt idx="45">
                  <c:v>40482</c:v>
                </c:pt>
                <c:pt idx="46">
                  <c:v>40451</c:v>
                </c:pt>
                <c:pt idx="47">
                  <c:v>40421</c:v>
                </c:pt>
                <c:pt idx="48">
                  <c:v>40390</c:v>
                </c:pt>
                <c:pt idx="49">
                  <c:v>40359</c:v>
                </c:pt>
                <c:pt idx="50">
                  <c:v>40329</c:v>
                </c:pt>
                <c:pt idx="51">
                  <c:v>40298</c:v>
                </c:pt>
                <c:pt idx="52">
                  <c:v>40268</c:v>
                </c:pt>
                <c:pt idx="53">
                  <c:v>40237</c:v>
                </c:pt>
                <c:pt idx="54">
                  <c:v>40209</c:v>
                </c:pt>
                <c:pt idx="55">
                  <c:v>40178</c:v>
                </c:pt>
                <c:pt idx="56">
                  <c:v>40147</c:v>
                </c:pt>
                <c:pt idx="57">
                  <c:v>40117</c:v>
                </c:pt>
                <c:pt idx="58">
                  <c:v>40086</c:v>
                </c:pt>
                <c:pt idx="59">
                  <c:v>40056</c:v>
                </c:pt>
                <c:pt idx="60">
                  <c:v>40025</c:v>
                </c:pt>
                <c:pt idx="61">
                  <c:v>39994</c:v>
                </c:pt>
                <c:pt idx="62">
                  <c:v>39964</c:v>
                </c:pt>
                <c:pt idx="63">
                  <c:v>39933</c:v>
                </c:pt>
                <c:pt idx="64">
                  <c:v>39903</c:v>
                </c:pt>
                <c:pt idx="65">
                  <c:v>39872</c:v>
                </c:pt>
                <c:pt idx="66">
                  <c:v>39844</c:v>
                </c:pt>
                <c:pt idx="67">
                  <c:v>39813</c:v>
                </c:pt>
                <c:pt idx="68">
                  <c:v>39782</c:v>
                </c:pt>
                <c:pt idx="69">
                  <c:v>39752</c:v>
                </c:pt>
                <c:pt idx="70">
                  <c:v>39721</c:v>
                </c:pt>
                <c:pt idx="71">
                  <c:v>39691</c:v>
                </c:pt>
                <c:pt idx="72">
                  <c:v>39660</c:v>
                </c:pt>
                <c:pt idx="73">
                  <c:v>39629</c:v>
                </c:pt>
                <c:pt idx="74">
                  <c:v>39599</c:v>
                </c:pt>
                <c:pt idx="75">
                  <c:v>39568</c:v>
                </c:pt>
                <c:pt idx="76">
                  <c:v>39538</c:v>
                </c:pt>
                <c:pt idx="77">
                  <c:v>39507</c:v>
                </c:pt>
                <c:pt idx="78">
                  <c:v>39478</c:v>
                </c:pt>
                <c:pt idx="79">
                  <c:v>39447</c:v>
                </c:pt>
                <c:pt idx="80">
                  <c:v>39416</c:v>
                </c:pt>
                <c:pt idx="81">
                  <c:v>39386</c:v>
                </c:pt>
                <c:pt idx="82">
                  <c:v>39355</c:v>
                </c:pt>
                <c:pt idx="83">
                  <c:v>39325</c:v>
                </c:pt>
                <c:pt idx="84">
                  <c:v>39294</c:v>
                </c:pt>
                <c:pt idx="85">
                  <c:v>39263</c:v>
                </c:pt>
                <c:pt idx="86">
                  <c:v>39233</c:v>
                </c:pt>
                <c:pt idx="87">
                  <c:v>39202</c:v>
                </c:pt>
                <c:pt idx="88">
                  <c:v>39172</c:v>
                </c:pt>
                <c:pt idx="89">
                  <c:v>39141</c:v>
                </c:pt>
                <c:pt idx="90">
                  <c:v>39113</c:v>
                </c:pt>
                <c:pt idx="91">
                  <c:v>39082</c:v>
                </c:pt>
                <c:pt idx="92">
                  <c:v>39051</c:v>
                </c:pt>
                <c:pt idx="93">
                  <c:v>39021</c:v>
                </c:pt>
              </c:numCache>
            </c:numRef>
          </c:cat>
          <c:val>
            <c:numRef>
              <c:f>家具!$B$13:$B$106</c:f>
              <c:numCache>
                <c:formatCode>###,###,###,###,##0.00</c:formatCode>
                <c:ptCount val="94"/>
                <c:pt idx="0">
                  <c:v>6367.4</c:v>
                </c:pt>
                <c:pt idx="1">
                  <c:v>6165.51</c:v>
                </c:pt>
                <c:pt idx="2">
                  <c:v>5916.5</c:v>
                </c:pt>
                <c:pt idx="3">
                  <c:v>6596.25</c:v>
                </c:pt>
                <c:pt idx="4">
                  <c:v>6253.64</c:v>
                </c:pt>
                <c:pt idx="5">
                  <c:v>5707.32</c:v>
                </c:pt>
                <c:pt idx="6">
                  <c:v>6114.43</c:v>
                </c:pt>
                <c:pt idx="7">
                  <c:v>6677.35</c:v>
                </c:pt>
                <c:pt idx="8">
                  <c:v>6151.41</c:v>
                </c:pt>
                <c:pt idx="9">
                  <c:v>5467.78</c:v>
                </c:pt>
                <c:pt idx="10">
                  <c:v>5315.97</c:v>
                </c:pt>
                <c:pt idx="11">
                  <c:v>4914.21</c:v>
                </c:pt>
                <c:pt idx="12">
                  <c:v>4821.6899999999996</c:v>
                </c:pt>
                <c:pt idx="13">
                  <c:v>5370.8</c:v>
                </c:pt>
                <c:pt idx="14">
                  <c:v>5210.8999999999996</c:v>
                </c:pt>
                <c:pt idx="15">
                  <c:v>5490.47</c:v>
                </c:pt>
                <c:pt idx="16">
                  <c:v>5726.24</c:v>
                </c:pt>
                <c:pt idx="17">
                  <c:v>4146.8</c:v>
                </c:pt>
                <c:pt idx="18">
                  <c:v>5230.1000000000004</c:v>
                </c:pt>
                <c:pt idx="19">
                  <c:v>6381.62</c:v>
                </c:pt>
                <c:pt idx="20">
                  <c:v>5817.13</c:v>
                </c:pt>
                <c:pt idx="21">
                  <c:v>5340.56</c:v>
                </c:pt>
                <c:pt idx="22">
                  <c:v>5126.93</c:v>
                </c:pt>
                <c:pt idx="23">
                  <c:v>5127</c:v>
                </c:pt>
                <c:pt idx="24">
                  <c:v>4972</c:v>
                </c:pt>
                <c:pt idx="25">
                  <c:v>5537.5</c:v>
                </c:pt>
                <c:pt idx="26">
                  <c:v>5232.7</c:v>
                </c:pt>
                <c:pt idx="27">
                  <c:v>5553.5</c:v>
                </c:pt>
                <c:pt idx="28">
                  <c:v>6084.7</c:v>
                </c:pt>
                <c:pt idx="29">
                  <c:v>5287</c:v>
                </c:pt>
                <c:pt idx="30">
                  <c:v>5405.94</c:v>
                </c:pt>
                <c:pt idx="31">
                  <c:v>7033.9</c:v>
                </c:pt>
                <c:pt idx="32">
                  <c:v>6678.3</c:v>
                </c:pt>
                <c:pt idx="33">
                  <c:v>6097.3</c:v>
                </c:pt>
                <c:pt idx="34">
                  <c:v>5700.6</c:v>
                </c:pt>
                <c:pt idx="35">
                  <c:v>5755.5</c:v>
                </c:pt>
                <c:pt idx="36">
                  <c:v>5303.3</c:v>
                </c:pt>
                <c:pt idx="37">
                  <c:v>6106.1</c:v>
                </c:pt>
                <c:pt idx="38">
                  <c:v>5833.6</c:v>
                </c:pt>
                <c:pt idx="39">
                  <c:v>5763.2</c:v>
                </c:pt>
                <c:pt idx="40">
                  <c:v>5459.9</c:v>
                </c:pt>
                <c:pt idx="41">
                  <c:v>4907.3</c:v>
                </c:pt>
                <c:pt idx="42">
                  <c:v>6039.89</c:v>
                </c:pt>
                <c:pt idx="43">
                  <c:v>8252.1</c:v>
                </c:pt>
                <c:pt idx="44">
                  <c:v>7110</c:v>
                </c:pt>
                <c:pt idx="45">
                  <c:v>6756.6</c:v>
                </c:pt>
                <c:pt idx="46">
                  <c:v>7000.53</c:v>
                </c:pt>
                <c:pt idx="47">
                  <c:v>6240.3</c:v>
                </c:pt>
                <c:pt idx="48">
                  <c:v>6143.2</c:v>
                </c:pt>
                <c:pt idx="49">
                  <c:v>6572.3</c:v>
                </c:pt>
                <c:pt idx="50">
                  <c:v>6323</c:v>
                </c:pt>
                <c:pt idx="51">
                  <c:v>6285.3</c:v>
                </c:pt>
                <c:pt idx="52">
                  <c:v>5693.1</c:v>
                </c:pt>
                <c:pt idx="53">
                  <c:v>4568.5</c:v>
                </c:pt>
                <c:pt idx="54">
                  <c:v>5078.34</c:v>
                </c:pt>
                <c:pt idx="55">
                  <c:v>6435.8</c:v>
                </c:pt>
                <c:pt idx="56">
                  <c:v>5813.6</c:v>
                </c:pt>
                <c:pt idx="57">
                  <c:v>5098.3999999999996</c:v>
                </c:pt>
                <c:pt idx="58">
                  <c:v>5138.3999999999996</c:v>
                </c:pt>
                <c:pt idx="59">
                  <c:v>4624.7</c:v>
                </c:pt>
                <c:pt idx="60">
                  <c:v>4510.1000000000004</c:v>
                </c:pt>
                <c:pt idx="61">
                  <c:v>5037</c:v>
                </c:pt>
                <c:pt idx="62">
                  <c:v>4779.2</c:v>
                </c:pt>
                <c:pt idx="63">
                  <c:v>4890.8999999999996</c:v>
                </c:pt>
                <c:pt idx="64">
                  <c:v>5321.6</c:v>
                </c:pt>
                <c:pt idx="65">
                  <c:v>4436.8999999999996</c:v>
                </c:pt>
                <c:pt idx="66">
                  <c:v>3886.7</c:v>
                </c:pt>
                <c:pt idx="67">
                  <c:v>4688.8999999999996</c:v>
                </c:pt>
                <c:pt idx="68">
                  <c:v>4193.6000000000004</c:v>
                </c:pt>
                <c:pt idx="69">
                  <c:v>4191.6000000000004</c:v>
                </c:pt>
                <c:pt idx="70">
                  <c:v>4123.93</c:v>
                </c:pt>
                <c:pt idx="71">
                  <c:v>4102.25</c:v>
                </c:pt>
                <c:pt idx="72">
                  <c:v>3873.37</c:v>
                </c:pt>
                <c:pt idx="73">
                  <c:v>5489.42</c:v>
                </c:pt>
                <c:pt idx="74">
                  <c:v>4286.58</c:v>
                </c:pt>
                <c:pt idx="75">
                  <c:v>4294.53</c:v>
                </c:pt>
                <c:pt idx="76">
                  <c:v>4575.8</c:v>
                </c:pt>
                <c:pt idx="77">
                  <c:v>3924.41</c:v>
                </c:pt>
                <c:pt idx="78">
                  <c:v>4510.1400000000003</c:v>
                </c:pt>
                <c:pt idx="79">
                  <c:v>4956.88</c:v>
                </c:pt>
                <c:pt idx="80">
                  <c:v>4320.67</c:v>
                </c:pt>
                <c:pt idx="81">
                  <c:v>3822.77</c:v>
                </c:pt>
                <c:pt idx="82">
                  <c:v>3807.51</c:v>
                </c:pt>
                <c:pt idx="83">
                  <c:v>3756.33</c:v>
                </c:pt>
                <c:pt idx="84">
                  <c:v>3896.4</c:v>
                </c:pt>
                <c:pt idx="85">
                  <c:v>4201.6000000000004</c:v>
                </c:pt>
                <c:pt idx="86">
                  <c:v>4358.3999999999996</c:v>
                </c:pt>
                <c:pt idx="87">
                  <c:v>3830.69</c:v>
                </c:pt>
                <c:pt idx="88">
                  <c:v>3822.53</c:v>
                </c:pt>
                <c:pt idx="89">
                  <c:v>3241.72</c:v>
                </c:pt>
                <c:pt idx="90">
                  <c:v>3754.49</c:v>
                </c:pt>
                <c:pt idx="91">
                  <c:v>4046.02</c:v>
                </c:pt>
                <c:pt idx="92">
                  <c:v>3507.55</c:v>
                </c:pt>
                <c:pt idx="93">
                  <c:v>3373.71</c:v>
                </c:pt>
              </c:numCache>
            </c:numRef>
          </c:val>
        </c:ser>
        <c:dLbls>
          <c:showLegendKey val="0"/>
          <c:showVal val="0"/>
          <c:showCatName val="0"/>
          <c:showSerName val="0"/>
          <c:showPercent val="0"/>
          <c:showBubbleSize val="0"/>
        </c:dLbls>
        <c:gapWidth val="150"/>
        <c:axId val="92673920"/>
        <c:axId val="92675456"/>
      </c:barChart>
      <c:lineChart>
        <c:grouping val="standard"/>
        <c:varyColors val="0"/>
        <c:ser>
          <c:idx val="1"/>
          <c:order val="1"/>
          <c:tx>
            <c:v>同比（%）</c:v>
          </c:tx>
          <c:spPr>
            <a:ln>
              <a:solidFill>
                <a:srgbClr val="AA0911"/>
              </a:solidFill>
            </a:ln>
          </c:spPr>
          <c:marker>
            <c:symbol val="none"/>
          </c:marker>
          <c:cat>
            <c:numRef>
              <c:f>家具!$A$13:$A$106</c:f>
              <c:numCache>
                <c:formatCode>yyyy\-mm;@</c:formatCode>
                <c:ptCount val="94"/>
                <c:pt idx="0">
                  <c:v>41912</c:v>
                </c:pt>
                <c:pt idx="1">
                  <c:v>41882</c:v>
                </c:pt>
                <c:pt idx="2">
                  <c:v>41851</c:v>
                </c:pt>
                <c:pt idx="3">
                  <c:v>41820</c:v>
                </c:pt>
                <c:pt idx="4">
                  <c:v>41790</c:v>
                </c:pt>
                <c:pt idx="5">
                  <c:v>41759</c:v>
                </c:pt>
                <c:pt idx="6">
                  <c:v>41729</c:v>
                </c:pt>
                <c:pt idx="7">
                  <c:v>41639</c:v>
                </c:pt>
                <c:pt idx="8">
                  <c:v>41608</c:v>
                </c:pt>
                <c:pt idx="9">
                  <c:v>41578</c:v>
                </c:pt>
                <c:pt idx="10">
                  <c:v>41547</c:v>
                </c:pt>
                <c:pt idx="11">
                  <c:v>41517</c:v>
                </c:pt>
                <c:pt idx="12">
                  <c:v>41486</c:v>
                </c:pt>
                <c:pt idx="13">
                  <c:v>41455</c:v>
                </c:pt>
                <c:pt idx="14">
                  <c:v>41425</c:v>
                </c:pt>
                <c:pt idx="15">
                  <c:v>41394</c:v>
                </c:pt>
                <c:pt idx="16">
                  <c:v>41364</c:v>
                </c:pt>
                <c:pt idx="17">
                  <c:v>41333</c:v>
                </c:pt>
                <c:pt idx="18">
                  <c:v>41305</c:v>
                </c:pt>
                <c:pt idx="19">
                  <c:v>41274</c:v>
                </c:pt>
                <c:pt idx="20">
                  <c:v>41243</c:v>
                </c:pt>
                <c:pt idx="21">
                  <c:v>41213</c:v>
                </c:pt>
                <c:pt idx="22">
                  <c:v>41182</c:v>
                </c:pt>
                <c:pt idx="23">
                  <c:v>41152</c:v>
                </c:pt>
                <c:pt idx="24">
                  <c:v>41121</c:v>
                </c:pt>
                <c:pt idx="25">
                  <c:v>41090</c:v>
                </c:pt>
                <c:pt idx="26">
                  <c:v>41060</c:v>
                </c:pt>
                <c:pt idx="27">
                  <c:v>41029</c:v>
                </c:pt>
                <c:pt idx="28">
                  <c:v>40999</c:v>
                </c:pt>
                <c:pt idx="29">
                  <c:v>40968</c:v>
                </c:pt>
                <c:pt idx="30">
                  <c:v>40939</c:v>
                </c:pt>
                <c:pt idx="31">
                  <c:v>40908</c:v>
                </c:pt>
                <c:pt idx="32">
                  <c:v>40877</c:v>
                </c:pt>
                <c:pt idx="33">
                  <c:v>40847</c:v>
                </c:pt>
                <c:pt idx="34">
                  <c:v>40816</c:v>
                </c:pt>
                <c:pt idx="35">
                  <c:v>40786</c:v>
                </c:pt>
                <c:pt idx="36">
                  <c:v>40755</c:v>
                </c:pt>
                <c:pt idx="37">
                  <c:v>40724</c:v>
                </c:pt>
                <c:pt idx="38">
                  <c:v>40694</c:v>
                </c:pt>
                <c:pt idx="39">
                  <c:v>40663</c:v>
                </c:pt>
                <c:pt idx="40">
                  <c:v>40633</c:v>
                </c:pt>
                <c:pt idx="41">
                  <c:v>40602</c:v>
                </c:pt>
                <c:pt idx="42">
                  <c:v>40574</c:v>
                </c:pt>
                <c:pt idx="43">
                  <c:v>40543</c:v>
                </c:pt>
                <c:pt idx="44">
                  <c:v>40512</c:v>
                </c:pt>
                <c:pt idx="45">
                  <c:v>40482</c:v>
                </c:pt>
                <c:pt idx="46">
                  <c:v>40451</c:v>
                </c:pt>
                <c:pt idx="47">
                  <c:v>40421</c:v>
                </c:pt>
                <c:pt idx="48">
                  <c:v>40390</c:v>
                </c:pt>
                <c:pt idx="49">
                  <c:v>40359</c:v>
                </c:pt>
                <c:pt idx="50">
                  <c:v>40329</c:v>
                </c:pt>
                <c:pt idx="51">
                  <c:v>40298</c:v>
                </c:pt>
                <c:pt idx="52">
                  <c:v>40268</c:v>
                </c:pt>
                <c:pt idx="53">
                  <c:v>40237</c:v>
                </c:pt>
                <c:pt idx="54">
                  <c:v>40209</c:v>
                </c:pt>
                <c:pt idx="55">
                  <c:v>40178</c:v>
                </c:pt>
                <c:pt idx="56">
                  <c:v>40147</c:v>
                </c:pt>
                <c:pt idx="57">
                  <c:v>40117</c:v>
                </c:pt>
                <c:pt idx="58">
                  <c:v>40086</c:v>
                </c:pt>
                <c:pt idx="59">
                  <c:v>40056</c:v>
                </c:pt>
                <c:pt idx="60">
                  <c:v>40025</c:v>
                </c:pt>
                <c:pt idx="61">
                  <c:v>39994</c:v>
                </c:pt>
                <c:pt idx="62">
                  <c:v>39964</c:v>
                </c:pt>
                <c:pt idx="63">
                  <c:v>39933</c:v>
                </c:pt>
                <c:pt idx="64">
                  <c:v>39903</c:v>
                </c:pt>
                <c:pt idx="65">
                  <c:v>39872</c:v>
                </c:pt>
                <c:pt idx="66">
                  <c:v>39844</c:v>
                </c:pt>
                <c:pt idx="67">
                  <c:v>39813</c:v>
                </c:pt>
                <c:pt idx="68">
                  <c:v>39782</c:v>
                </c:pt>
                <c:pt idx="69">
                  <c:v>39752</c:v>
                </c:pt>
                <c:pt idx="70">
                  <c:v>39721</c:v>
                </c:pt>
                <c:pt idx="71">
                  <c:v>39691</c:v>
                </c:pt>
                <c:pt idx="72">
                  <c:v>39660</c:v>
                </c:pt>
                <c:pt idx="73">
                  <c:v>39629</c:v>
                </c:pt>
                <c:pt idx="74">
                  <c:v>39599</c:v>
                </c:pt>
                <c:pt idx="75">
                  <c:v>39568</c:v>
                </c:pt>
                <c:pt idx="76">
                  <c:v>39538</c:v>
                </c:pt>
                <c:pt idx="77">
                  <c:v>39507</c:v>
                </c:pt>
                <c:pt idx="78">
                  <c:v>39478</c:v>
                </c:pt>
                <c:pt idx="79">
                  <c:v>39447</c:v>
                </c:pt>
                <c:pt idx="80">
                  <c:v>39416</c:v>
                </c:pt>
                <c:pt idx="81">
                  <c:v>39386</c:v>
                </c:pt>
                <c:pt idx="82">
                  <c:v>39355</c:v>
                </c:pt>
                <c:pt idx="83">
                  <c:v>39325</c:v>
                </c:pt>
                <c:pt idx="84">
                  <c:v>39294</c:v>
                </c:pt>
                <c:pt idx="85">
                  <c:v>39263</c:v>
                </c:pt>
                <c:pt idx="86">
                  <c:v>39233</c:v>
                </c:pt>
                <c:pt idx="87">
                  <c:v>39202</c:v>
                </c:pt>
                <c:pt idx="88">
                  <c:v>39172</c:v>
                </c:pt>
                <c:pt idx="89">
                  <c:v>39141</c:v>
                </c:pt>
                <c:pt idx="90">
                  <c:v>39113</c:v>
                </c:pt>
                <c:pt idx="91">
                  <c:v>39082</c:v>
                </c:pt>
                <c:pt idx="92">
                  <c:v>39051</c:v>
                </c:pt>
                <c:pt idx="93">
                  <c:v>39021</c:v>
                </c:pt>
              </c:numCache>
            </c:numRef>
          </c:cat>
          <c:val>
            <c:numRef>
              <c:f>家具!$C$13:$C$106</c:f>
              <c:numCache>
                <c:formatCode>###,###,###,###,##0.00</c:formatCode>
                <c:ptCount val="94"/>
                <c:pt idx="0">
                  <c:v>2.46</c:v>
                </c:pt>
                <c:pt idx="1">
                  <c:v>5.98</c:v>
                </c:pt>
                <c:pt idx="2">
                  <c:v>3.74</c:v>
                </c:pt>
                <c:pt idx="3">
                  <c:v>5.34</c:v>
                </c:pt>
                <c:pt idx="4">
                  <c:v>5.92</c:v>
                </c:pt>
                <c:pt idx="5">
                  <c:v>0.19</c:v>
                </c:pt>
                <c:pt idx="6">
                  <c:v>4.47</c:v>
                </c:pt>
                <c:pt idx="7">
                  <c:v>-0.17</c:v>
                </c:pt>
                <c:pt idx="8">
                  <c:v>2.0299999999999998</c:v>
                </c:pt>
                <c:pt idx="9">
                  <c:v>-2.5</c:v>
                </c:pt>
                <c:pt idx="10">
                  <c:v>-1.26</c:v>
                </c:pt>
                <c:pt idx="11">
                  <c:v>-6.38</c:v>
                </c:pt>
                <c:pt idx="12">
                  <c:v>-6.75</c:v>
                </c:pt>
                <c:pt idx="13">
                  <c:v>-5.35</c:v>
                </c:pt>
                <c:pt idx="14">
                  <c:v>-3.77</c:v>
                </c:pt>
                <c:pt idx="15">
                  <c:v>-3.86</c:v>
                </c:pt>
                <c:pt idx="16">
                  <c:v>-8.3800000000000008</c:v>
                </c:pt>
                <c:pt idx="17">
                  <c:v>-19.600000000000001</c:v>
                </c:pt>
                <c:pt idx="18">
                  <c:v>-2.11</c:v>
                </c:pt>
                <c:pt idx="19">
                  <c:v>-4.9000000000000004</c:v>
                </c:pt>
                <c:pt idx="20">
                  <c:v>-3.19</c:v>
                </c:pt>
                <c:pt idx="21">
                  <c:v>-8.84</c:v>
                </c:pt>
                <c:pt idx="22">
                  <c:v>-7.51</c:v>
                </c:pt>
                <c:pt idx="23">
                  <c:v>-9.6999999999999993</c:v>
                </c:pt>
                <c:pt idx="24">
                  <c:v>-5</c:v>
                </c:pt>
                <c:pt idx="25">
                  <c:v>-3.3</c:v>
                </c:pt>
                <c:pt idx="26">
                  <c:v>-3</c:v>
                </c:pt>
                <c:pt idx="27">
                  <c:v>3.1</c:v>
                </c:pt>
                <c:pt idx="28">
                  <c:v>14.9</c:v>
                </c:pt>
                <c:pt idx="29">
                  <c:v>11</c:v>
                </c:pt>
                <c:pt idx="30">
                  <c:v>-2.96</c:v>
                </c:pt>
                <c:pt idx="31">
                  <c:v>3.2</c:v>
                </c:pt>
                <c:pt idx="32">
                  <c:v>13.7</c:v>
                </c:pt>
                <c:pt idx="33">
                  <c:v>12.2</c:v>
                </c:pt>
                <c:pt idx="34">
                  <c:v>4.7</c:v>
                </c:pt>
                <c:pt idx="35">
                  <c:v>8.4</c:v>
                </c:pt>
                <c:pt idx="36">
                  <c:v>5.3</c:v>
                </c:pt>
                <c:pt idx="37">
                  <c:v>5.3</c:v>
                </c:pt>
                <c:pt idx="38">
                  <c:v>3.7</c:v>
                </c:pt>
                <c:pt idx="39">
                  <c:v>0.6</c:v>
                </c:pt>
                <c:pt idx="40">
                  <c:v>5.2</c:v>
                </c:pt>
                <c:pt idx="41">
                  <c:v>19.899999999999999</c:v>
                </c:pt>
                <c:pt idx="42">
                  <c:v>25.92</c:v>
                </c:pt>
                <c:pt idx="43">
                  <c:v>24.9</c:v>
                </c:pt>
                <c:pt idx="44">
                  <c:v>23.1</c:v>
                </c:pt>
                <c:pt idx="45">
                  <c:v>34.9</c:v>
                </c:pt>
                <c:pt idx="46">
                  <c:v>37.97</c:v>
                </c:pt>
                <c:pt idx="47">
                  <c:v>37.200000000000003</c:v>
                </c:pt>
                <c:pt idx="48">
                  <c:v>35.299999999999997</c:v>
                </c:pt>
                <c:pt idx="49">
                  <c:v>33.5</c:v>
                </c:pt>
                <c:pt idx="50">
                  <c:v>35.200000000000003</c:v>
                </c:pt>
                <c:pt idx="51">
                  <c:v>30.4</c:v>
                </c:pt>
                <c:pt idx="52">
                  <c:v>18.3</c:v>
                </c:pt>
                <c:pt idx="53">
                  <c:v>9.9</c:v>
                </c:pt>
                <c:pt idx="54">
                  <c:v>23.92</c:v>
                </c:pt>
                <c:pt idx="55">
                  <c:v>16.899999999999999</c:v>
                </c:pt>
                <c:pt idx="56">
                  <c:v>21.6</c:v>
                </c:pt>
                <c:pt idx="57">
                  <c:v>9.3000000000000007</c:v>
                </c:pt>
                <c:pt idx="58">
                  <c:v>6.6</c:v>
                </c:pt>
                <c:pt idx="59">
                  <c:v>3.2</c:v>
                </c:pt>
                <c:pt idx="60">
                  <c:v>6.6</c:v>
                </c:pt>
                <c:pt idx="61">
                  <c:v>-1.6</c:v>
                </c:pt>
                <c:pt idx="62">
                  <c:v>3.8</c:v>
                </c:pt>
                <c:pt idx="63">
                  <c:v>-0.4</c:v>
                </c:pt>
                <c:pt idx="64">
                  <c:v>-1.6</c:v>
                </c:pt>
                <c:pt idx="65">
                  <c:v>4.3</c:v>
                </c:pt>
                <c:pt idx="66">
                  <c:v>-16.72</c:v>
                </c:pt>
                <c:pt idx="67">
                  <c:v>-13.5</c:v>
                </c:pt>
                <c:pt idx="68">
                  <c:v>-12.4</c:v>
                </c:pt>
                <c:pt idx="69">
                  <c:v>-3.8</c:v>
                </c:pt>
                <c:pt idx="70">
                  <c:v>-0.15</c:v>
                </c:pt>
                <c:pt idx="71">
                  <c:v>-1.1000000000000001</c:v>
                </c:pt>
                <c:pt idx="72">
                  <c:v>-4.4800000000000004</c:v>
                </c:pt>
                <c:pt idx="73">
                  <c:v>23.11</c:v>
                </c:pt>
                <c:pt idx="74">
                  <c:v>-6.18</c:v>
                </c:pt>
                <c:pt idx="75">
                  <c:v>0.51</c:v>
                </c:pt>
                <c:pt idx="76">
                  <c:v>6</c:v>
                </c:pt>
                <c:pt idx="77">
                  <c:v>6.62</c:v>
                </c:pt>
                <c:pt idx="78">
                  <c:v>8.01</c:v>
                </c:pt>
                <c:pt idx="79">
                  <c:v>5.8</c:v>
                </c:pt>
                <c:pt idx="80">
                  <c:v>12.67</c:v>
                </c:pt>
                <c:pt idx="81">
                  <c:v>0.4</c:v>
                </c:pt>
                <c:pt idx="82">
                  <c:v>8.24</c:v>
                </c:pt>
                <c:pt idx="83">
                  <c:v>16.57</c:v>
                </c:pt>
                <c:pt idx="84">
                  <c:v>12.91</c:v>
                </c:pt>
                <c:pt idx="85">
                  <c:v>11.3</c:v>
                </c:pt>
                <c:pt idx="86">
                  <c:v>1.1000000000000001</c:v>
                </c:pt>
                <c:pt idx="87">
                  <c:v>-5.24</c:v>
                </c:pt>
                <c:pt idx="88">
                  <c:v>16</c:v>
                </c:pt>
                <c:pt idx="89">
                  <c:v>-16.059999999999999</c:v>
                </c:pt>
                <c:pt idx="90">
                  <c:v>24.26</c:v>
                </c:pt>
                <c:pt idx="91">
                  <c:v>16.649999999999999</c:v>
                </c:pt>
                <c:pt idx="92">
                  <c:v>6.46</c:v>
                </c:pt>
                <c:pt idx="93">
                  <c:v>14.96</c:v>
                </c:pt>
              </c:numCache>
            </c:numRef>
          </c:val>
          <c:smooth val="0"/>
        </c:ser>
        <c:dLbls>
          <c:showLegendKey val="0"/>
          <c:showVal val="0"/>
          <c:showCatName val="0"/>
          <c:showSerName val="0"/>
          <c:showPercent val="0"/>
          <c:showBubbleSize val="0"/>
        </c:dLbls>
        <c:marker val="1"/>
        <c:smooth val="0"/>
        <c:axId val="92686976"/>
        <c:axId val="92685440"/>
      </c:lineChart>
      <c:dateAx>
        <c:axId val="92673920"/>
        <c:scaling>
          <c:orientation val="minMax"/>
        </c:scaling>
        <c:delete val="0"/>
        <c:axPos val="b"/>
        <c:numFmt formatCode="yyyy\-mm;@" sourceLinked="1"/>
        <c:majorTickMark val="out"/>
        <c:minorTickMark val="none"/>
        <c:tickLblPos val="nextTo"/>
        <c:crossAx val="92675456"/>
        <c:crosses val="autoZero"/>
        <c:auto val="1"/>
        <c:lblOffset val="100"/>
        <c:baseTimeUnit val="months"/>
      </c:dateAx>
      <c:valAx>
        <c:axId val="92675456"/>
        <c:scaling>
          <c:orientation val="minMax"/>
        </c:scaling>
        <c:delete val="0"/>
        <c:axPos val="l"/>
        <c:numFmt formatCode="0_);[Red]\(0\)" sourceLinked="0"/>
        <c:majorTickMark val="out"/>
        <c:minorTickMark val="none"/>
        <c:tickLblPos val="nextTo"/>
        <c:crossAx val="92673920"/>
        <c:crosses val="autoZero"/>
        <c:crossBetween val="between"/>
      </c:valAx>
      <c:valAx>
        <c:axId val="92685440"/>
        <c:scaling>
          <c:orientation val="minMax"/>
        </c:scaling>
        <c:delete val="0"/>
        <c:axPos val="r"/>
        <c:numFmt formatCode="###,###,###,###,##0.00" sourceLinked="1"/>
        <c:majorTickMark val="out"/>
        <c:minorTickMark val="none"/>
        <c:tickLblPos val="nextTo"/>
        <c:crossAx val="92686976"/>
        <c:crosses val="max"/>
        <c:crossBetween val="between"/>
      </c:valAx>
      <c:dateAx>
        <c:axId val="92686976"/>
        <c:scaling>
          <c:orientation val="minMax"/>
        </c:scaling>
        <c:delete val="1"/>
        <c:axPos val="b"/>
        <c:numFmt formatCode="yyyy\-mm;@" sourceLinked="1"/>
        <c:majorTickMark val="out"/>
        <c:minorTickMark val="none"/>
        <c:tickLblPos val="nextTo"/>
        <c:crossAx val="92685440"/>
        <c:crosses val="autoZero"/>
        <c:auto val="1"/>
        <c:lblOffset val="100"/>
        <c:baseTimeUnit val="months"/>
      </c:dateAx>
    </c:plotArea>
    <c:legend>
      <c:legendPos val="b"/>
      <c:layout>
        <c:manualLayout>
          <c:xMode val="edge"/>
          <c:yMode val="edge"/>
          <c:x val="3.6433289588801418E-2"/>
          <c:y val="0.9116531787693205"/>
          <c:w val="0.90189982502187283"/>
          <c:h val="8.3717191601049915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CFD18-2B59-4B8A-9372-92E68007C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16</Pages>
  <Words>1091</Words>
  <Characters>6221</Characters>
  <Application>Microsoft Office Word</Application>
  <DocSecurity>0</DocSecurity>
  <Lines>51</Lines>
  <Paragraphs>14</Paragraphs>
  <ScaleCrop>false</ScaleCrop>
  <Company>SDWM</Company>
  <LinksUpToDate>false</LinksUpToDate>
  <CharactersWithSpaces>7298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SDWM</dc:creator>
  <cp:lastModifiedBy>niu</cp:lastModifiedBy>
  <cp:revision>26</cp:revision>
  <dcterms:created xsi:type="dcterms:W3CDTF">2014-09-05T02:52:00Z</dcterms:created>
  <dcterms:modified xsi:type="dcterms:W3CDTF">2014-11-12T05:50:00Z</dcterms:modified>
</cp:coreProperties>
</file>