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B5C" w:rsidRDefault="008E3298">
      <w:r>
        <w:rPr>
          <w:noProof/>
        </w:rPr>
        <mc:AlternateContent>
          <mc:Choice Requires="wps">
            <w:drawing>
              <wp:anchor distT="0" distB="0" distL="114300" distR="114300" simplePos="0" relativeHeight="251660288" behindDoc="0" locked="0" layoutInCell="1" allowOverlap="1" wp14:anchorId="2A74252A" wp14:editId="44C2792D">
                <wp:simplePos x="0" y="0"/>
                <wp:positionH relativeFrom="column">
                  <wp:posOffset>2687643</wp:posOffset>
                </wp:positionH>
                <wp:positionV relativeFrom="paragraph">
                  <wp:posOffset>61392</wp:posOffset>
                </wp:positionV>
                <wp:extent cx="3157112" cy="42227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112" cy="422275"/>
                        </a:xfrm>
                        <a:prstGeom prst="rect">
                          <a:avLst/>
                        </a:prstGeom>
                        <a:noFill/>
                        <a:ln w="9525">
                          <a:noFill/>
                          <a:miter lim="800000"/>
                          <a:headEnd/>
                          <a:tailEnd/>
                        </a:ln>
                      </wps:spPr>
                      <wps:txbx>
                        <w:txbxContent>
                          <w:p w:rsidR="00392BD9" w:rsidRPr="008E3298" w:rsidRDefault="00392BD9" w:rsidP="008E3298">
                            <w:pPr>
                              <w:ind w:right="560"/>
                              <w:rPr>
                                <w:rFonts w:ascii="黑体" w:eastAsia="黑体" w:hAnsi="黑体"/>
                                <w:b/>
                                <w:sz w:val="20"/>
                              </w:rPr>
                            </w:pPr>
                            <w:r w:rsidRPr="008E3298">
                              <w:rPr>
                                <w:rFonts w:ascii="黑体" w:eastAsia="黑体" w:hAnsi="黑体" w:hint="eastAsia"/>
                                <w:b/>
                                <w:sz w:val="24"/>
                              </w:rPr>
                              <w:t>大商所</w:t>
                            </w:r>
                            <w:r w:rsidR="00366E62">
                              <w:rPr>
                                <w:rFonts w:ascii="黑体" w:eastAsia="黑体" w:hAnsi="黑体" w:hint="eastAsia"/>
                                <w:b/>
                                <w:sz w:val="24"/>
                              </w:rPr>
                              <w:t>十大投研团队评选</w:t>
                            </w:r>
                            <w:r w:rsidR="008A5F79">
                              <w:rPr>
                                <w:rFonts w:ascii="黑体" w:eastAsia="黑体" w:hAnsi="黑体" w:hint="eastAsia"/>
                                <w:b/>
                              </w:rPr>
                              <w:t>2015/</w:t>
                            </w:r>
                            <w:r w:rsidR="00B86FC5">
                              <w:rPr>
                                <w:rFonts w:ascii="黑体" w:eastAsia="黑体" w:hAnsi="黑体" w:hint="eastAsia"/>
                                <w:b/>
                              </w:rPr>
                              <w:t>11</w:t>
                            </w:r>
                            <w:r w:rsidR="008A5F79">
                              <w:rPr>
                                <w:rFonts w:ascii="黑体" w:eastAsia="黑体" w:hAnsi="黑体" w:hint="eastAsia"/>
                                <w:b/>
                              </w:rPr>
                              <w:t>/</w:t>
                            </w:r>
                            <w:r w:rsidR="00811F2A">
                              <w:rPr>
                                <w:rFonts w:ascii="黑体" w:eastAsia="黑体" w:hAnsi="黑体" w:hint="eastAsia"/>
                                <w:b/>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11.65pt;margin-top:4.85pt;width:248.6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" filled="f" stroked="f">
                <v:textbox>
                  <w:txbxContent>
                    <w:p w:rsidR="00392BD9" w:rsidRPr="008E3298" w:rsidRDefault="00392BD9" w:rsidP="008E3298">
                      <w:pPr>
                        <w:ind w:right="560"/>
                        <w:rPr>
                          <w:rFonts w:ascii="黑体" w:eastAsia="黑体" w:hAnsi="黑体"/>
                          <w:b/>
                          <w:sz w:val="20"/>
                        </w:rPr>
                      </w:pPr>
                      <w:r w:rsidRPr="008E3298">
                        <w:rPr>
                          <w:rFonts w:ascii="黑体" w:eastAsia="黑体" w:hAnsi="黑体" w:hint="eastAsia"/>
                          <w:b/>
                          <w:sz w:val="24"/>
                        </w:rPr>
                        <w:t>大</w:t>
                      </w:r>
                      <w:proofErr w:type="gramStart"/>
                      <w:r w:rsidRPr="008E3298">
                        <w:rPr>
                          <w:rFonts w:ascii="黑体" w:eastAsia="黑体" w:hAnsi="黑体" w:hint="eastAsia"/>
                          <w:b/>
                          <w:sz w:val="24"/>
                        </w:rPr>
                        <w:t>商所</w:t>
                      </w:r>
                      <w:r w:rsidR="00366E62">
                        <w:rPr>
                          <w:rFonts w:ascii="黑体" w:eastAsia="黑体" w:hAnsi="黑体" w:hint="eastAsia"/>
                          <w:b/>
                          <w:sz w:val="24"/>
                        </w:rPr>
                        <w:t>十大</w:t>
                      </w:r>
                      <w:proofErr w:type="gramEnd"/>
                      <w:r w:rsidR="00366E62">
                        <w:rPr>
                          <w:rFonts w:ascii="黑体" w:eastAsia="黑体" w:hAnsi="黑体" w:hint="eastAsia"/>
                          <w:b/>
                          <w:sz w:val="24"/>
                        </w:rPr>
                        <w:t>投</w:t>
                      </w:r>
                      <w:proofErr w:type="gramStart"/>
                      <w:r w:rsidR="00366E62">
                        <w:rPr>
                          <w:rFonts w:ascii="黑体" w:eastAsia="黑体" w:hAnsi="黑体" w:hint="eastAsia"/>
                          <w:b/>
                          <w:sz w:val="24"/>
                        </w:rPr>
                        <w:t>研</w:t>
                      </w:r>
                      <w:proofErr w:type="gramEnd"/>
                      <w:r w:rsidR="00366E62">
                        <w:rPr>
                          <w:rFonts w:ascii="黑体" w:eastAsia="黑体" w:hAnsi="黑体" w:hint="eastAsia"/>
                          <w:b/>
                          <w:sz w:val="24"/>
                        </w:rPr>
                        <w:t>团队评选</w:t>
                      </w:r>
                      <w:r w:rsidR="008A5F79">
                        <w:rPr>
                          <w:rFonts w:ascii="黑体" w:eastAsia="黑体" w:hAnsi="黑体" w:hint="eastAsia"/>
                          <w:b/>
                        </w:rPr>
                        <w:t>2015/</w:t>
                      </w:r>
                      <w:r w:rsidR="00B86FC5">
                        <w:rPr>
                          <w:rFonts w:ascii="黑体" w:eastAsia="黑体" w:hAnsi="黑体" w:hint="eastAsia"/>
                          <w:b/>
                        </w:rPr>
                        <w:t>11</w:t>
                      </w:r>
                      <w:r w:rsidR="008A5F79">
                        <w:rPr>
                          <w:rFonts w:ascii="黑体" w:eastAsia="黑体" w:hAnsi="黑体" w:hint="eastAsia"/>
                          <w:b/>
                        </w:rPr>
                        <w:t>/</w:t>
                      </w:r>
                      <w:r w:rsidR="00811F2A">
                        <w:rPr>
                          <w:rFonts w:ascii="黑体" w:eastAsia="黑体" w:hAnsi="黑体" w:hint="eastAsia"/>
                          <w:b/>
                        </w:rPr>
                        <w:t>12</w:t>
                      </w:r>
                    </w:p>
                  </w:txbxContent>
                </v:textbox>
              </v:shape>
            </w:pict>
          </mc:Fallback>
        </mc:AlternateContent>
      </w:r>
      <w:r w:rsidR="00D56339">
        <w:rPr>
          <w:noProof/>
        </w:rPr>
        <mc:AlternateContent>
          <mc:Choice Requires="wps">
            <w:drawing>
              <wp:anchor distT="0" distB="0" distL="114300" distR="114300" simplePos="0" relativeHeight="251673600" behindDoc="0" locked="0" layoutInCell="1" allowOverlap="1" wp14:anchorId="5519CFAE" wp14:editId="5A413494">
                <wp:simplePos x="0" y="0"/>
                <wp:positionH relativeFrom="column">
                  <wp:posOffset>3479429</wp:posOffset>
                </wp:positionH>
                <wp:positionV relativeFrom="paragraph">
                  <wp:posOffset>1475105</wp:posOffset>
                </wp:positionV>
                <wp:extent cx="0" cy="7004050"/>
                <wp:effectExtent l="19050" t="0" r="19050" b="6350"/>
                <wp:wrapNone/>
                <wp:docPr id="11" name="直接连接符 11"/>
                <wp:cNvGraphicFramePr/>
                <a:graphic xmlns:a="http://schemas.openxmlformats.org/drawingml/2006/main">
                  <a:graphicData uri="http://schemas.microsoft.com/office/word/2010/wordprocessingShape">
                    <wps:wsp>
                      <wps:cNvCnPr/>
                      <wps:spPr>
                        <a:xfrm>
                          <a:off x="0" y="0"/>
                          <a:ext cx="0" cy="7004050"/>
                        </a:xfrm>
                        <a:prstGeom prst="line">
                          <a:avLst/>
                        </a:prstGeom>
                        <a:ln w="28575">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接连接符 11"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5pt,116.15pt" to="273.95pt,6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" strokecolor="#c00000" strokeweight="2.25pt">
                <v:stroke dashstyle="3 1"/>
              </v:line>
            </w:pict>
          </mc:Fallback>
        </mc:AlternateContent>
      </w:r>
      <w:r w:rsidR="00D56339">
        <w:rPr>
          <w:noProof/>
        </w:rPr>
        <mc:AlternateContent>
          <mc:Choice Requires="wps">
            <w:drawing>
              <wp:anchor distT="0" distB="0" distL="114300" distR="114300" simplePos="0" relativeHeight="251663360" behindDoc="0" locked="0" layoutInCell="1" allowOverlap="1" wp14:anchorId="128B00F6" wp14:editId="79B0A61F">
                <wp:simplePos x="0" y="0"/>
                <wp:positionH relativeFrom="column">
                  <wp:posOffset>3541142</wp:posOffset>
                </wp:positionH>
                <wp:positionV relativeFrom="paragraph">
                  <wp:posOffset>724619</wp:posOffset>
                </wp:positionV>
                <wp:extent cx="2303253" cy="586105"/>
                <wp:effectExtent l="0" t="0" r="1905" b="4445"/>
                <wp:wrapNone/>
                <wp:docPr id="4" name="矩形 4"/>
                <wp:cNvGraphicFramePr/>
                <a:graphic xmlns:a="http://schemas.openxmlformats.org/drawingml/2006/main">
                  <a:graphicData uri="http://schemas.microsoft.com/office/word/2010/wordprocessingShape">
                    <wps:wsp>
                      <wps:cNvSpPr/>
                      <wps:spPr>
                        <a:xfrm>
                          <a:off x="0" y="0"/>
                          <a:ext cx="2303253" cy="58610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92BD9" w:rsidRPr="003B40F3" w:rsidRDefault="007A3215" w:rsidP="003B40F3">
                            <w:pPr>
                              <w:adjustRightInd w:val="0"/>
                              <w:snapToGrid w:val="0"/>
                              <w:jc w:val="center"/>
                              <w:rPr>
                                <w:rFonts w:ascii="黑体" w:eastAsia="黑体" w:hAnsi="黑体"/>
                                <w:color w:val="C00000"/>
                                <w:sz w:val="24"/>
                              </w:rPr>
                            </w:pPr>
                            <w:r>
                              <w:rPr>
                                <w:rFonts w:ascii="黑体" w:eastAsia="黑体" w:hAnsi="黑体" w:hint="eastAsia"/>
                                <w:color w:val="C00000"/>
                                <w:sz w:val="24"/>
                              </w:rPr>
                              <w:t>策略报告之</w:t>
                            </w:r>
                            <w:r w:rsidR="00811F2A">
                              <w:rPr>
                                <w:rFonts w:ascii="黑体" w:eastAsia="黑体" w:hAnsi="黑体" w:hint="eastAsia"/>
                                <w:color w:val="C00000"/>
                                <w:sz w:val="24"/>
                              </w:rPr>
                              <w:t>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4" o:spid="_x0000_s1027" style="position:absolute;left:0;text-align:left;margin-left:278.85pt;margin-top:57.05pt;width:181.35pt;height:46.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" fillcolor="#fde9d9 [665]" stroked="f" strokeweight="2pt">
                <v:textbox>
                  <w:txbxContent>
                    <w:p w:rsidR="00392BD9" w:rsidRPr="003B40F3" w:rsidRDefault="007A3215" w:rsidP="003B40F3">
                      <w:pPr>
                        <w:adjustRightInd w:val="0"/>
                        <w:snapToGrid w:val="0"/>
                        <w:jc w:val="center"/>
                        <w:rPr>
                          <w:rFonts w:ascii="黑体" w:eastAsia="黑体" w:hAnsi="黑体"/>
                          <w:color w:val="C00000"/>
                          <w:sz w:val="24"/>
                        </w:rPr>
                      </w:pPr>
                      <w:r>
                        <w:rPr>
                          <w:rFonts w:ascii="黑体" w:eastAsia="黑体" w:hAnsi="黑体" w:hint="eastAsia"/>
                          <w:color w:val="C00000"/>
                          <w:sz w:val="24"/>
                        </w:rPr>
                        <w:t>策略报告之</w:t>
                      </w:r>
                      <w:r w:rsidR="00811F2A">
                        <w:rPr>
                          <w:rFonts w:ascii="黑体" w:eastAsia="黑体" w:hAnsi="黑体" w:hint="eastAsia"/>
                          <w:color w:val="C00000"/>
                          <w:sz w:val="24"/>
                        </w:rPr>
                        <w:t>四</w:t>
                      </w:r>
                    </w:p>
                  </w:txbxContent>
                </v:textbox>
              </v:rect>
            </w:pict>
          </mc:Fallback>
        </mc:AlternateContent>
      </w:r>
      <w:r w:rsidR="00D56339">
        <w:rPr>
          <w:noProof/>
        </w:rPr>
        <mc:AlternateContent>
          <mc:Choice Requires="wps">
            <w:drawing>
              <wp:anchor distT="0" distB="0" distL="114300" distR="114300" simplePos="0" relativeHeight="251661312" behindDoc="0" locked="0" layoutInCell="1" allowOverlap="1" wp14:anchorId="08E1DB6A" wp14:editId="5BAB376A">
                <wp:simplePos x="0" y="0"/>
                <wp:positionH relativeFrom="column">
                  <wp:posOffset>-228600</wp:posOffset>
                </wp:positionH>
                <wp:positionV relativeFrom="paragraph">
                  <wp:posOffset>491490</wp:posOffset>
                </wp:positionV>
                <wp:extent cx="5960745" cy="0"/>
                <wp:effectExtent l="0" t="19050" r="1905" b="19050"/>
                <wp:wrapNone/>
                <wp:docPr id="2" name="直接连接符 2"/>
                <wp:cNvGraphicFramePr/>
                <a:graphic xmlns:a="http://schemas.openxmlformats.org/drawingml/2006/main">
                  <a:graphicData uri="http://schemas.microsoft.com/office/word/2010/wordprocessingShape">
                    <wps:wsp>
                      <wps:cNvCnPr/>
                      <wps:spPr>
                        <a:xfrm>
                          <a:off x="0" y="0"/>
                          <a:ext cx="5960745" cy="0"/>
                        </a:xfrm>
                        <a:prstGeom prst="line">
                          <a:avLst/>
                        </a:prstGeom>
                        <a:ln w="349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38.7pt" to="451.3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" strokecolor="#c00000" strokeweight="2.75pt"/>
            </w:pict>
          </mc:Fallback>
        </mc:AlternateContent>
      </w:r>
      <w:r w:rsidR="00D56339">
        <w:rPr>
          <w:noProof/>
        </w:rPr>
        <mc:AlternateContent>
          <mc:Choice Requires="wps">
            <w:drawing>
              <wp:anchor distT="0" distB="0" distL="114300" distR="114300" simplePos="0" relativeHeight="251666432" behindDoc="0" locked="0" layoutInCell="1" allowOverlap="1" wp14:anchorId="5279C967" wp14:editId="253063D7">
                <wp:simplePos x="0" y="0"/>
                <wp:positionH relativeFrom="column">
                  <wp:posOffset>-271780</wp:posOffset>
                </wp:positionH>
                <wp:positionV relativeFrom="paragraph">
                  <wp:posOffset>1423035</wp:posOffset>
                </wp:positionV>
                <wp:extent cx="3639820" cy="7159625"/>
                <wp:effectExtent l="0" t="0" r="0" b="317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820" cy="7159625"/>
                        </a:xfrm>
                        <a:prstGeom prst="rect">
                          <a:avLst/>
                        </a:prstGeom>
                        <a:solidFill>
                          <a:srgbClr val="FFFFFF"/>
                        </a:solidFill>
                        <a:ln>
                          <a:noFill/>
                        </a:ln>
                        <a:effectLst/>
                        <a:extLst>
                          <a:ext uri="{91240B29-F687-4F45-9708-019B960494DF}">
                            <a14:hiddenLine xmlns:a14="http://schemas.microsoft.com/office/drawing/2010/main" w="19050">
                              <a:solidFill>
                                <a:srgbClr val="C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0388A" w:rsidRPr="00B0388A" w:rsidRDefault="00670841" w:rsidP="00670841">
                            <w:pPr>
                              <w:pStyle w:val="a6"/>
                              <w:widowControl/>
                              <w:numPr>
                                <w:ilvl w:val="0"/>
                                <w:numId w:val="2"/>
                              </w:numPr>
                              <w:adjustRightInd w:val="0"/>
                              <w:snapToGrid w:val="0"/>
                              <w:spacing w:line="312" w:lineRule="auto"/>
                              <w:ind w:firstLineChars="0"/>
                              <w:jc w:val="left"/>
                              <w:rPr>
                                <w:rFonts w:ascii="华文楷体" w:eastAsia="华文楷体" w:hAnsi="华文楷体"/>
                              </w:rPr>
                            </w:pPr>
                            <w:r w:rsidRPr="00670841">
                              <w:rPr>
                                <w:rFonts w:ascii="华文楷体" w:eastAsia="华文楷体" w:hAnsi="华文楷体" w:hint="eastAsia"/>
                              </w:rPr>
                              <w:t>尽管四季度LLDPE供需矛盾并不突出，但是在国内经济继续寻底的过程中，需求端的冲击可能超出预期，</w:t>
                            </w:r>
                            <w:r w:rsidRPr="00670841">
                              <w:rPr>
                                <w:rFonts w:ascii="华文楷体" w:eastAsia="华文楷体" w:hAnsi="华文楷体" w:hint="eastAsia"/>
                                <w:b/>
                              </w:rPr>
                              <w:t>LLDPE</w:t>
                            </w:r>
                            <w:r>
                              <w:rPr>
                                <w:rFonts w:ascii="华文楷体" w:eastAsia="华文楷体" w:hAnsi="华文楷体" w:hint="eastAsia"/>
                                <w:b/>
                              </w:rPr>
                              <w:t>的期价</w:t>
                            </w:r>
                            <w:r w:rsidRPr="00670841">
                              <w:rPr>
                                <w:rFonts w:ascii="华文楷体" w:eastAsia="华文楷体" w:hAnsi="华文楷体" w:hint="eastAsia"/>
                                <w:b/>
                              </w:rPr>
                              <w:t>重心将继续下移。</w:t>
                            </w:r>
                          </w:p>
                          <w:p w:rsidR="00B0388A" w:rsidRPr="00CE36BB" w:rsidRDefault="00A4475D" w:rsidP="00B4797E">
                            <w:pPr>
                              <w:pStyle w:val="a6"/>
                              <w:widowControl/>
                              <w:numPr>
                                <w:ilvl w:val="0"/>
                                <w:numId w:val="2"/>
                              </w:numPr>
                              <w:adjustRightInd w:val="0"/>
                              <w:snapToGrid w:val="0"/>
                              <w:spacing w:line="312" w:lineRule="auto"/>
                              <w:ind w:firstLineChars="0"/>
                              <w:jc w:val="left"/>
                              <w:rPr>
                                <w:rFonts w:ascii="华文楷体" w:eastAsia="华文楷体" w:hAnsi="华文楷体"/>
                              </w:rPr>
                            </w:pPr>
                            <w:r w:rsidRPr="00CE36BB">
                              <w:rPr>
                                <w:rFonts w:ascii="华文楷体" w:eastAsia="华文楷体" w:hAnsi="华文楷体" w:hint="eastAsia"/>
                                <w:b/>
                              </w:rPr>
                              <w:t>从</w:t>
                            </w:r>
                            <w:r w:rsidR="00820C0F" w:rsidRPr="00CE36BB">
                              <w:rPr>
                                <w:rFonts w:ascii="华文楷体" w:eastAsia="华文楷体" w:hAnsi="华文楷体" w:hint="eastAsia"/>
                                <w:b/>
                              </w:rPr>
                              <w:t>供给端</w:t>
                            </w:r>
                            <w:r w:rsidRPr="00CE36BB">
                              <w:rPr>
                                <w:rFonts w:ascii="华文楷体" w:eastAsia="华文楷体" w:hAnsi="华文楷体" w:hint="eastAsia"/>
                                <w:b/>
                              </w:rPr>
                              <w:t>来</w:t>
                            </w:r>
                            <w:r w:rsidR="00DC7DD1" w:rsidRPr="00CE36BB">
                              <w:rPr>
                                <w:rFonts w:ascii="华文楷体" w:eastAsia="华文楷体" w:hAnsi="华文楷体" w:hint="eastAsia"/>
                                <w:b/>
                              </w:rPr>
                              <w:t>看，</w:t>
                            </w:r>
                            <w:r w:rsidR="00B4797E" w:rsidRPr="00CE36BB">
                              <w:rPr>
                                <w:rFonts w:ascii="华文楷体" w:eastAsia="华文楷体" w:hAnsi="华文楷体" w:hint="eastAsia"/>
                                <w:b/>
                              </w:rPr>
                              <w:t>进入11月后LLDPE将面临来自国内及进口的双重供应压力：</w:t>
                            </w:r>
                            <w:r w:rsidR="00CE36BB" w:rsidRPr="00CE36BB">
                              <w:rPr>
                                <w:rFonts w:ascii="华文楷体" w:eastAsia="华文楷体" w:hAnsi="华文楷体" w:hint="eastAsia"/>
                              </w:rPr>
                              <w:t>国</w:t>
                            </w:r>
                            <w:r w:rsidR="00B4797E" w:rsidRPr="00CE36BB">
                              <w:rPr>
                                <w:rFonts w:ascii="华文楷体" w:eastAsia="华文楷体" w:hAnsi="华文楷体" w:hint="eastAsia"/>
                              </w:rPr>
                              <w:t>内方面，前期临时检修装置将陆续重启，从11月开始LLDPE产量环比将有所增加。进口方面，进口利润领先进口量1-2个月，9月进口套利窗口打开，预计11月到港量将有所增加。</w:t>
                            </w:r>
                          </w:p>
                          <w:p w:rsidR="00392BD9" w:rsidRPr="002A3198" w:rsidRDefault="00B4797E" w:rsidP="002B0DDE">
                            <w:pPr>
                              <w:pStyle w:val="a6"/>
                              <w:numPr>
                                <w:ilvl w:val="0"/>
                                <w:numId w:val="2"/>
                              </w:numPr>
                              <w:adjustRightInd w:val="0"/>
                              <w:snapToGrid w:val="0"/>
                              <w:spacing w:line="312" w:lineRule="auto"/>
                              <w:ind w:firstLineChars="0"/>
                              <w:rPr>
                                <w:rFonts w:ascii="华文楷体" w:eastAsia="华文楷体" w:hAnsi="华文楷体"/>
                              </w:rPr>
                            </w:pPr>
                            <w:r w:rsidRPr="00B4797E">
                              <w:rPr>
                                <w:rFonts w:ascii="华文楷体" w:eastAsia="华文楷体" w:hAnsi="华文楷体" w:hint="eastAsia"/>
                                <w:b/>
                              </w:rPr>
                              <w:t>从</w:t>
                            </w:r>
                            <w:r>
                              <w:rPr>
                                <w:rFonts w:ascii="华文楷体" w:eastAsia="华文楷体" w:hAnsi="华文楷体" w:hint="eastAsia"/>
                                <w:b/>
                              </w:rPr>
                              <w:t>需求</w:t>
                            </w:r>
                            <w:r w:rsidRPr="00B4797E">
                              <w:rPr>
                                <w:rFonts w:ascii="华文楷体" w:eastAsia="华文楷体" w:hAnsi="华文楷体" w:hint="eastAsia"/>
                                <w:b/>
                              </w:rPr>
                              <w:t>端来看，</w:t>
                            </w:r>
                            <w:r w:rsidR="002B0DDE" w:rsidRPr="002B0DDE">
                              <w:rPr>
                                <w:rFonts w:ascii="华文楷体" w:eastAsia="华文楷体" w:hAnsi="华文楷体" w:hint="eastAsia"/>
                              </w:rPr>
                              <w:t>随着棚膜需求旺季结束，农膜产量增速将放缓。由于经济持续下滑，塑料薄膜产量增速将进一步放缓，</w:t>
                            </w:r>
                            <w:r w:rsidR="002B0DDE">
                              <w:rPr>
                                <w:rFonts w:ascii="华文楷体" w:eastAsia="华文楷体" w:hAnsi="华文楷体" w:hint="eastAsia"/>
                                <w:b/>
                              </w:rPr>
                              <w:t>因此</w:t>
                            </w:r>
                            <w:r w:rsidR="002B0DDE" w:rsidRPr="002B0DDE">
                              <w:rPr>
                                <w:rFonts w:ascii="华文楷体" w:eastAsia="华文楷体" w:hAnsi="华文楷体" w:hint="eastAsia"/>
                                <w:b/>
                              </w:rPr>
                              <w:t>四季度LLDPE需求难以</w:t>
                            </w:r>
                            <w:r w:rsidR="002B0DDE">
                              <w:rPr>
                                <w:rFonts w:ascii="华文楷体" w:eastAsia="华文楷体" w:hAnsi="华文楷体" w:hint="eastAsia"/>
                                <w:b/>
                              </w:rPr>
                              <w:t>有</w:t>
                            </w:r>
                            <w:r w:rsidR="002B0DDE" w:rsidRPr="002B0DDE">
                              <w:rPr>
                                <w:rFonts w:ascii="华文楷体" w:eastAsia="华文楷体" w:hAnsi="华文楷体" w:hint="eastAsia"/>
                                <w:b/>
                              </w:rPr>
                              <w:t>改善。</w:t>
                            </w:r>
                          </w:p>
                          <w:p w:rsidR="009956D2" w:rsidRPr="00B0388A" w:rsidRDefault="009956D2" w:rsidP="002A3198">
                            <w:pPr>
                              <w:pStyle w:val="a6"/>
                              <w:adjustRightInd w:val="0"/>
                              <w:snapToGrid w:val="0"/>
                              <w:spacing w:line="312" w:lineRule="auto"/>
                              <w:ind w:firstLine="120"/>
                              <w:rPr>
                                <w:rFonts w:ascii="华文楷体" w:eastAsia="华文楷体" w:hAnsi="华文楷体"/>
                                <w:sz w:val="6"/>
                                <w:szCs w:val="8"/>
                              </w:rPr>
                            </w:pPr>
                          </w:p>
                          <w:p w:rsidR="009956D2" w:rsidRPr="00B0388A" w:rsidRDefault="00EC0C63" w:rsidP="00C151BA">
                            <w:pPr>
                              <w:pStyle w:val="a6"/>
                              <w:widowControl/>
                              <w:numPr>
                                <w:ilvl w:val="0"/>
                                <w:numId w:val="2"/>
                              </w:numPr>
                              <w:adjustRightInd w:val="0"/>
                              <w:snapToGrid w:val="0"/>
                              <w:spacing w:line="312" w:lineRule="auto"/>
                              <w:ind w:firstLineChars="0"/>
                              <w:jc w:val="left"/>
                              <w:rPr>
                                <w:rFonts w:ascii="华文楷体" w:eastAsia="华文楷体" w:hAnsi="华文楷体"/>
                              </w:rPr>
                            </w:pPr>
                            <w:r>
                              <w:rPr>
                                <w:rFonts w:ascii="华文楷体" w:eastAsia="华文楷体" w:hAnsi="华文楷体" w:hint="eastAsia"/>
                                <w:b/>
                              </w:rPr>
                              <w:t>从中间库存来看</w:t>
                            </w:r>
                            <w:r w:rsidR="005020BE">
                              <w:rPr>
                                <w:rFonts w:ascii="华文楷体" w:eastAsia="华文楷体" w:hAnsi="华文楷体" w:hint="eastAsia"/>
                                <w:b/>
                              </w:rPr>
                              <w:t>，</w:t>
                            </w:r>
                            <w:r w:rsidR="00C151BA" w:rsidRPr="00C151BA">
                              <w:rPr>
                                <w:rFonts w:ascii="华文楷体" w:eastAsia="华文楷体" w:hAnsi="华文楷体" w:hint="eastAsia"/>
                              </w:rPr>
                              <w:t>十一长假以后石化库存持续下降，当前降至，中等水平，石化整体压力较小。社会库存基本出清，但交割库仍积累一定量的库存而且较为货权比较集中。</w:t>
                            </w:r>
                          </w:p>
                          <w:p w:rsidR="00392BD9" w:rsidRPr="00B0388A" w:rsidRDefault="00392BD9" w:rsidP="00D75DB7">
                            <w:pPr>
                              <w:widowControl/>
                              <w:adjustRightInd w:val="0"/>
                              <w:snapToGrid w:val="0"/>
                              <w:spacing w:line="312" w:lineRule="auto"/>
                              <w:jc w:val="left"/>
                              <w:rPr>
                                <w:rFonts w:ascii="华文楷体" w:eastAsia="华文楷体" w:hAnsi="华文楷体"/>
                                <w:sz w:val="6"/>
                                <w:szCs w:val="8"/>
                              </w:rPr>
                            </w:pPr>
                          </w:p>
                          <w:p w:rsidR="009A777B" w:rsidRPr="00BF3878" w:rsidRDefault="00BF3878" w:rsidP="00BF3878">
                            <w:pPr>
                              <w:pStyle w:val="a6"/>
                              <w:widowControl/>
                              <w:numPr>
                                <w:ilvl w:val="0"/>
                                <w:numId w:val="2"/>
                              </w:numPr>
                              <w:adjustRightInd w:val="0"/>
                              <w:snapToGrid w:val="0"/>
                              <w:spacing w:line="312" w:lineRule="auto"/>
                              <w:ind w:firstLineChars="0"/>
                              <w:jc w:val="left"/>
                              <w:rPr>
                                <w:rFonts w:ascii="华文楷体" w:eastAsia="华文楷体" w:hAnsi="华文楷体"/>
                                <w:b/>
                                <w:sz w:val="6"/>
                                <w:szCs w:val="8"/>
                              </w:rPr>
                            </w:pPr>
                            <w:r w:rsidRPr="00BF3878">
                              <w:rPr>
                                <w:rFonts w:ascii="华文楷体" w:eastAsia="华文楷体" w:hAnsi="华文楷体" w:hint="eastAsia"/>
                                <w:b/>
                              </w:rPr>
                              <w:t>最后从平衡表的角度总结</w:t>
                            </w:r>
                            <w:r w:rsidR="008254E8" w:rsidRPr="00BF3878">
                              <w:rPr>
                                <w:rFonts w:ascii="华文楷体" w:eastAsia="华文楷体" w:hAnsi="华文楷体" w:hint="eastAsia"/>
                                <w:b/>
                              </w:rPr>
                              <w:t>，</w:t>
                            </w:r>
                            <w:r w:rsidRPr="00BF3878">
                              <w:rPr>
                                <w:rFonts w:ascii="华文楷体" w:eastAsia="华文楷体" w:hAnsi="华文楷体" w:hint="eastAsia"/>
                                <w:b/>
                              </w:rPr>
                              <w:t>四季度LLDPE供应仍会出现盈余，因此LLDPE仍可逢高沽空。</w:t>
                            </w:r>
                            <w:r>
                              <w:rPr>
                                <w:rFonts w:ascii="华文楷体" w:eastAsia="华文楷体" w:hAnsi="华文楷体" w:hint="eastAsia"/>
                              </w:rPr>
                              <w:t>但</w:t>
                            </w:r>
                            <w:r w:rsidRPr="00BF3878">
                              <w:rPr>
                                <w:rFonts w:ascii="华文楷体" w:eastAsia="华文楷体" w:hAnsi="华文楷体" w:hint="eastAsia"/>
                              </w:rPr>
                              <w:t>后期L1601可能出现较大波动，</w:t>
                            </w:r>
                            <w:r w:rsidRPr="00BF3878">
                              <w:rPr>
                                <w:rFonts w:ascii="华文楷体" w:eastAsia="华文楷体" w:hAnsi="华文楷体" w:hint="eastAsia"/>
                                <w:b/>
                              </w:rPr>
                              <w:t>L1601-L1605价差低于400可以考虑做多L1601同时做空L1605，目标价差600-800。</w:t>
                            </w:r>
                          </w:p>
                          <w:p w:rsidR="009A777B" w:rsidRPr="00B0388A" w:rsidRDefault="009A777B" w:rsidP="00C151BA">
                            <w:pPr>
                              <w:pStyle w:val="a6"/>
                              <w:widowControl/>
                              <w:numPr>
                                <w:ilvl w:val="0"/>
                                <w:numId w:val="2"/>
                              </w:numPr>
                              <w:adjustRightInd w:val="0"/>
                              <w:snapToGrid w:val="0"/>
                              <w:spacing w:line="312" w:lineRule="auto"/>
                              <w:ind w:firstLineChars="0"/>
                              <w:jc w:val="left"/>
                              <w:rPr>
                                <w:rFonts w:ascii="华文楷体" w:eastAsia="华文楷体" w:hAnsi="华文楷体"/>
                                <w:b/>
                              </w:rPr>
                            </w:pPr>
                            <w:r w:rsidRPr="00B0388A">
                              <w:rPr>
                                <w:rFonts w:ascii="华文楷体" w:eastAsia="华文楷体" w:hAnsi="华文楷体" w:hint="eastAsia"/>
                                <w:b/>
                              </w:rPr>
                              <w:t>风险因素：</w:t>
                            </w:r>
                            <w:r w:rsidR="00C151BA" w:rsidRPr="00C151BA">
                              <w:rPr>
                                <w:rFonts w:ascii="华文楷体" w:eastAsia="华文楷体" w:hAnsi="华文楷体" w:hint="eastAsia"/>
                              </w:rPr>
                              <w:t>被质押的1509合约交割仓单</w:t>
                            </w:r>
                            <w:r w:rsidR="00C151BA">
                              <w:rPr>
                                <w:rFonts w:ascii="华文楷体" w:eastAsia="华文楷体" w:hAnsi="华文楷体" w:hint="eastAsia"/>
                              </w:rPr>
                              <w:t>带来的不确定性</w:t>
                            </w:r>
                          </w:p>
                          <w:p w:rsidR="00E222CF" w:rsidRPr="00B0388A" w:rsidRDefault="00E222CF" w:rsidP="00BA501D">
                            <w:pPr>
                              <w:pStyle w:val="a6"/>
                              <w:widowControl/>
                              <w:adjustRightInd w:val="0"/>
                              <w:snapToGrid w:val="0"/>
                              <w:spacing w:line="312" w:lineRule="auto"/>
                              <w:ind w:left="420" w:firstLineChars="0" w:firstLine="0"/>
                              <w:jc w:val="left"/>
                              <w:rPr>
                                <w:rFonts w:ascii="华文楷体" w:eastAsia="华文楷体" w:hAnsi="华文楷体"/>
                                <w:b/>
                              </w:rPr>
                            </w:pPr>
                          </w:p>
                        </w:txbxContent>
                      </wps:txbx>
                      <wps:bodyPr rot="0" vert="horz" wrap="square" lIns="162000" tIns="118800" rIns="162000" bIns="11880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 o:spid="_x0000_s1028" type="#_x0000_t202" style="position:absolute;left:0;text-align:left;margin-left:-21.4pt;margin-top:112.05pt;width:286.6pt;height:5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" stroked="f" strokecolor="#c00000" strokeweight="1.5pt">
                <v:stroke dashstyle="dash"/>
                <v:shadow color="#868686"/>
                <v:textbox inset="4.5mm,3.3mm,4.5mm,3.3mm">
                  <w:txbxContent>
                    <w:p w:rsidR="00B0388A" w:rsidRPr="00B0388A" w:rsidRDefault="00670841" w:rsidP="00670841">
                      <w:pPr>
                        <w:pStyle w:val="a6"/>
                        <w:widowControl/>
                        <w:numPr>
                          <w:ilvl w:val="0"/>
                          <w:numId w:val="2"/>
                        </w:numPr>
                        <w:adjustRightInd w:val="0"/>
                        <w:snapToGrid w:val="0"/>
                        <w:spacing w:line="312" w:lineRule="auto"/>
                        <w:ind w:firstLineChars="0"/>
                        <w:jc w:val="left"/>
                        <w:rPr>
                          <w:rFonts w:ascii="华文楷体" w:eastAsia="华文楷体" w:hAnsi="华文楷体"/>
                        </w:rPr>
                      </w:pPr>
                      <w:r w:rsidRPr="00670841">
                        <w:rPr>
                          <w:rFonts w:ascii="华文楷体" w:eastAsia="华文楷体" w:hAnsi="华文楷体" w:hint="eastAsia"/>
                        </w:rPr>
                        <w:t>尽管四季度LLDPE供需矛盾并不突出，但是在国内经济继续寻底的过程中，需求端的冲击可能超出预期，</w:t>
                      </w:r>
                      <w:r w:rsidRPr="00670841">
                        <w:rPr>
                          <w:rFonts w:ascii="华文楷体" w:eastAsia="华文楷体" w:hAnsi="华文楷体" w:hint="eastAsia"/>
                          <w:b/>
                        </w:rPr>
                        <w:t>LLDPE</w:t>
                      </w:r>
                      <w:r>
                        <w:rPr>
                          <w:rFonts w:ascii="华文楷体" w:eastAsia="华文楷体" w:hAnsi="华文楷体" w:hint="eastAsia"/>
                          <w:b/>
                        </w:rPr>
                        <w:t>的期价</w:t>
                      </w:r>
                      <w:r w:rsidRPr="00670841">
                        <w:rPr>
                          <w:rFonts w:ascii="华文楷体" w:eastAsia="华文楷体" w:hAnsi="华文楷体" w:hint="eastAsia"/>
                          <w:b/>
                        </w:rPr>
                        <w:t>重心将继续下移。</w:t>
                      </w:r>
                    </w:p>
                    <w:p w:rsidR="00B0388A" w:rsidRPr="00CE36BB" w:rsidRDefault="00A4475D" w:rsidP="00B4797E">
                      <w:pPr>
                        <w:pStyle w:val="a6"/>
                        <w:widowControl/>
                        <w:numPr>
                          <w:ilvl w:val="0"/>
                          <w:numId w:val="2"/>
                        </w:numPr>
                        <w:adjustRightInd w:val="0"/>
                        <w:snapToGrid w:val="0"/>
                        <w:spacing w:line="312" w:lineRule="auto"/>
                        <w:ind w:firstLineChars="0"/>
                        <w:jc w:val="left"/>
                        <w:rPr>
                          <w:rFonts w:ascii="华文楷体" w:eastAsia="华文楷体" w:hAnsi="华文楷体"/>
                        </w:rPr>
                      </w:pPr>
                      <w:r w:rsidRPr="00CE36BB">
                        <w:rPr>
                          <w:rFonts w:ascii="华文楷体" w:eastAsia="华文楷体" w:hAnsi="华文楷体" w:hint="eastAsia"/>
                          <w:b/>
                        </w:rPr>
                        <w:t>从</w:t>
                      </w:r>
                      <w:r w:rsidR="00820C0F" w:rsidRPr="00CE36BB">
                        <w:rPr>
                          <w:rFonts w:ascii="华文楷体" w:eastAsia="华文楷体" w:hAnsi="华文楷体" w:hint="eastAsia"/>
                          <w:b/>
                        </w:rPr>
                        <w:t>供给端</w:t>
                      </w:r>
                      <w:r w:rsidRPr="00CE36BB">
                        <w:rPr>
                          <w:rFonts w:ascii="华文楷体" w:eastAsia="华文楷体" w:hAnsi="华文楷体" w:hint="eastAsia"/>
                          <w:b/>
                        </w:rPr>
                        <w:t>来</w:t>
                      </w:r>
                      <w:r w:rsidR="00DC7DD1" w:rsidRPr="00CE36BB">
                        <w:rPr>
                          <w:rFonts w:ascii="华文楷体" w:eastAsia="华文楷体" w:hAnsi="华文楷体" w:hint="eastAsia"/>
                          <w:b/>
                        </w:rPr>
                        <w:t>看，</w:t>
                      </w:r>
                      <w:r w:rsidR="00B4797E" w:rsidRPr="00CE36BB">
                        <w:rPr>
                          <w:rFonts w:ascii="华文楷体" w:eastAsia="华文楷体" w:hAnsi="华文楷体" w:hint="eastAsia"/>
                          <w:b/>
                        </w:rPr>
                        <w:t>进入11月后LLDPE将面临来自国内及进口的双重供应压力：</w:t>
                      </w:r>
                      <w:r w:rsidR="00CE36BB" w:rsidRPr="00CE36BB">
                        <w:rPr>
                          <w:rFonts w:ascii="华文楷体" w:eastAsia="华文楷体" w:hAnsi="华文楷体" w:hint="eastAsia"/>
                        </w:rPr>
                        <w:t>国</w:t>
                      </w:r>
                      <w:r w:rsidR="00B4797E" w:rsidRPr="00CE36BB">
                        <w:rPr>
                          <w:rFonts w:ascii="华文楷体" w:eastAsia="华文楷体" w:hAnsi="华文楷体" w:hint="eastAsia"/>
                        </w:rPr>
                        <w:t>内方面，前期临时检修装置将</w:t>
                      </w:r>
                      <w:proofErr w:type="gramStart"/>
                      <w:r w:rsidR="00B4797E" w:rsidRPr="00CE36BB">
                        <w:rPr>
                          <w:rFonts w:ascii="华文楷体" w:eastAsia="华文楷体" w:hAnsi="华文楷体" w:hint="eastAsia"/>
                        </w:rPr>
                        <w:t>陆续重</w:t>
                      </w:r>
                      <w:proofErr w:type="gramEnd"/>
                      <w:r w:rsidR="00B4797E" w:rsidRPr="00CE36BB">
                        <w:rPr>
                          <w:rFonts w:ascii="华文楷体" w:eastAsia="华文楷体" w:hAnsi="华文楷体" w:hint="eastAsia"/>
                        </w:rPr>
                        <w:t>启，从11月开始LLDPE</w:t>
                      </w:r>
                      <w:proofErr w:type="gramStart"/>
                      <w:r w:rsidR="00B4797E" w:rsidRPr="00CE36BB">
                        <w:rPr>
                          <w:rFonts w:ascii="华文楷体" w:eastAsia="华文楷体" w:hAnsi="华文楷体" w:hint="eastAsia"/>
                        </w:rPr>
                        <w:t>产量环</w:t>
                      </w:r>
                      <w:proofErr w:type="gramEnd"/>
                      <w:r w:rsidR="00B4797E" w:rsidRPr="00CE36BB">
                        <w:rPr>
                          <w:rFonts w:ascii="华文楷体" w:eastAsia="华文楷体" w:hAnsi="华文楷体" w:hint="eastAsia"/>
                        </w:rPr>
                        <w:t>比将有所增加。进口方面，进口利润领先进口量1-2个月，9月进口套利窗口打开，预计11月到港量将有所增加。</w:t>
                      </w:r>
                    </w:p>
                    <w:p w:rsidR="00392BD9" w:rsidRPr="002A3198" w:rsidRDefault="00B4797E" w:rsidP="002B0DDE">
                      <w:pPr>
                        <w:pStyle w:val="a6"/>
                        <w:numPr>
                          <w:ilvl w:val="0"/>
                          <w:numId w:val="2"/>
                        </w:numPr>
                        <w:adjustRightInd w:val="0"/>
                        <w:snapToGrid w:val="0"/>
                        <w:spacing w:line="312" w:lineRule="auto"/>
                        <w:ind w:firstLineChars="0"/>
                        <w:rPr>
                          <w:rFonts w:ascii="华文楷体" w:eastAsia="华文楷体" w:hAnsi="华文楷体"/>
                        </w:rPr>
                      </w:pPr>
                      <w:r w:rsidRPr="00B4797E">
                        <w:rPr>
                          <w:rFonts w:ascii="华文楷体" w:eastAsia="华文楷体" w:hAnsi="华文楷体" w:hint="eastAsia"/>
                          <w:b/>
                        </w:rPr>
                        <w:t>从</w:t>
                      </w:r>
                      <w:r>
                        <w:rPr>
                          <w:rFonts w:ascii="华文楷体" w:eastAsia="华文楷体" w:hAnsi="华文楷体" w:hint="eastAsia"/>
                          <w:b/>
                        </w:rPr>
                        <w:t>需求</w:t>
                      </w:r>
                      <w:r w:rsidRPr="00B4797E">
                        <w:rPr>
                          <w:rFonts w:ascii="华文楷体" w:eastAsia="华文楷体" w:hAnsi="华文楷体" w:hint="eastAsia"/>
                          <w:b/>
                        </w:rPr>
                        <w:t>端来看，</w:t>
                      </w:r>
                      <w:r w:rsidR="002B0DDE" w:rsidRPr="002B0DDE">
                        <w:rPr>
                          <w:rFonts w:ascii="华文楷体" w:eastAsia="华文楷体" w:hAnsi="华文楷体" w:hint="eastAsia"/>
                        </w:rPr>
                        <w:t>随着棚膜需求旺季结束，农膜产量增速将放缓。由于经济持续下滑，塑料薄膜产量增速将进一步放缓，</w:t>
                      </w:r>
                      <w:r w:rsidR="002B0DDE">
                        <w:rPr>
                          <w:rFonts w:ascii="华文楷体" w:eastAsia="华文楷体" w:hAnsi="华文楷体" w:hint="eastAsia"/>
                          <w:b/>
                        </w:rPr>
                        <w:t>因此</w:t>
                      </w:r>
                      <w:r w:rsidR="002B0DDE" w:rsidRPr="002B0DDE">
                        <w:rPr>
                          <w:rFonts w:ascii="华文楷体" w:eastAsia="华文楷体" w:hAnsi="华文楷体" w:hint="eastAsia"/>
                          <w:b/>
                        </w:rPr>
                        <w:t>四季度LLDPE需求难以</w:t>
                      </w:r>
                      <w:r w:rsidR="002B0DDE">
                        <w:rPr>
                          <w:rFonts w:ascii="华文楷体" w:eastAsia="华文楷体" w:hAnsi="华文楷体" w:hint="eastAsia"/>
                          <w:b/>
                        </w:rPr>
                        <w:t>有</w:t>
                      </w:r>
                      <w:r w:rsidR="002B0DDE" w:rsidRPr="002B0DDE">
                        <w:rPr>
                          <w:rFonts w:ascii="华文楷体" w:eastAsia="华文楷体" w:hAnsi="华文楷体" w:hint="eastAsia"/>
                          <w:b/>
                        </w:rPr>
                        <w:t>改善。</w:t>
                      </w:r>
                    </w:p>
                    <w:p w:rsidR="009956D2" w:rsidRPr="00B0388A" w:rsidRDefault="009956D2" w:rsidP="002A3198">
                      <w:pPr>
                        <w:pStyle w:val="a6"/>
                        <w:adjustRightInd w:val="0"/>
                        <w:snapToGrid w:val="0"/>
                        <w:spacing w:line="312" w:lineRule="auto"/>
                        <w:ind w:firstLine="120"/>
                        <w:rPr>
                          <w:rFonts w:ascii="华文楷体" w:eastAsia="华文楷体" w:hAnsi="华文楷体"/>
                          <w:sz w:val="6"/>
                          <w:szCs w:val="8"/>
                        </w:rPr>
                      </w:pPr>
                    </w:p>
                    <w:p w:rsidR="009956D2" w:rsidRPr="00B0388A" w:rsidRDefault="00EC0C63" w:rsidP="00C151BA">
                      <w:pPr>
                        <w:pStyle w:val="a6"/>
                        <w:widowControl/>
                        <w:numPr>
                          <w:ilvl w:val="0"/>
                          <w:numId w:val="2"/>
                        </w:numPr>
                        <w:adjustRightInd w:val="0"/>
                        <w:snapToGrid w:val="0"/>
                        <w:spacing w:line="312" w:lineRule="auto"/>
                        <w:ind w:firstLineChars="0"/>
                        <w:jc w:val="left"/>
                        <w:rPr>
                          <w:rFonts w:ascii="华文楷体" w:eastAsia="华文楷体" w:hAnsi="华文楷体"/>
                        </w:rPr>
                      </w:pPr>
                      <w:r>
                        <w:rPr>
                          <w:rFonts w:ascii="华文楷体" w:eastAsia="华文楷体" w:hAnsi="华文楷体" w:hint="eastAsia"/>
                          <w:b/>
                        </w:rPr>
                        <w:t>从中间库存来看</w:t>
                      </w:r>
                      <w:r w:rsidR="005020BE">
                        <w:rPr>
                          <w:rFonts w:ascii="华文楷体" w:eastAsia="华文楷体" w:hAnsi="华文楷体" w:hint="eastAsia"/>
                          <w:b/>
                        </w:rPr>
                        <w:t>，</w:t>
                      </w:r>
                      <w:r w:rsidR="00C151BA" w:rsidRPr="00C151BA">
                        <w:rPr>
                          <w:rFonts w:ascii="华文楷体" w:eastAsia="华文楷体" w:hAnsi="华文楷体" w:hint="eastAsia"/>
                        </w:rPr>
                        <w:t>十一长假以后石化库存持续下降，当前降至，中等水平，石化整体压力较小。社会库存基本出清，但交割</w:t>
                      </w:r>
                      <w:proofErr w:type="gramStart"/>
                      <w:r w:rsidR="00C151BA" w:rsidRPr="00C151BA">
                        <w:rPr>
                          <w:rFonts w:ascii="华文楷体" w:eastAsia="华文楷体" w:hAnsi="华文楷体" w:hint="eastAsia"/>
                        </w:rPr>
                        <w:t>库仍积累</w:t>
                      </w:r>
                      <w:proofErr w:type="gramEnd"/>
                      <w:r w:rsidR="00C151BA" w:rsidRPr="00C151BA">
                        <w:rPr>
                          <w:rFonts w:ascii="华文楷体" w:eastAsia="华文楷体" w:hAnsi="华文楷体" w:hint="eastAsia"/>
                        </w:rPr>
                        <w:t>一定量的库存而且</w:t>
                      </w:r>
                      <w:proofErr w:type="gramStart"/>
                      <w:r w:rsidR="00C151BA" w:rsidRPr="00C151BA">
                        <w:rPr>
                          <w:rFonts w:ascii="华文楷体" w:eastAsia="华文楷体" w:hAnsi="华文楷体" w:hint="eastAsia"/>
                        </w:rPr>
                        <w:t>较为货权比较</w:t>
                      </w:r>
                      <w:proofErr w:type="gramEnd"/>
                      <w:r w:rsidR="00C151BA" w:rsidRPr="00C151BA">
                        <w:rPr>
                          <w:rFonts w:ascii="华文楷体" w:eastAsia="华文楷体" w:hAnsi="华文楷体" w:hint="eastAsia"/>
                        </w:rPr>
                        <w:t>集中。</w:t>
                      </w:r>
                    </w:p>
                    <w:p w:rsidR="00392BD9" w:rsidRPr="00B0388A" w:rsidRDefault="00392BD9" w:rsidP="00D75DB7">
                      <w:pPr>
                        <w:widowControl/>
                        <w:adjustRightInd w:val="0"/>
                        <w:snapToGrid w:val="0"/>
                        <w:spacing w:line="312" w:lineRule="auto"/>
                        <w:jc w:val="left"/>
                        <w:rPr>
                          <w:rFonts w:ascii="华文楷体" w:eastAsia="华文楷体" w:hAnsi="华文楷体"/>
                          <w:sz w:val="6"/>
                          <w:szCs w:val="8"/>
                        </w:rPr>
                      </w:pPr>
                    </w:p>
                    <w:p w:rsidR="009A777B" w:rsidRPr="00BF3878" w:rsidRDefault="00BF3878" w:rsidP="00BF3878">
                      <w:pPr>
                        <w:pStyle w:val="a6"/>
                        <w:widowControl/>
                        <w:numPr>
                          <w:ilvl w:val="0"/>
                          <w:numId w:val="2"/>
                        </w:numPr>
                        <w:adjustRightInd w:val="0"/>
                        <w:snapToGrid w:val="0"/>
                        <w:spacing w:line="312" w:lineRule="auto"/>
                        <w:ind w:firstLineChars="0"/>
                        <w:jc w:val="left"/>
                        <w:rPr>
                          <w:rFonts w:ascii="华文楷体" w:eastAsia="华文楷体" w:hAnsi="华文楷体"/>
                          <w:b/>
                          <w:sz w:val="6"/>
                          <w:szCs w:val="8"/>
                        </w:rPr>
                      </w:pPr>
                      <w:r w:rsidRPr="00BF3878">
                        <w:rPr>
                          <w:rFonts w:ascii="华文楷体" w:eastAsia="华文楷体" w:hAnsi="华文楷体" w:hint="eastAsia"/>
                          <w:b/>
                        </w:rPr>
                        <w:t>最后从平衡表的角度总结</w:t>
                      </w:r>
                      <w:r w:rsidR="008254E8" w:rsidRPr="00BF3878">
                        <w:rPr>
                          <w:rFonts w:ascii="华文楷体" w:eastAsia="华文楷体" w:hAnsi="华文楷体" w:hint="eastAsia"/>
                          <w:b/>
                        </w:rPr>
                        <w:t>，</w:t>
                      </w:r>
                      <w:r w:rsidRPr="00BF3878">
                        <w:rPr>
                          <w:rFonts w:ascii="华文楷体" w:eastAsia="华文楷体" w:hAnsi="华文楷体" w:hint="eastAsia"/>
                          <w:b/>
                        </w:rPr>
                        <w:t>四季度LLDPE供应仍会出现盈余，因此LLDPE仍可逢高沽空。</w:t>
                      </w:r>
                      <w:r>
                        <w:rPr>
                          <w:rFonts w:ascii="华文楷体" w:eastAsia="华文楷体" w:hAnsi="华文楷体" w:hint="eastAsia"/>
                        </w:rPr>
                        <w:t>但</w:t>
                      </w:r>
                      <w:r w:rsidRPr="00BF3878">
                        <w:rPr>
                          <w:rFonts w:ascii="华文楷体" w:eastAsia="华文楷体" w:hAnsi="华文楷体" w:hint="eastAsia"/>
                        </w:rPr>
                        <w:t>后期L1601可能出现较大波动，</w:t>
                      </w:r>
                      <w:r w:rsidRPr="00BF3878">
                        <w:rPr>
                          <w:rFonts w:ascii="华文楷体" w:eastAsia="华文楷体" w:hAnsi="华文楷体" w:hint="eastAsia"/>
                          <w:b/>
                        </w:rPr>
                        <w:t>L1601-L1605价差低于400可以考虑做多L1601同时做空L1605，目标价差600-800。</w:t>
                      </w:r>
                    </w:p>
                    <w:p w:rsidR="009A777B" w:rsidRPr="00B0388A" w:rsidRDefault="009A777B" w:rsidP="00C151BA">
                      <w:pPr>
                        <w:pStyle w:val="a6"/>
                        <w:widowControl/>
                        <w:numPr>
                          <w:ilvl w:val="0"/>
                          <w:numId w:val="2"/>
                        </w:numPr>
                        <w:adjustRightInd w:val="0"/>
                        <w:snapToGrid w:val="0"/>
                        <w:spacing w:line="312" w:lineRule="auto"/>
                        <w:ind w:firstLineChars="0"/>
                        <w:jc w:val="left"/>
                        <w:rPr>
                          <w:rFonts w:ascii="华文楷体" w:eastAsia="华文楷体" w:hAnsi="华文楷体"/>
                          <w:b/>
                        </w:rPr>
                      </w:pPr>
                      <w:r w:rsidRPr="00B0388A">
                        <w:rPr>
                          <w:rFonts w:ascii="华文楷体" w:eastAsia="华文楷体" w:hAnsi="华文楷体" w:hint="eastAsia"/>
                          <w:b/>
                        </w:rPr>
                        <w:t>风险因素：</w:t>
                      </w:r>
                      <w:r w:rsidR="00C151BA" w:rsidRPr="00C151BA">
                        <w:rPr>
                          <w:rFonts w:ascii="华文楷体" w:eastAsia="华文楷体" w:hAnsi="华文楷体" w:hint="eastAsia"/>
                        </w:rPr>
                        <w:t>被质押的1509合约交割仓单</w:t>
                      </w:r>
                      <w:r w:rsidR="00C151BA">
                        <w:rPr>
                          <w:rFonts w:ascii="华文楷体" w:eastAsia="华文楷体" w:hAnsi="华文楷体" w:hint="eastAsia"/>
                        </w:rPr>
                        <w:t>带来的不确定性</w:t>
                      </w:r>
                    </w:p>
                    <w:p w:rsidR="00E222CF" w:rsidRPr="00B0388A" w:rsidRDefault="00E222CF" w:rsidP="00BA501D">
                      <w:pPr>
                        <w:pStyle w:val="a6"/>
                        <w:widowControl/>
                        <w:adjustRightInd w:val="0"/>
                        <w:snapToGrid w:val="0"/>
                        <w:spacing w:line="312" w:lineRule="auto"/>
                        <w:ind w:left="420" w:firstLineChars="0" w:firstLine="0"/>
                        <w:jc w:val="left"/>
                        <w:rPr>
                          <w:rFonts w:ascii="华文楷体" w:eastAsia="华文楷体" w:hAnsi="华文楷体"/>
                          <w:b/>
                        </w:rPr>
                      </w:pPr>
                    </w:p>
                  </w:txbxContent>
                </v:textbox>
              </v:shape>
            </w:pict>
          </mc:Fallback>
        </mc:AlternateContent>
      </w:r>
      <w:r w:rsidR="002A3C8F">
        <w:rPr>
          <w:noProof/>
        </w:rPr>
        <mc:AlternateContent>
          <mc:Choice Requires="wps">
            <w:drawing>
              <wp:anchor distT="0" distB="0" distL="114300" distR="114300" simplePos="0" relativeHeight="251665408" behindDoc="0" locked="0" layoutInCell="1" allowOverlap="1" wp14:anchorId="4C72E667" wp14:editId="6EFDD934">
                <wp:simplePos x="0" y="0"/>
                <wp:positionH relativeFrom="column">
                  <wp:posOffset>-204099</wp:posOffset>
                </wp:positionH>
                <wp:positionV relativeFrom="paragraph">
                  <wp:posOffset>8721090</wp:posOffset>
                </wp:positionV>
                <wp:extent cx="5684808" cy="0"/>
                <wp:effectExtent l="0" t="19050" r="11430" b="19050"/>
                <wp:wrapNone/>
                <wp:docPr id="5" name="直接连接符 5"/>
                <wp:cNvGraphicFramePr/>
                <a:graphic xmlns:a="http://schemas.openxmlformats.org/drawingml/2006/main">
                  <a:graphicData uri="http://schemas.microsoft.com/office/word/2010/wordprocessingShape">
                    <wps:wsp>
                      <wps:cNvCnPr/>
                      <wps:spPr>
                        <a:xfrm>
                          <a:off x="0" y="0"/>
                          <a:ext cx="5684808" cy="0"/>
                        </a:xfrm>
                        <a:prstGeom prst="line">
                          <a:avLst/>
                        </a:prstGeom>
                        <a:ln w="349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686.7pt" to="431.55pt,6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" strokecolor="#c00000" strokeweight="2.75pt"/>
            </w:pict>
          </mc:Fallback>
        </mc:AlternateContent>
      </w:r>
      <w:r w:rsidR="002A3C8F">
        <w:rPr>
          <w:noProof/>
        </w:rPr>
        <mc:AlternateContent>
          <mc:Choice Requires="wps">
            <w:drawing>
              <wp:anchor distT="0" distB="0" distL="114300" distR="114300" simplePos="0" relativeHeight="251662336" behindDoc="0" locked="0" layoutInCell="1" allowOverlap="1" wp14:anchorId="1B828D4A" wp14:editId="7A730AD9">
                <wp:simplePos x="0" y="0"/>
                <wp:positionH relativeFrom="column">
                  <wp:posOffset>-271732</wp:posOffset>
                </wp:positionH>
                <wp:positionV relativeFrom="paragraph">
                  <wp:posOffset>724619</wp:posOffset>
                </wp:positionV>
                <wp:extent cx="3812875" cy="586105"/>
                <wp:effectExtent l="0" t="0" r="0" b="4445"/>
                <wp:wrapNone/>
                <wp:docPr id="3" name="矩形 3"/>
                <wp:cNvGraphicFramePr/>
                <a:graphic xmlns:a="http://schemas.openxmlformats.org/drawingml/2006/main">
                  <a:graphicData uri="http://schemas.microsoft.com/office/word/2010/wordprocessingShape">
                    <wps:wsp>
                      <wps:cNvSpPr/>
                      <wps:spPr>
                        <a:xfrm>
                          <a:off x="0" y="0"/>
                          <a:ext cx="3812875" cy="586105"/>
                        </a:xfrm>
                        <a:prstGeom prst="rect">
                          <a:avLst/>
                        </a:prstGeom>
                        <a:solidFill>
                          <a:srgbClr val="ECCBC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92BD9" w:rsidRPr="00833796" w:rsidRDefault="00BA08AA" w:rsidP="003B40F3">
                            <w:pPr>
                              <w:adjustRightInd w:val="0"/>
                              <w:snapToGrid w:val="0"/>
                              <w:jc w:val="center"/>
                              <w:rPr>
                                <w:rFonts w:ascii="楷体" w:eastAsia="楷体" w:hAnsi="楷体"/>
                                <w:b/>
                                <w:color w:val="000000" w:themeColor="text1"/>
                                <w:sz w:val="32"/>
                              </w:rPr>
                            </w:pPr>
                            <w:r w:rsidRPr="00BA08AA">
                              <w:rPr>
                                <w:rFonts w:ascii="楷体" w:eastAsia="楷体" w:hAnsi="楷体" w:hint="eastAsia"/>
                                <w:b/>
                                <w:color w:val="000000" w:themeColor="text1"/>
                                <w:sz w:val="32"/>
                              </w:rPr>
                              <w:t>年前</w:t>
                            </w:r>
                            <w:r w:rsidR="00E42051">
                              <w:rPr>
                                <w:rFonts w:ascii="楷体" w:eastAsia="楷体" w:hAnsi="楷体" w:hint="eastAsia"/>
                                <w:b/>
                                <w:color w:val="000000" w:themeColor="text1"/>
                                <w:sz w:val="32"/>
                              </w:rPr>
                              <w:t>LLDPE</w:t>
                            </w:r>
                            <w:bookmarkStart w:id="0" w:name="_GoBack"/>
                            <w:bookmarkEnd w:id="0"/>
                            <w:r w:rsidRPr="00BA08AA">
                              <w:rPr>
                                <w:rFonts w:ascii="楷体" w:eastAsia="楷体" w:hAnsi="楷体" w:hint="eastAsia"/>
                                <w:b/>
                                <w:color w:val="000000" w:themeColor="text1"/>
                                <w:sz w:val="32"/>
                              </w:rPr>
                              <w:t>期货投资策略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 o:spid="_x0000_s1029" style="position:absolute;left:0;text-align:left;margin-left:-21.4pt;margin-top:57.05pt;width:300.25pt;height:46.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" fillcolor="#eccbca" stroked="f" strokeweight="2pt">
                <v:textbox>
                  <w:txbxContent>
                    <w:p w:rsidR="00392BD9" w:rsidRPr="00833796" w:rsidRDefault="00BA08AA" w:rsidP="003B40F3">
                      <w:pPr>
                        <w:adjustRightInd w:val="0"/>
                        <w:snapToGrid w:val="0"/>
                        <w:jc w:val="center"/>
                        <w:rPr>
                          <w:rFonts w:ascii="楷体" w:eastAsia="楷体" w:hAnsi="楷体"/>
                          <w:b/>
                          <w:color w:val="000000" w:themeColor="text1"/>
                          <w:sz w:val="32"/>
                        </w:rPr>
                      </w:pPr>
                      <w:r w:rsidRPr="00BA08AA">
                        <w:rPr>
                          <w:rFonts w:ascii="楷体" w:eastAsia="楷体" w:hAnsi="楷体" w:hint="eastAsia"/>
                          <w:b/>
                          <w:color w:val="000000" w:themeColor="text1"/>
                          <w:sz w:val="32"/>
                        </w:rPr>
                        <w:t>年前</w:t>
                      </w:r>
                      <w:r w:rsidR="00E42051">
                        <w:rPr>
                          <w:rFonts w:ascii="楷体" w:eastAsia="楷体" w:hAnsi="楷体" w:hint="eastAsia"/>
                          <w:b/>
                          <w:color w:val="000000" w:themeColor="text1"/>
                          <w:sz w:val="32"/>
                        </w:rPr>
                        <w:t>LLDPE</w:t>
                      </w:r>
                      <w:bookmarkStart w:id="1" w:name="_GoBack"/>
                      <w:bookmarkEnd w:id="1"/>
                      <w:r w:rsidRPr="00BA08AA">
                        <w:rPr>
                          <w:rFonts w:ascii="楷体" w:eastAsia="楷体" w:hAnsi="楷体" w:hint="eastAsia"/>
                          <w:b/>
                          <w:color w:val="000000" w:themeColor="text1"/>
                          <w:sz w:val="32"/>
                        </w:rPr>
                        <w:t>期货投资策略</w:t>
                      </w:r>
                    </w:p>
                  </w:txbxContent>
                </v:textbox>
              </v:rect>
            </w:pict>
          </mc:Fallback>
        </mc:AlternateContent>
      </w:r>
      <w:r w:rsidR="002A3C8F">
        <w:rPr>
          <w:noProof/>
        </w:rPr>
        <w:drawing>
          <wp:anchor distT="0" distB="0" distL="114300" distR="114300" simplePos="0" relativeHeight="251658240" behindDoc="0" locked="0" layoutInCell="1" allowOverlap="1" wp14:anchorId="6EB8AD6B" wp14:editId="3DE1E4C5">
            <wp:simplePos x="0" y="0"/>
            <wp:positionH relativeFrom="column">
              <wp:posOffset>46355</wp:posOffset>
            </wp:positionH>
            <wp:positionV relativeFrom="paragraph">
              <wp:posOffset>-103505</wp:posOffset>
            </wp:positionV>
            <wp:extent cx="2298700" cy="59753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0" cy="597535"/>
                    </a:xfrm>
                    <a:prstGeom prst="rect">
                      <a:avLst/>
                    </a:prstGeom>
                    <a:noFill/>
                  </pic:spPr>
                </pic:pic>
              </a:graphicData>
            </a:graphic>
            <wp14:sizeRelH relativeFrom="page">
              <wp14:pctWidth>0</wp14:pctWidth>
            </wp14:sizeRelH>
            <wp14:sizeRelV relativeFrom="page">
              <wp14:pctHeight>0</wp14:pctHeight>
            </wp14:sizeRelV>
          </wp:anchor>
        </w:drawing>
      </w:r>
      <w:r w:rsidR="00684441">
        <w:rPr>
          <w:rFonts w:hint="eastAsia"/>
        </w:rPr>
        <w:t xml:space="preserve">                      </w:t>
      </w:r>
    </w:p>
    <w:p w:rsidR="00F479F4" w:rsidRDefault="00F479F4"/>
    <w:p w:rsidR="00F479F4" w:rsidRDefault="00F479F4"/>
    <w:p w:rsidR="00F479F4" w:rsidRDefault="00F479F4"/>
    <w:p w:rsidR="00F479F4" w:rsidRDefault="005E0486">
      <w:r>
        <w:rPr>
          <w:noProof/>
        </w:rPr>
        <mc:AlternateContent>
          <mc:Choice Requires="wps">
            <w:drawing>
              <wp:anchor distT="0" distB="0" distL="114300" distR="114300" simplePos="0" relativeHeight="251677696" behindDoc="0" locked="0" layoutInCell="1" allowOverlap="1" wp14:editId="36B11C9B">
                <wp:simplePos x="0" y="0"/>
                <wp:positionH relativeFrom="column">
                  <wp:posOffset>3584275</wp:posOffset>
                </wp:positionH>
                <wp:positionV relativeFrom="paragraph">
                  <wp:posOffset>975934</wp:posOffset>
                </wp:positionV>
                <wp:extent cx="2374265" cy="1923691"/>
                <wp:effectExtent l="0" t="0" r="1270" b="635"/>
                <wp:wrapNone/>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923691"/>
                        </a:xfrm>
                        <a:prstGeom prst="rect">
                          <a:avLst/>
                        </a:prstGeom>
                        <a:solidFill>
                          <a:srgbClr val="FFFFFF"/>
                        </a:solidFill>
                        <a:ln w="9525">
                          <a:noFill/>
                          <a:miter lim="800000"/>
                          <a:headEnd/>
                          <a:tailEnd/>
                        </a:ln>
                      </wps:spPr>
                      <wps:txbx>
                        <w:txbxContent>
                          <w:p w:rsidR="00392BD9" w:rsidRDefault="008378D5">
                            <w:r>
                              <w:rPr>
                                <w:noProof/>
                              </w:rPr>
                              <w:drawing>
                                <wp:inline distT="0" distB="0" distL="0" distR="0" wp14:anchorId="3B0579E6" wp14:editId="36370D14">
                                  <wp:extent cx="2278455" cy="1788243"/>
                                  <wp:effectExtent l="0" t="0" r="762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82190" cy="179117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282.25pt;margin-top:76.85pt;width:186.95pt;height:151.45pt;z-index:2516776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" stroked="f">
                <v:textbox>
                  <w:txbxContent>
                    <w:p w:rsidR="00392BD9" w:rsidRDefault="008378D5">
                      <w:r>
                        <w:rPr>
                          <w:noProof/>
                        </w:rPr>
                        <w:drawing>
                          <wp:inline distT="0" distB="0" distL="0" distR="0" wp14:anchorId="3B0579E6" wp14:editId="36370D14">
                            <wp:extent cx="2278455" cy="1788243"/>
                            <wp:effectExtent l="0" t="0" r="762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82190" cy="1791174"/>
                                    </a:xfrm>
                                    <a:prstGeom prst="rect">
                                      <a:avLst/>
                                    </a:prstGeom>
                                  </pic:spPr>
                                </pic:pic>
                              </a:graphicData>
                            </a:graphic>
                          </wp:inline>
                        </w:drawing>
                      </w:r>
                    </w:p>
                  </w:txbxContent>
                </v:textbox>
              </v:shape>
            </w:pict>
          </mc:Fallback>
        </mc:AlternateContent>
      </w:r>
    </w:p>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3206C2">
      <w:r>
        <w:rPr>
          <w:noProof/>
        </w:rPr>
        <mc:AlternateContent>
          <mc:Choice Requires="wps">
            <w:drawing>
              <wp:anchor distT="0" distB="0" distL="114300" distR="114300" simplePos="0" relativeHeight="251679744" behindDoc="0" locked="0" layoutInCell="1" allowOverlap="1" wp14:anchorId="4A1BB44C" wp14:editId="23E0A127">
                <wp:simplePos x="0" y="0"/>
                <wp:positionH relativeFrom="column">
                  <wp:posOffset>3633470</wp:posOffset>
                </wp:positionH>
                <wp:positionV relativeFrom="paragraph">
                  <wp:posOffset>67310</wp:posOffset>
                </wp:positionV>
                <wp:extent cx="2374265" cy="1403985"/>
                <wp:effectExtent l="0" t="0" r="1270" b="0"/>
                <wp:wrapNone/>
                <wp:docPr id="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92BD9" w:rsidRPr="003206C2" w:rsidRDefault="008378D5">
                            <w:r>
                              <w:rPr>
                                <w:noProof/>
                              </w:rPr>
                              <w:drawing>
                                <wp:inline distT="0" distB="0" distL="0" distR="0" wp14:anchorId="7B10AA03" wp14:editId="6A04CC54">
                                  <wp:extent cx="2282190" cy="1709992"/>
                                  <wp:effectExtent l="0" t="0" r="3810" b="5080"/>
                                  <wp:docPr id="9" name="图片 9" descr="http://www.51pla.com/UploadPic/2013/04/01/20130401102416547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51pla.com/UploadPic/2013/04/01/2013040110241654767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2190" cy="170999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286.1pt;margin-top:5.3pt;width:186.95pt;height:110.55pt;z-index:2516797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" stroked="f">
                <v:textbox style="mso-fit-shape-to-text:t">
                  <w:txbxContent>
                    <w:p w:rsidR="00392BD9" w:rsidRPr="003206C2" w:rsidRDefault="008378D5">
                      <w:r>
                        <w:rPr>
                          <w:noProof/>
                        </w:rPr>
                        <w:drawing>
                          <wp:inline distT="0" distB="0" distL="0" distR="0" wp14:anchorId="7B10AA03" wp14:editId="6A04CC54">
                            <wp:extent cx="2282190" cy="1709992"/>
                            <wp:effectExtent l="0" t="0" r="3810" b="5080"/>
                            <wp:docPr id="9" name="图片 9" descr="http://www.51pla.com/UploadPic/2013/04/01/20130401102416547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51pla.com/UploadPic/2013/04/01/2013040110241654767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2190" cy="1709992"/>
                                    </a:xfrm>
                                    <a:prstGeom prst="rect">
                                      <a:avLst/>
                                    </a:prstGeom>
                                    <a:noFill/>
                                    <a:ln>
                                      <a:noFill/>
                                    </a:ln>
                                  </pic:spPr>
                                </pic:pic>
                              </a:graphicData>
                            </a:graphic>
                          </wp:inline>
                        </w:drawing>
                      </w:r>
                    </w:p>
                  </w:txbxContent>
                </v:textbox>
              </v:shape>
            </w:pict>
          </mc:Fallback>
        </mc:AlternateContent>
      </w:r>
    </w:p>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2C1FD6">
      <w:r>
        <w:rPr>
          <w:noProof/>
        </w:rPr>
        <mc:AlternateContent>
          <mc:Choice Requires="wps">
            <w:drawing>
              <wp:anchor distT="0" distB="0" distL="114300" distR="114300" simplePos="0" relativeHeight="251669504" behindDoc="0" locked="0" layoutInCell="1" allowOverlap="1" wp14:anchorId="656CEFBF" wp14:editId="1F3661F5">
                <wp:simplePos x="0" y="0"/>
                <wp:positionH relativeFrom="column">
                  <wp:posOffset>3730625</wp:posOffset>
                </wp:positionH>
                <wp:positionV relativeFrom="paragraph">
                  <wp:posOffset>68580</wp:posOffset>
                </wp:positionV>
                <wp:extent cx="2052955" cy="2423795"/>
                <wp:effectExtent l="0" t="0" r="0"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2423795"/>
                        </a:xfrm>
                        <a:prstGeom prst="rect">
                          <a:avLst/>
                        </a:prstGeom>
                        <a:noFill/>
                        <a:ln w="9525">
                          <a:noFill/>
                          <a:miter lim="800000"/>
                          <a:headEnd/>
                          <a:tailEnd/>
                        </a:ln>
                      </wps:spPr>
                      <wps:txbx>
                        <w:txbxContent>
                          <w:p w:rsidR="00392BD9" w:rsidRPr="002C1FD6" w:rsidRDefault="00392BD9" w:rsidP="00EC4044">
                            <w:pPr>
                              <w:spacing w:line="360" w:lineRule="auto"/>
                              <w:jc w:val="center"/>
                              <w:rPr>
                                <w:rFonts w:asciiTheme="minorEastAsia" w:hAnsiTheme="minorEastAsia"/>
                                <w:b/>
                                <w:color w:val="31849B" w:themeColor="accent5" w:themeShade="BF"/>
                                <w:sz w:val="22"/>
                              </w:rPr>
                            </w:pPr>
                            <w:r w:rsidRPr="002C1FD6">
                              <w:rPr>
                                <w:rFonts w:asciiTheme="minorEastAsia" w:hAnsiTheme="minorEastAsia" w:hint="eastAsia"/>
                                <w:b/>
                                <w:color w:val="31849B" w:themeColor="accent5" w:themeShade="BF"/>
                                <w:sz w:val="22"/>
                              </w:rPr>
                              <w:t>国投中谷期货有限公司</w:t>
                            </w:r>
                          </w:p>
                          <w:p w:rsidR="00392BD9" w:rsidRPr="002C1FD6" w:rsidRDefault="00513184" w:rsidP="00EC4044">
                            <w:pPr>
                              <w:spacing w:line="360" w:lineRule="auto"/>
                              <w:jc w:val="center"/>
                              <w:rPr>
                                <w:rFonts w:asciiTheme="minorEastAsia" w:hAnsiTheme="minorEastAsia"/>
                                <w:b/>
                                <w:color w:val="31849B" w:themeColor="accent5" w:themeShade="BF"/>
                                <w:sz w:val="22"/>
                              </w:rPr>
                            </w:pPr>
                            <w:r>
                              <w:rPr>
                                <w:rFonts w:asciiTheme="minorEastAsia" w:hAnsiTheme="minorEastAsia" w:hint="eastAsia"/>
                                <w:b/>
                                <w:color w:val="31849B" w:themeColor="accent5" w:themeShade="BF"/>
                                <w:sz w:val="22"/>
                              </w:rPr>
                              <w:t>黑产掘金</w:t>
                            </w:r>
                            <w:r w:rsidR="004828DA">
                              <w:rPr>
                                <w:rFonts w:asciiTheme="minorEastAsia" w:hAnsiTheme="minorEastAsia" w:hint="eastAsia"/>
                                <w:b/>
                                <w:color w:val="31849B" w:themeColor="accent5" w:themeShade="BF"/>
                                <w:sz w:val="22"/>
                              </w:rPr>
                              <w:t>投研组</w:t>
                            </w:r>
                          </w:p>
                          <w:p w:rsidR="00392BD9" w:rsidRPr="002C1FD6" w:rsidRDefault="00392BD9" w:rsidP="00EC4044">
                            <w:pPr>
                              <w:spacing w:line="360" w:lineRule="auto"/>
                              <w:jc w:val="center"/>
                              <w:rPr>
                                <w:rFonts w:asciiTheme="minorEastAsia" w:hAnsiTheme="minorEastAsia"/>
                                <w:b/>
                                <w:color w:val="31849B" w:themeColor="accent5" w:themeShade="BF"/>
                                <w:sz w:val="22"/>
                              </w:rPr>
                            </w:pPr>
                            <w:r w:rsidRPr="002C1FD6">
                              <w:rPr>
                                <w:rFonts w:asciiTheme="minorEastAsia" w:hAnsiTheme="minorEastAsia" w:hint="eastAsia"/>
                                <w:b/>
                                <w:color w:val="31849B" w:themeColor="accent5" w:themeShade="BF"/>
                                <w:sz w:val="22"/>
                              </w:rPr>
                              <w:t>联系电话：</w:t>
                            </w:r>
                            <w:r>
                              <w:rPr>
                                <w:rFonts w:asciiTheme="minorEastAsia" w:hAnsiTheme="minorEastAsia" w:hint="eastAsia"/>
                                <w:b/>
                                <w:color w:val="31849B" w:themeColor="accent5" w:themeShade="BF"/>
                                <w:sz w:val="22"/>
                              </w:rPr>
                              <w:t>010-58747619</w:t>
                            </w:r>
                          </w:p>
                          <w:p w:rsidR="00392BD9" w:rsidRPr="002C1FD6" w:rsidRDefault="00392BD9" w:rsidP="00EC4044">
                            <w:pPr>
                              <w:spacing w:line="360" w:lineRule="auto"/>
                              <w:jc w:val="center"/>
                              <w:rPr>
                                <w:rFonts w:asciiTheme="minorEastAsia" w:hAnsiTheme="minorEastAsia"/>
                                <w:b/>
                                <w:color w:val="31849B" w:themeColor="accent5" w:themeShade="BF"/>
                                <w:sz w:val="22"/>
                              </w:rPr>
                            </w:pPr>
                            <w:r w:rsidRPr="002C1FD6">
                              <w:rPr>
                                <w:rFonts w:asciiTheme="minorEastAsia" w:hAnsiTheme="minorEastAsia" w:hint="eastAsia"/>
                                <w:b/>
                                <w:color w:val="31849B" w:themeColor="accent5" w:themeShade="BF"/>
                                <w:sz w:val="22"/>
                              </w:rPr>
                              <w:t>邮箱：</w:t>
                            </w:r>
                            <w:hyperlink r:id="rId14" w:history="1">
                              <w:r w:rsidRPr="002276E1">
                                <w:rPr>
                                  <w:rStyle w:val="a7"/>
                                  <w:rFonts w:asciiTheme="minorEastAsia" w:hAnsiTheme="minorEastAsia" w:hint="eastAsia"/>
                                  <w:b/>
                                  <w:sz w:val="22"/>
                                </w:rPr>
                                <w:t>guo_jianquan@zgqh.com.cn</w:t>
                              </w:r>
                            </w:hyperlink>
                          </w:p>
                          <w:p w:rsidR="00392BD9" w:rsidRPr="002C1FD6" w:rsidRDefault="00392BD9" w:rsidP="00EC4044">
                            <w:pPr>
                              <w:spacing w:line="360" w:lineRule="auto"/>
                              <w:jc w:val="center"/>
                              <w:rPr>
                                <w:rFonts w:asciiTheme="minorEastAsia" w:hAnsiTheme="minorEastAsia"/>
                                <w:b/>
                                <w:color w:val="31849B" w:themeColor="accent5" w:themeShade="BF"/>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93.75pt;margin-top:5.4pt;width:161.65pt;height:19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" filled="f" stroked="f">
                <v:textbox>
                  <w:txbxContent>
                    <w:p w:rsidR="00392BD9" w:rsidRPr="002C1FD6" w:rsidRDefault="00392BD9" w:rsidP="00EC4044">
                      <w:pPr>
                        <w:spacing w:line="360" w:lineRule="auto"/>
                        <w:jc w:val="center"/>
                        <w:rPr>
                          <w:rFonts w:asciiTheme="minorEastAsia" w:hAnsiTheme="minorEastAsia"/>
                          <w:b/>
                          <w:color w:val="31849B" w:themeColor="accent5" w:themeShade="BF"/>
                          <w:sz w:val="22"/>
                        </w:rPr>
                      </w:pPr>
                      <w:r w:rsidRPr="002C1FD6">
                        <w:rPr>
                          <w:rFonts w:asciiTheme="minorEastAsia" w:hAnsiTheme="minorEastAsia" w:hint="eastAsia"/>
                          <w:b/>
                          <w:color w:val="31849B" w:themeColor="accent5" w:themeShade="BF"/>
                          <w:sz w:val="22"/>
                        </w:rPr>
                        <w:t>国投中谷期货有限公司</w:t>
                      </w:r>
                    </w:p>
                    <w:p w:rsidR="00392BD9" w:rsidRPr="002C1FD6" w:rsidRDefault="00513184" w:rsidP="00EC4044">
                      <w:pPr>
                        <w:spacing w:line="360" w:lineRule="auto"/>
                        <w:jc w:val="center"/>
                        <w:rPr>
                          <w:rFonts w:asciiTheme="minorEastAsia" w:hAnsiTheme="minorEastAsia"/>
                          <w:b/>
                          <w:color w:val="31849B" w:themeColor="accent5" w:themeShade="BF"/>
                          <w:sz w:val="22"/>
                        </w:rPr>
                      </w:pPr>
                      <w:proofErr w:type="gramStart"/>
                      <w:r>
                        <w:rPr>
                          <w:rFonts w:asciiTheme="minorEastAsia" w:hAnsiTheme="minorEastAsia" w:hint="eastAsia"/>
                          <w:b/>
                          <w:color w:val="31849B" w:themeColor="accent5" w:themeShade="BF"/>
                          <w:sz w:val="22"/>
                        </w:rPr>
                        <w:t>黑产掘金</w:t>
                      </w:r>
                      <w:proofErr w:type="gramEnd"/>
                      <w:r w:rsidR="004828DA">
                        <w:rPr>
                          <w:rFonts w:asciiTheme="minorEastAsia" w:hAnsiTheme="minorEastAsia" w:hint="eastAsia"/>
                          <w:b/>
                          <w:color w:val="31849B" w:themeColor="accent5" w:themeShade="BF"/>
                          <w:sz w:val="22"/>
                        </w:rPr>
                        <w:t>投</w:t>
                      </w:r>
                      <w:proofErr w:type="gramStart"/>
                      <w:r w:rsidR="004828DA">
                        <w:rPr>
                          <w:rFonts w:asciiTheme="minorEastAsia" w:hAnsiTheme="minorEastAsia" w:hint="eastAsia"/>
                          <w:b/>
                          <w:color w:val="31849B" w:themeColor="accent5" w:themeShade="BF"/>
                          <w:sz w:val="22"/>
                        </w:rPr>
                        <w:t>研</w:t>
                      </w:r>
                      <w:proofErr w:type="gramEnd"/>
                      <w:r w:rsidR="004828DA">
                        <w:rPr>
                          <w:rFonts w:asciiTheme="minorEastAsia" w:hAnsiTheme="minorEastAsia" w:hint="eastAsia"/>
                          <w:b/>
                          <w:color w:val="31849B" w:themeColor="accent5" w:themeShade="BF"/>
                          <w:sz w:val="22"/>
                        </w:rPr>
                        <w:t>组</w:t>
                      </w:r>
                    </w:p>
                    <w:p w:rsidR="00392BD9" w:rsidRPr="002C1FD6" w:rsidRDefault="00392BD9" w:rsidP="00EC4044">
                      <w:pPr>
                        <w:spacing w:line="360" w:lineRule="auto"/>
                        <w:jc w:val="center"/>
                        <w:rPr>
                          <w:rFonts w:asciiTheme="minorEastAsia" w:hAnsiTheme="minorEastAsia"/>
                          <w:b/>
                          <w:color w:val="31849B" w:themeColor="accent5" w:themeShade="BF"/>
                          <w:sz w:val="22"/>
                        </w:rPr>
                      </w:pPr>
                      <w:r w:rsidRPr="002C1FD6">
                        <w:rPr>
                          <w:rFonts w:asciiTheme="minorEastAsia" w:hAnsiTheme="minorEastAsia" w:hint="eastAsia"/>
                          <w:b/>
                          <w:color w:val="31849B" w:themeColor="accent5" w:themeShade="BF"/>
                          <w:sz w:val="22"/>
                        </w:rPr>
                        <w:t>联系电话：</w:t>
                      </w:r>
                      <w:r>
                        <w:rPr>
                          <w:rFonts w:asciiTheme="minorEastAsia" w:hAnsiTheme="minorEastAsia" w:hint="eastAsia"/>
                          <w:b/>
                          <w:color w:val="31849B" w:themeColor="accent5" w:themeShade="BF"/>
                          <w:sz w:val="22"/>
                        </w:rPr>
                        <w:t>010-58747619</w:t>
                      </w:r>
                    </w:p>
                    <w:p w:rsidR="00392BD9" w:rsidRPr="002C1FD6" w:rsidRDefault="00392BD9" w:rsidP="00EC4044">
                      <w:pPr>
                        <w:spacing w:line="360" w:lineRule="auto"/>
                        <w:jc w:val="center"/>
                        <w:rPr>
                          <w:rFonts w:asciiTheme="minorEastAsia" w:hAnsiTheme="minorEastAsia"/>
                          <w:b/>
                          <w:color w:val="31849B" w:themeColor="accent5" w:themeShade="BF"/>
                          <w:sz w:val="22"/>
                        </w:rPr>
                      </w:pPr>
                      <w:r w:rsidRPr="002C1FD6">
                        <w:rPr>
                          <w:rFonts w:asciiTheme="minorEastAsia" w:hAnsiTheme="minorEastAsia" w:hint="eastAsia"/>
                          <w:b/>
                          <w:color w:val="31849B" w:themeColor="accent5" w:themeShade="BF"/>
                          <w:sz w:val="22"/>
                        </w:rPr>
                        <w:t>邮箱：</w:t>
                      </w:r>
                      <w:hyperlink r:id="rId15" w:history="1">
                        <w:r w:rsidRPr="002276E1">
                          <w:rPr>
                            <w:rStyle w:val="a7"/>
                            <w:rFonts w:asciiTheme="minorEastAsia" w:hAnsiTheme="minorEastAsia" w:hint="eastAsia"/>
                            <w:b/>
                            <w:sz w:val="22"/>
                          </w:rPr>
                          <w:t>guo_jianquan@zgqh.com.cn</w:t>
                        </w:r>
                      </w:hyperlink>
                    </w:p>
                    <w:p w:rsidR="00392BD9" w:rsidRPr="002C1FD6" w:rsidRDefault="00392BD9" w:rsidP="00EC4044">
                      <w:pPr>
                        <w:spacing w:line="360" w:lineRule="auto"/>
                        <w:jc w:val="center"/>
                        <w:rPr>
                          <w:rFonts w:asciiTheme="minorEastAsia" w:hAnsiTheme="minorEastAsia"/>
                          <w:b/>
                          <w:color w:val="31849B" w:themeColor="accent5" w:themeShade="BF"/>
                          <w:sz w:val="22"/>
                        </w:rPr>
                      </w:pPr>
                    </w:p>
                  </w:txbxContent>
                </v:textbox>
              </v:shape>
            </w:pict>
          </mc:Fallback>
        </mc:AlternateContent>
      </w:r>
    </w:p>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F479F4" w:rsidRDefault="00F479F4"/>
    <w:p w:rsidR="003941E0" w:rsidRPr="003941E0" w:rsidRDefault="003941E0" w:rsidP="003941E0">
      <w:pPr>
        <w:rPr>
          <w:rFonts w:ascii="华文楷体" w:eastAsia="华文楷体" w:hAnsi="华文楷体"/>
          <w:b/>
          <w:sz w:val="12"/>
          <w:szCs w:val="12"/>
        </w:rPr>
      </w:pPr>
    </w:p>
    <w:p w:rsidR="001205F9" w:rsidRDefault="004E2AA5" w:rsidP="001205F9">
      <w:pPr>
        <w:widowControl/>
        <w:adjustRightInd w:val="0"/>
        <w:snapToGrid w:val="0"/>
        <w:spacing w:line="312" w:lineRule="auto"/>
        <w:jc w:val="left"/>
        <w:rPr>
          <w:rFonts w:ascii="黑体" w:eastAsia="黑体" w:hAnsi="黑体"/>
          <w:color w:val="002060"/>
          <w:sz w:val="24"/>
        </w:rPr>
      </w:pPr>
      <w:r w:rsidRPr="000F1C29">
        <w:rPr>
          <w:rFonts w:ascii="黑体" w:eastAsia="黑体" w:hAnsi="黑体" w:hint="eastAsia"/>
          <w:color w:val="002060"/>
          <w:sz w:val="24"/>
        </w:rPr>
        <w:t>一、</w:t>
      </w:r>
      <w:r w:rsidR="00E25D22" w:rsidRPr="00E25D22">
        <w:rPr>
          <w:rFonts w:ascii="黑体" w:eastAsia="黑体" w:hAnsi="黑体" w:hint="eastAsia"/>
          <w:color w:val="002060"/>
          <w:sz w:val="24"/>
        </w:rPr>
        <w:t>供应端</w:t>
      </w:r>
    </w:p>
    <w:p w:rsidR="00E25D22" w:rsidRPr="00E0596C" w:rsidRDefault="00E25D22" w:rsidP="00E0596C">
      <w:pPr>
        <w:widowControl/>
        <w:adjustRightInd w:val="0"/>
        <w:snapToGrid w:val="0"/>
        <w:spacing w:line="312" w:lineRule="auto"/>
        <w:ind w:firstLineChars="200" w:firstLine="440"/>
        <w:jc w:val="left"/>
        <w:rPr>
          <w:rFonts w:ascii="华文楷体" w:eastAsia="华文楷体" w:hAnsi="华文楷体"/>
          <w:b/>
          <w:sz w:val="22"/>
        </w:rPr>
      </w:pPr>
      <w:r w:rsidRPr="00E0596C">
        <w:rPr>
          <w:rFonts w:ascii="华文楷体" w:eastAsia="华文楷体" w:hAnsi="华文楷体" w:hint="eastAsia"/>
          <w:b/>
          <w:sz w:val="22"/>
        </w:rPr>
        <w:t>1、</w:t>
      </w:r>
      <w:r w:rsidRPr="00E0596C">
        <w:rPr>
          <w:rFonts w:ascii="华文楷体" w:eastAsia="华文楷体" w:hAnsi="华文楷体" w:hint="eastAsia"/>
          <w:b/>
          <w:sz w:val="22"/>
        </w:rPr>
        <w:tab/>
        <w:t>国内产量继续增加</w:t>
      </w:r>
    </w:p>
    <w:p w:rsidR="003156F6" w:rsidRPr="00DA04D7" w:rsidRDefault="00E25D22" w:rsidP="00E25D22">
      <w:pPr>
        <w:widowControl/>
        <w:adjustRightInd w:val="0"/>
        <w:snapToGrid w:val="0"/>
        <w:spacing w:line="312" w:lineRule="auto"/>
        <w:ind w:firstLineChars="200" w:firstLine="440"/>
        <w:jc w:val="left"/>
        <w:rPr>
          <w:rFonts w:ascii="华文楷体" w:eastAsia="华文楷体" w:hAnsi="华文楷体"/>
          <w:sz w:val="22"/>
        </w:rPr>
      </w:pPr>
      <w:r w:rsidRPr="00E25D22">
        <w:rPr>
          <w:rFonts w:ascii="华文楷体" w:eastAsia="华文楷体" w:hAnsi="华文楷体" w:hint="eastAsia"/>
          <w:sz w:val="22"/>
        </w:rPr>
        <w:t>进入十一月，前期临时检修装置将陆续重启。而LLDPE与HDPE注塑价差缩小将使部分全密度装置转产LLDPE。可以确定的是11月开始独山子全密度装置开始排产LLDPE，之前生产HDPE，大庆石化也增加了LLDPE排产计划。由于LLDPE都是一体化装置，因此上游利润非常理想，无论是煤制烯烃装置还是油化工装置短期不会出现主动减产的情况。</w:t>
      </w:r>
      <w:r w:rsidRPr="00E25D22">
        <w:rPr>
          <w:rFonts w:ascii="华文楷体" w:eastAsia="华文楷体" w:hAnsi="华文楷体" w:hint="eastAsia"/>
          <w:b/>
          <w:sz w:val="22"/>
        </w:rPr>
        <w:t>从11月开始LLDPE产量环比将有所增加。</w:t>
      </w:r>
    </w:p>
    <w:p w:rsidR="002A6965" w:rsidRDefault="00E25D22" w:rsidP="00FA69A2">
      <w:pPr>
        <w:widowControl/>
        <w:adjustRightInd w:val="0"/>
        <w:snapToGrid w:val="0"/>
        <w:spacing w:line="312" w:lineRule="auto"/>
        <w:jc w:val="center"/>
        <w:rPr>
          <w:rFonts w:ascii="黑体" w:eastAsia="黑体" w:hAnsi="黑体"/>
          <w:color w:val="002060"/>
        </w:rPr>
      </w:pPr>
      <w:r>
        <w:rPr>
          <w:rFonts w:ascii="黑体" w:eastAsia="黑体" w:hAnsi="黑体" w:hint="eastAsia"/>
          <w:color w:val="002060"/>
        </w:rPr>
        <w:t>表</w:t>
      </w:r>
      <w:r w:rsidR="002A6965" w:rsidRPr="000F1C29">
        <w:rPr>
          <w:rFonts w:ascii="黑体" w:eastAsia="黑体" w:hAnsi="黑体" w:hint="eastAsia"/>
          <w:color w:val="002060"/>
        </w:rPr>
        <w:t>1：</w:t>
      </w:r>
      <w:r w:rsidRPr="00E25D22">
        <w:rPr>
          <w:rFonts w:ascii="黑体" w:eastAsia="黑体" w:hAnsi="黑体" w:hint="eastAsia"/>
          <w:color w:val="002060"/>
        </w:rPr>
        <w:t>LLDPE/全密度装置检修及重启计划</w:t>
      </w:r>
    </w:p>
    <w:tbl>
      <w:tblPr>
        <w:tblStyle w:val="-10"/>
        <w:tblW w:w="8792" w:type="dxa"/>
        <w:jc w:val="center"/>
        <w:tblLook w:val="04A0" w:firstRow="1" w:lastRow="0" w:firstColumn="1" w:lastColumn="0" w:noHBand="0" w:noVBand="1"/>
      </w:tblPr>
      <w:tblGrid>
        <w:gridCol w:w="1421"/>
        <w:gridCol w:w="1664"/>
        <w:gridCol w:w="1454"/>
        <w:gridCol w:w="4253"/>
      </w:tblGrid>
      <w:tr w:rsidR="00E25D22" w:rsidRPr="00385032" w:rsidTr="00E25D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1" w:type="dxa"/>
            <w:hideMark/>
          </w:tcPr>
          <w:p w:rsidR="00E25D22" w:rsidRPr="00385032" w:rsidRDefault="00E25D22" w:rsidP="00F9029A">
            <w:pPr>
              <w:jc w:val="center"/>
              <w:rPr>
                <w:rFonts w:ascii="楷体" w:eastAsia="楷体" w:hAnsi="楷体"/>
                <w:b w:val="0"/>
                <w:color w:val="4F81BD" w:themeColor="accent1"/>
                <w:sz w:val="24"/>
                <w:szCs w:val="24"/>
              </w:rPr>
            </w:pPr>
            <w:r w:rsidRPr="00385032">
              <w:rPr>
                <w:rFonts w:ascii="楷体" w:eastAsia="楷体" w:hAnsi="楷体" w:hint="eastAsia"/>
                <w:b w:val="0"/>
                <w:color w:val="4F81BD" w:themeColor="accent1"/>
                <w:sz w:val="24"/>
                <w:szCs w:val="24"/>
              </w:rPr>
              <w:t>石化名称</w:t>
            </w:r>
          </w:p>
        </w:tc>
        <w:tc>
          <w:tcPr>
            <w:tcW w:w="1664" w:type="dxa"/>
            <w:hideMark/>
          </w:tcPr>
          <w:p w:rsidR="00E25D22" w:rsidRPr="00385032" w:rsidRDefault="00E25D22" w:rsidP="00F9029A">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b w:val="0"/>
                <w:color w:val="4F81BD" w:themeColor="accent1"/>
                <w:sz w:val="24"/>
                <w:szCs w:val="24"/>
              </w:rPr>
            </w:pPr>
            <w:r w:rsidRPr="00385032">
              <w:rPr>
                <w:rFonts w:ascii="楷体" w:eastAsia="楷体" w:hAnsi="楷体" w:hint="eastAsia"/>
                <w:b w:val="0"/>
                <w:color w:val="4F81BD" w:themeColor="accent1"/>
                <w:sz w:val="24"/>
                <w:szCs w:val="24"/>
              </w:rPr>
              <w:t>生产装置</w:t>
            </w:r>
          </w:p>
        </w:tc>
        <w:tc>
          <w:tcPr>
            <w:tcW w:w="1454" w:type="dxa"/>
            <w:hideMark/>
          </w:tcPr>
          <w:p w:rsidR="00E25D22" w:rsidRPr="00385032" w:rsidRDefault="00E25D22" w:rsidP="00F9029A">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b w:val="0"/>
                <w:color w:val="4F81BD" w:themeColor="accent1"/>
                <w:sz w:val="24"/>
                <w:szCs w:val="24"/>
              </w:rPr>
            </w:pPr>
            <w:r w:rsidRPr="00385032">
              <w:rPr>
                <w:rFonts w:ascii="楷体" w:eastAsia="楷体" w:hAnsi="楷体" w:hint="eastAsia"/>
                <w:b w:val="0"/>
                <w:color w:val="4F81BD" w:themeColor="accent1"/>
                <w:sz w:val="24"/>
                <w:szCs w:val="24"/>
              </w:rPr>
              <w:t>产能</w:t>
            </w:r>
            <w:r>
              <w:rPr>
                <w:rFonts w:ascii="楷体" w:eastAsia="楷体" w:hAnsi="楷体" w:hint="eastAsia"/>
                <w:b w:val="0"/>
                <w:color w:val="4F81BD" w:themeColor="accent1"/>
                <w:sz w:val="24"/>
                <w:szCs w:val="24"/>
              </w:rPr>
              <w:t>（万吨/年）</w:t>
            </w:r>
          </w:p>
        </w:tc>
        <w:tc>
          <w:tcPr>
            <w:tcW w:w="4253" w:type="dxa"/>
            <w:hideMark/>
          </w:tcPr>
          <w:p w:rsidR="00E25D22" w:rsidRPr="00385032" w:rsidRDefault="00E25D22" w:rsidP="00F9029A">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b w:val="0"/>
                <w:color w:val="4F81BD" w:themeColor="accent1"/>
                <w:sz w:val="24"/>
                <w:szCs w:val="24"/>
              </w:rPr>
            </w:pPr>
            <w:r w:rsidRPr="00385032">
              <w:rPr>
                <w:rFonts w:ascii="楷体" w:eastAsia="楷体" w:hAnsi="楷体" w:hint="eastAsia"/>
                <w:b w:val="0"/>
                <w:color w:val="4F81BD" w:themeColor="accent1"/>
                <w:sz w:val="24"/>
                <w:szCs w:val="24"/>
              </w:rPr>
              <w:t>安排计划</w:t>
            </w:r>
          </w:p>
        </w:tc>
      </w:tr>
      <w:tr w:rsidR="00E25D22" w:rsidRPr="00385032" w:rsidTr="00E25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E25D22" w:rsidRPr="007F6A1F" w:rsidRDefault="00E25D22" w:rsidP="00F9029A">
            <w:pPr>
              <w:jc w:val="center"/>
              <w:rPr>
                <w:rFonts w:ascii="楷体" w:eastAsia="楷体" w:hAnsi="楷体"/>
                <w:b w:val="0"/>
                <w:color w:val="000000" w:themeColor="text1"/>
                <w:szCs w:val="21"/>
              </w:rPr>
            </w:pPr>
            <w:r>
              <w:rPr>
                <w:rFonts w:ascii="楷体" w:eastAsia="楷体" w:hAnsi="楷体" w:hint="eastAsia"/>
                <w:b w:val="0"/>
                <w:color w:val="000000" w:themeColor="text1"/>
                <w:szCs w:val="21"/>
              </w:rPr>
              <w:t>中原石化</w:t>
            </w:r>
          </w:p>
        </w:tc>
        <w:tc>
          <w:tcPr>
            <w:tcW w:w="1664" w:type="dxa"/>
            <w:shd w:val="clear" w:color="auto" w:fill="auto"/>
          </w:tcPr>
          <w:p w:rsidR="00E25D22" w:rsidRPr="007F6A1F"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LLDPE、全密度</w:t>
            </w:r>
          </w:p>
        </w:tc>
        <w:tc>
          <w:tcPr>
            <w:tcW w:w="1454" w:type="dxa"/>
            <w:shd w:val="clear" w:color="auto" w:fill="auto"/>
          </w:tcPr>
          <w:p w:rsidR="00E25D22" w:rsidRPr="007F6A1F"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12+14</w:t>
            </w:r>
          </w:p>
        </w:tc>
        <w:tc>
          <w:tcPr>
            <w:tcW w:w="4253" w:type="dxa"/>
            <w:shd w:val="clear" w:color="auto" w:fill="auto"/>
          </w:tcPr>
          <w:p w:rsidR="00E25D22" w:rsidRPr="007F6A1F" w:rsidRDefault="00E25D22" w:rsidP="00F9029A">
            <w:pPr>
              <w:ind w:right="315"/>
              <w:jc w:val="right"/>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计划10月12日停车35天左右</w:t>
            </w:r>
          </w:p>
        </w:tc>
      </w:tr>
      <w:tr w:rsidR="00E25D22" w:rsidRPr="00385032" w:rsidTr="00E25D22">
        <w:trPr>
          <w:jc w:val="center"/>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E25D22" w:rsidRDefault="00E25D22" w:rsidP="00F9029A">
            <w:pPr>
              <w:jc w:val="center"/>
              <w:rPr>
                <w:rFonts w:ascii="楷体" w:eastAsia="楷体" w:hAnsi="楷体"/>
                <w:b w:val="0"/>
                <w:color w:val="000000" w:themeColor="text1"/>
                <w:szCs w:val="21"/>
              </w:rPr>
            </w:pPr>
            <w:r>
              <w:rPr>
                <w:rFonts w:ascii="楷体" w:eastAsia="楷体" w:hAnsi="楷体" w:hint="eastAsia"/>
                <w:b w:val="0"/>
                <w:color w:val="000000" w:themeColor="text1"/>
                <w:szCs w:val="21"/>
              </w:rPr>
              <w:t>蒲城新能源</w:t>
            </w:r>
          </w:p>
        </w:tc>
        <w:tc>
          <w:tcPr>
            <w:tcW w:w="1664" w:type="dxa"/>
            <w:shd w:val="clear" w:color="auto" w:fill="auto"/>
          </w:tcPr>
          <w:p w:rsidR="00E25D22"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全密度装置</w:t>
            </w:r>
          </w:p>
        </w:tc>
        <w:tc>
          <w:tcPr>
            <w:tcW w:w="1454" w:type="dxa"/>
            <w:shd w:val="clear" w:color="auto" w:fill="auto"/>
          </w:tcPr>
          <w:p w:rsidR="00E25D22"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30</w:t>
            </w:r>
          </w:p>
        </w:tc>
        <w:tc>
          <w:tcPr>
            <w:tcW w:w="4253" w:type="dxa"/>
            <w:shd w:val="clear" w:color="auto" w:fill="auto"/>
          </w:tcPr>
          <w:p w:rsidR="00E25D22"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10.21故障临时停车，计划2周</w:t>
            </w:r>
          </w:p>
        </w:tc>
      </w:tr>
      <w:tr w:rsidR="00E25D22" w:rsidRPr="00385032" w:rsidTr="00E25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E25D22" w:rsidRPr="00B372F8" w:rsidRDefault="00E25D22" w:rsidP="00F9029A">
            <w:pPr>
              <w:jc w:val="center"/>
              <w:rPr>
                <w:rFonts w:ascii="楷体" w:eastAsia="楷体" w:hAnsi="楷体"/>
                <w:b w:val="0"/>
                <w:color w:val="000000" w:themeColor="text1"/>
                <w:szCs w:val="21"/>
              </w:rPr>
            </w:pPr>
            <w:r w:rsidRPr="00B372F8">
              <w:rPr>
                <w:rFonts w:ascii="楷体" w:eastAsia="楷体" w:hAnsi="楷体" w:hint="eastAsia"/>
                <w:b w:val="0"/>
                <w:color w:val="000000" w:themeColor="text1"/>
                <w:szCs w:val="21"/>
              </w:rPr>
              <w:t>抚顺石化</w:t>
            </w:r>
          </w:p>
        </w:tc>
        <w:tc>
          <w:tcPr>
            <w:tcW w:w="1664" w:type="dxa"/>
            <w:shd w:val="clear" w:color="auto" w:fill="auto"/>
          </w:tcPr>
          <w:p w:rsidR="00E25D22"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全密度装置</w:t>
            </w:r>
          </w:p>
        </w:tc>
        <w:tc>
          <w:tcPr>
            <w:tcW w:w="1454" w:type="dxa"/>
            <w:shd w:val="clear" w:color="auto" w:fill="auto"/>
          </w:tcPr>
          <w:p w:rsidR="00E25D22"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45</w:t>
            </w:r>
          </w:p>
        </w:tc>
        <w:tc>
          <w:tcPr>
            <w:tcW w:w="4253" w:type="dxa"/>
            <w:shd w:val="clear" w:color="auto" w:fill="auto"/>
          </w:tcPr>
          <w:p w:rsidR="00E25D22"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10.26停车，计划11.1重启</w:t>
            </w:r>
          </w:p>
        </w:tc>
      </w:tr>
      <w:tr w:rsidR="00E25D22" w:rsidRPr="00385032" w:rsidTr="00E25D22">
        <w:trPr>
          <w:jc w:val="center"/>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E25D22" w:rsidRPr="00B372F8" w:rsidRDefault="00E25D22" w:rsidP="00F9029A">
            <w:pPr>
              <w:jc w:val="center"/>
              <w:rPr>
                <w:rFonts w:ascii="楷体" w:eastAsia="楷体" w:hAnsi="楷体"/>
                <w:b w:val="0"/>
                <w:color w:val="000000" w:themeColor="text1"/>
                <w:szCs w:val="21"/>
              </w:rPr>
            </w:pPr>
            <w:r>
              <w:rPr>
                <w:rFonts w:ascii="楷体" w:eastAsia="楷体" w:hAnsi="楷体" w:hint="eastAsia"/>
                <w:b w:val="0"/>
                <w:color w:val="000000" w:themeColor="text1"/>
                <w:szCs w:val="21"/>
              </w:rPr>
              <w:t>宝丰能源</w:t>
            </w:r>
          </w:p>
        </w:tc>
        <w:tc>
          <w:tcPr>
            <w:tcW w:w="1664" w:type="dxa"/>
            <w:shd w:val="clear" w:color="auto" w:fill="auto"/>
          </w:tcPr>
          <w:p w:rsidR="00E25D22"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全密度装置</w:t>
            </w:r>
          </w:p>
        </w:tc>
        <w:tc>
          <w:tcPr>
            <w:tcW w:w="1454" w:type="dxa"/>
            <w:shd w:val="clear" w:color="auto" w:fill="auto"/>
          </w:tcPr>
          <w:p w:rsidR="00E25D22"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30</w:t>
            </w:r>
          </w:p>
        </w:tc>
        <w:tc>
          <w:tcPr>
            <w:tcW w:w="4253" w:type="dxa"/>
            <w:shd w:val="clear" w:color="auto" w:fill="auto"/>
          </w:tcPr>
          <w:p w:rsidR="00E25D22"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10.26停车，11.5重启产8008</w:t>
            </w:r>
          </w:p>
        </w:tc>
      </w:tr>
      <w:tr w:rsidR="00E25D22" w:rsidRPr="00385032" w:rsidTr="00E25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E25D22" w:rsidRDefault="00E25D22" w:rsidP="00F9029A">
            <w:pPr>
              <w:jc w:val="center"/>
              <w:rPr>
                <w:rFonts w:ascii="楷体" w:eastAsia="楷体" w:hAnsi="楷体"/>
                <w:b w:val="0"/>
                <w:color w:val="000000" w:themeColor="text1"/>
                <w:szCs w:val="21"/>
              </w:rPr>
            </w:pPr>
            <w:r>
              <w:rPr>
                <w:rFonts w:ascii="楷体" w:eastAsia="楷体" w:hAnsi="楷体" w:hint="eastAsia"/>
                <w:b w:val="0"/>
                <w:color w:val="000000" w:themeColor="text1"/>
                <w:szCs w:val="21"/>
              </w:rPr>
              <w:t>上海赛科</w:t>
            </w:r>
          </w:p>
        </w:tc>
        <w:tc>
          <w:tcPr>
            <w:tcW w:w="1664" w:type="dxa"/>
            <w:shd w:val="clear" w:color="auto" w:fill="auto"/>
          </w:tcPr>
          <w:p w:rsidR="00E25D22"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LLDPE装置</w:t>
            </w:r>
          </w:p>
        </w:tc>
        <w:tc>
          <w:tcPr>
            <w:tcW w:w="1454" w:type="dxa"/>
            <w:shd w:val="clear" w:color="auto" w:fill="auto"/>
          </w:tcPr>
          <w:p w:rsidR="00E25D22"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30</w:t>
            </w:r>
          </w:p>
        </w:tc>
        <w:tc>
          <w:tcPr>
            <w:tcW w:w="4253" w:type="dxa"/>
            <w:shd w:val="clear" w:color="auto" w:fill="auto"/>
          </w:tcPr>
          <w:p w:rsidR="00E25D22"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11.1停车，11.7重启</w:t>
            </w:r>
          </w:p>
        </w:tc>
      </w:tr>
      <w:tr w:rsidR="00E25D22" w:rsidRPr="00385032" w:rsidTr="00E25D22">
        <w:trPr>
          <w:jc w:val="center"/>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E25D22" w:rsidRPr="00615D01" w:rsidRDefault="00E25D22" w:rsidP="00F9029A">
            <w:pPr>
              <w:jc w:val="center"/>
              <w:rPr>
                <w:rFonts w:ascii="楷体" w:eastAsia="楷体" w:hAnsi="楷体"/>
                <w:b w:val="0"/>
                <w:color w:val="000000" w:themeColor="text1"/>
                <w:szCs w:val="21"/>
              </w:rPr>
            </w:pPr>
            <w:r w:rsidRPr="00615D01">
              <w:rPr>
                <w:rFonts w:ascii="楷体" w:eastAsia="楷体" w:hAnsi="楷体" w:hint="eastAsia"/>
                <w:b w:val="0"/>
                <w:color w:val="000000" w:themeColor="text1"/>
                <w:szCs w:val="21"/>
              </w:rPr>
              <w:t>独山子</w:t>
            </w:r>
          </w:p>
        </w:tc>
        <w:tc>
          <w:tcPr>
            <w:tcW w:w="1664" w:type="dxa"/>
            <w:shd w:val="clear" w:color="auto" w:fill="auto"/>
          </w:tcPr>
          <w:p w:rsidR="00E25D22"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全密度装置</w:t>
            </w:r>
          </w:p>
        </w:tc>
        <w:tc>
          <w:tcPr>
            <w:tcW w:w="1454" w:type="dxa"/>
            <w:shd w:val="clear" w:color="auto" w:fill="auto"/>
          </w:tcPr>
          <w:p w:rsidR="00E25D22"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30</w:t>
            </w:r>
          </w:p>
        </w:tc>
        <w:tc>
          <w:tcPr>
            <w:tcW w:w="4253" w:type="dxa"/>
            <w:shd w:val="clear" w:color="auto" w:fill="auto"/>
          </w:tcPr>
          <w:p w:rsidR="00E25D22"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11月转产7042</w:t>
            </w:r>
          </w:p>
        </w:tc>
      </w:tr>
      <w:tr w:rsidR="00E25D22" w:rsidRPr="00385032" w:rsidTr="00E25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E25D22" w:rsidRPr="00615D01" w:rsidRDefault="00E25D22" w:rsidP="00F9029A">
            <w:pPr>
              <w:jc w:val="center"/>
              <w:rPr>
                <w:rFonts w:ascii="楷体" w:eastAsia="楷体" w:hAnsi="楷体"/>
                <w:b w:val="0"/>
                <w:color w:val="000000" w:themeColor="text1"/>
                <w:szCs w:val="21"/>
              </w:rPr>
            </w:pPr>
            <w:r>
              <w:rPr>
                <w:rFonts w:ascii="楷体" w:eastAsia="楷体" w:hAnsi="楷体" w:hint="eastAsia"/>
                <w:b w:val="0"/>
                <w:color w:val="000000" w:themeColor="text1"/>
                <w:szCs w:val="21"/>
              </w:rPr>
              <w:t>大庆石化</w:t>
            </w:r>
          </w:p>
        </w:tc>
        <w:tc>
          <w:tcPr>
            <w:tcW w:w="1664" w:type="dxa"/>
            <w:shd w:val="clear" w:color="auto" w:fill="auto"/>
          </w:tcPr>
          <w:p w:rsidR="00E25D22"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LLDPE装置</w:t>
            </w:r>
          </w:p>
        </w:tc>
        <w:tc>
          <w:tcPr>
            <w:tcW w:w="1454" w:type="dxa"/>
            <w:shd w:val="clear" w:color="auto" w:fill="auto"/>
          </w:tcPr>
          <w:p w:rsidR="00E25D22"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7.8</w:t>
            </w:r>
          </w:p>
        </w:tc>
        <w:tc>
          <w:tcPr>
            <w:tcW w:w="4253" w:type="dxa"/>
            <w:shd w:val="clear" w:color="auto" w:fill="auto"/>
          </w:tcPr>
          <w:p w:rsidR="00E25D22" w:rsidRDefault="00E25D22" w:rsidP="00F9029A">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bCs/>
                <w:color w:val="000000" w:themeColor="text1"/>
                <w:szCs w:val="21"/>
              </w:rPr>
            </w:pPr>
            <w:r>
              <w:rPr>
                <w:rFonts w:ascii="楷体" w:eastAsia="楷体" w:hAnsi="楷体" w:hint="eastAsia"/>
                <w:bCs/>
                <w:color w:val="000000" w:themeColor="text1"/>
                <w:szCs w:val="21"/>
              </w:rPr>
              <w:t>11月初转产7042</w:t>
            </w:r>
          </w:p>
        </w:tc>
      </w:tr>
      <w:tr w:rsidR="00E25D22" w:rsidRPr="00385032" w:rsidTr="00E25D22">
        <w:trPr>
          <w:jc w:val="center"/>
        </w:trPr>
        <w:tc>
          <w:tcPr>
            <w:cnfStyle w:val="001000000000" w:firstRow="0" w:lastRow="0" w:firstColumn="1" w:lastColumn="0" w:oddVBand="0" w:evenVBand="0" w:oddHBand="0" w:evenHBand="0" w:firstRowFirstColumn="0" w:firstRowLastColumn="0" w:lastRowFirstColumn="0" w:lastRowLastColumn="0"/>
            <w:tcW w:w="1421" w:type="dxa"/>
            <w:shd w:val="clear" w:color="auto" w:fill="EEECE1" w:themeFill="background2"/>
          </w:tcPr>
          <w:p w:rsidR="00E25D22" w:rsidRPr="007F6A1F" w:rsidRDefault="00E25D22" w:rsidP="00F9029A">
            <w:pPr>
              <w:jc w:val="center"/>
              <w:rPr>
                <w:rFonts w:ascii="楷体" w:eastAsia="楷体" w:hAnsi="楷体"/>
                <w:b w:val="0"/>
                <w:bCs w:val="0"/>
                <w:color w:val="000000" w:themeColor="text1"/>
                <w:szCs w:val="21"/>
              </w:rPr>
            </w:pPr>
            <w:r w:rsidRPr="007F6A1F">
              <w:rPr>
                <w:rFonts w:ascii="楷体" w:eastAsia="楷体" w:hAnsi="楷体" w:hint="eastAsia"/>
                <w:b w:val="0"/>
                <w:bCs w:val="0"/>
                <w:color w:val="000000" w:themeColor="text1"/>
                <w:szCs w:val="21"/>
              </w:rPr>
              <w:t>广州石化</w:t>
            </w:r>
          </w:p>
        </w:tc>
        <w:tc>
          <w:tcPr>
            <w:tcW w:w="1664" w:type="dxa"/>
            <w:shd w:val="clear" w:color="auto" w:fill="EEECE1" w:themeFill="background2"/>
          </w:tcPr>
          <w:p w:rsidR="00E25D22" w:rsidRPr="007F6A1F"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sidRPr="007F6A1F">
              <w:rPr>
                <w:rFonts w:ascii="楷体" w:eastAsia="楷体" w:hAnsi="楷体" w:hint="eastAsia"/>
                <w:bCs/>
                <w:color w:val="000000" w:themeColor="text1"/>
                <w:szCs w:val="21"/>
              </w:rPr>
              <w:t>全密度装置</w:t>
            </w:r>
          </w:p>
        </w:tc>
        <w:tc>
          <w:tcPr>
            <w:tcW w:w="1454" w:type="dxa"/>
            <w:shd w:val="clear" w:color="auto" w:fill="EEECE1" w:themeFill="background2"/>
          </w:tcPr>
          <w:p w:rsidR="00E25D22" w:rsidRPr="007F6A1F"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sidRPr="007F6A1F">
              <w:rPr>
                <w:rFonts w:ascii="楷体" w:eastAsia="楷体" w:hAnsi="楷体" w:hint="eastAsia"/>
                <w:bCs/>
                <w:color w:val="000000" w:themeColor="text1"/>
                <w:szCs w:val="21"/>
              </w:rPr>
              <w:t>26</w:t>
            </w:r>
          </w:p>
        </w:tc>
        <w:tc>
          <w:tcPr>
            <w:tcW w:w="4253" w:type="dxa"/>
            <w:shd w:val="clear" w:color="auto" w:fill="EEECE1" w:themeFill="background2"/>
          </w:tcPr>
          <w:p w:rsidR="00E25D22" w:rsidRPr="007F6A1F" w:rsidRDefault="00E25D22" w:rsidP="00F9029A">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bCs/>
                <w:color w:val="000000" w:themeColor="text1"/>
                <w:szCs w:val="21"/>
              </w:rPr>
            </w:pPr>
            <w:r w:rsidRPr="007F6A1F">
              <w:rPr>
                <w:rFonts w:ascii="楷体" w:eastAsia="楷体" w:hAnsi="楷体" w:hint="eastAsia"/>
                <w:bCs/>
                <w:color w:val="000000" w:themeColor="text1"/>
                <w:szCs w:val="21"/>
              </w:rPr>
              <w:t>计划12月起检修一个月</w:t>
            </w:r>
          </w:p>
        </w:tc>
      </w:tr>
    </w:tbl>
    <w:p w:rsidR="00E25D22" w:rsidRDefault="00E25D22" w:rsidP="00E0596C">
      <w:pPr>
        <w:widowControl/>
        <w:adjustRightInd w:val="0"/>
        <w:snapToGrid w:val="0"/>
        <w:spacing w:line="312" w:lineRule="auto"/>
        <w:ind w:firstLineChars="250" w:firstLine="500"/>
        <w:jc w:val="left"/>
        <w:rPr>
          <w:rFonts w:ascii="楷体" w:eastAsia="楷体" w:hAnsi="楷体"/>
          <w:color w:val="000000" w:themeColor="text1"/>
          <w:sz w:val="20"/>
          <w:szCs w:val="21"/>
        </w:rPr>
      </w:pPr>
      <w:r w:rsidRPr="00E0596C">
        <w:rPr>
          <w:rFonts w:ascii="楷体" w:eastAsia="楷体" w:hAnsi="楷体" w:hint="eastAsia"/>
          <w:color w:val="000000" w:themeColor="text1"/>
          <w:sz w:val="20"/>
          <w:szCs w:val="21"/>
        </w:rPr>
        <w:t>数据来源：卓创资讯、《CMAI》</w:t>
      </w:r>
    </w:p>
    <w:p w:rsidR="00A771A2" w:rsidRPr="00E0596C" w:rsidRDefault="00A771A2" w:rsidP="00E0596C">
      <w:pPr>
        <w:widowControl/>
        <w:adjustRightInd w:val="0"/>
        <w:snapToGrid w:val="0"/>
        <w:spacing w:line="312" w:lineRule="auto"/>
        <w:ind w:firstLineChars="250" w:firstLine="500"/>
        <w:jc w:val="left"/>
        <w:rPr>
          <w:rFonts w:ascii="楷体" w:eastAsia="楷体" w:hAnsi="楷体"/>
          <w:color w:val="000000" w:themeColor="text1"/>
          <w:sz w:val="20"/>
          <w:szCs w:val="21"/>
        </w:rPr>
      </w:pPr>
    </w:p>
    <w:p w:rsidR="00E25D22" w:rsidRPr="00E25D22" w:rsidRDefault="00E25D22" w:rsidP="00E25D22">
      <w:pPr>
        <w:widowControl/>
        <w:adjustRightInd w:val="0"/>
        <w:snapToGrid w:val="0"/>
        <w:spacing w:line="312" w:lineRule="auto"/>
        <w:jc w:val="center"/>
        <w:rPr>
          <w:rFonts w:ascii="黑体" w:eastAsia="黑体" w:hAnsi="黑体"/>
          <w:color w:val="002060"/>
        </w:rPr>
      </w:pPr>
      <w:r w:rsidRPr="00E25D22">
        <w:rPr>
          <w:rFonts w:ascii="黑体" w:eastAsia="黑体" w:hAnsi="黑体" w:hint="eastAsia"/>
          <w:color w:val="002060"/>
        </w:rPr>
        <w:t>图1</w:t>
      </w:r>
      <w:r>
        <w:rPr>
          <w:rFonts w:ascii="黑体" w:eastAsia="黑体" w:hAnsi="黑体" w:hint="eastAsia"/>
          <w:color w:val="002060"/>
        </w:rPr>
        <w:t>：</w:t>
      </w:r>
      <w:r w:rsidRPr="00E25D22">
        <w:rPr>
          <w:rFonts w:ascii="黑体" w:eastAsia="黑体" w:hAnsi="黑体" w:hint="eastAsia"/>
          <w:color w:val="002060"/>
        </w:rPr>
        <w:t>PE人民币价差</w:t>
      </w:r>
    </w:p>
    <w:p w:rsidR="007E2AFC" w:rsidRDefault="00E25D22" w:rsidP="007E2AFC">
      <w:pPr>
        <w:adjustRightInd w:val="0"/>
        <w:snapToGrid w:val="0"/>
        <w:spacing w:line="312" w:lineRule="auto"/>
        <w:jc w:val="center"/>
        <w:rPr>
          <w:rFonts w:ascii="楷体" w:eastAsia="楷体" w:hAnsi="楷体"/>
          <w:color w:val="000000" w:themeColor="text1"/>
          <w:szCs w:val="21"/>
        </w:rPr>
      </w:pPr>
      <w:r>
        <w:rPr>
          <w:noProof/>
        </w:rPr>
        <w:drawing>
          <wp:inline distT="0" distB="0" distL="0" distR="0" wp14:anchorId="7D29D406" wp14:editId="48B7E091">
            <wp:extent cx="4533265" cy="1809750"/>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265" cy="1809750"/>
                    </a:xfrm>
                    <a:prstGeom prst="rect">
                      <a:avLst/>
                    </a:prstGeom>
                    <a:noFill/>
                  </pic:spPr>
                </pic:pic>
              </a:graphicData>
            </a:graphic>
          </wp:inline>
        </w:drawing>
      </w:r>
    </w:p>
    <w:p w:rsidR="00484570" w:rsidRPr="00E0596C" w:rsidRDefault="007E2AFC" w:rsidP="00E0596C">
      <w:pPr>
        <w:adjustRightInd w:val="0"/>
        <w:snapToGrid w:val="0"/>
        <w:spacing w:line="312" w:lineRule="auto"/>
        <w:ind w:firstLineChars="650" w:firstLine="1300"/>
        <w:jc w:val="left"/>
        <w:rPr>
          <w:noProof/>
          <w:sz w:val="20"/>
        </w:rPr>
      </w:pPr>
      <w:r w:rsidRPr="00E0596C">
        <w:rPr>
          <w:rFonts w:ascii="楷体" w:eastAsia="楷体" w:hAnsi="楷体" w:hint="eastAsia"/>
          <w:color w:val="000000" w:themeColor="text1"/>
          <w:sz w:val="20"/>
          <w:szCs w:val="21"/>
        </w:rPr>
        <w:t>数据来源：wind、国投期货整理</w:t>
      </w:r>
    </w:p>
    <w:p w:rsidR="00A771A2" w:rsidRDefault="00A771A2">
      <w:pPr>
        <w:widowControl/>
        <w:jc w:val="left"/>
        <w:rPr>
          <w:rFonts w:ascii="黑体" w:eastAsia="黑体" w:hAnsi="黑体"/>
          <w:color w:val="002060"/>
        </w:rPr>
      </w:pPr>
      <w:r>
        <w:rPr>
          <w:rFonts w:ascii="黑体" w:eastAsia="黑体" w:hAnsi="黑体"/>
          <w:color w:val="002060"/>
        </w:rPr>
        <w:br w:type="page"/>
      </w:r>
    </w:p>
    <w:p w:rsidR="00436EED" w:rsidRPr="000F1C29" w:rsidRDefault="00436EED" w:rsidP="00436EED">
      <w:pPr>
        <w:widowControl/>
        <w:adjustRightInd w:val="0"/>
        <w:snapToGrid w:val="0"/>
        <w:spacing w:line="312" w:lineRule="auto"/>
        <w:jc w:val="center"/>
        <w:rPr>
          <w:rFonts w:ascii="华文楷体" w:eastAsia="华文楷体" w:hAnsi="华文楷体"/>
          <w:sz w:val="22"/>
          <w:szCs w:val="28"/>
        </w:rPr>
      </w:pPr>
      <w:r w:rsidRPr="000F1C29">
        <w:rPr>
          <w:rFonts w:ascii="黑体" w:eastAsia="黑体" w:hAnsi="黑体" w:hint="eastAsia"/>
          <w:color w:val="002060"/>
        </w:rPr>
        <w:lastRenderedPageBreak/>
        <w:t>图</w:t>
      </w:r>
      <w:r>
        <w:rPr>
          <w:rFonts w:ascii="黑体" w:eastAsia="黑体" w:hAnsi="黑体" w:hint="eastAsia"/>
          <w:color w:val="002060"/>
        </w:rPr>
        <w:t>2</w:t>
      </w:r>
      <w:r w:rsidRPr="000F1C29">
        <w:rPr>
          <w:rFonts w:ascii="黑体" w:eastAsia="黑体" w:hAnsi="黑体" w:hint="eastAsia"/>
          <w:color w:val="002060"/>
        </w:rPr>
        <w:t>：</w:t>
      </w:r>
      <w:r w:rsidR="007E2AFC" w:rsidRPr="007E2AFC">
        <w:rPr>
          <w:rFonts w:ascii="黑体" w:eastAsia="黑体" w:hAnsi="黑体" w:hint="eastAsia"/>
          <w:color w:val="002060"/>
        </w:rPr>
        <w:t>PE油化工利润</w:t>
      </w:r>
    </w:p>
    <w:p w:rsidR="00A43ADB" w:rsidRDefault="00E0596C" w:rsidP="00436EED">
      <w:pPr>
        <w:widowControl/>
        <w:adjustRightInd w:val="0"/>
        <w:snapToGrid w:val="0"/>
        <w:spacing w:line="312" w:lineRule="auto"/>
        <w:jc w:val="center"/>
        <w:rPr>
          <w:rFonts w:ascii="华文楷体" w:eastAsia="华文楷体" w:hAnsi="华文楷体"/>
          <w:sz w:val="22"/>
        </w:rPr>
      </w:pPr>
      <w:r>
        <w:rPr>
          <w:rFonts w:ascii="华文楷体" w:eastAsia="华文楷体" w:hAnsi="华文楷体"/>
          <w:noProof/>
          <w:sz w:val="22"/>
        </w:rPr>
        <w:drawing>
          <wp:inline distT="0" distB="0" distL="0" distR="0" wp14:anchorId="67A59364">
            <wp:extent cx="4633595" cy="1993265"/>
            <wp:effectExtent l="0" t="0" r="0" b="698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3595" cy="1993265"/>
                    </a:xfrm>
                    <a:prstGeom prst="rect">
                      <a:avLst/>
                    </a:prstGeom>
                    <a:noFill/>
                  </pic:spPr>
                </pic:pic>
              </a:graphicData>
            </a:graphic>
          </wp:inline>
        </w:drawing>
      </w:r>
    </w:p>
    <w:p w:rsidR="00E0596C" w:rsidRPr="00E0596C" w:rsidRDefault="00E0596C" w:rsidP="00E0596C">
      <w:pPr>
        <w:adjustRightInd w:val="0"/>
        <w:snapToGrid w:val="0"/>
        <w:spacing w:line="312" w:lineRule="auto"/>
        <w:ind w:firstLineChars="650" w:firstLine="1300"/>
        <w:jc w:val="left"/>
        <w:rPr>
          <w:rFonts w:ascii="楷体" w:eastAsia="楷体" w:hAnsi="楷体"/>
          <w:color w:val="000000" w:themeColor="text1"/>
          <w:sz w:val="20"/>
          <w:szCs w:val="21"/>
        </w:rPr>
      </w:pPr>
      <w:r w:rsidRPr="00E0596C">
        <w:rPr>
          <w:rFonts w:ascii="楷体" w:eastAsia="楷体" w:hAnsi="楷体" w:hint="eastAsia"/>
          <w:color w:val="000000" w:themeColor="text1"/>
          <w:sz w:val="20"/>
          <w:szCs w:val="21"/>
        </w:rPr>
        <w:t>数据来源：wind、国投期货整理</w:t>
      </w:r>
    </w:p>
    <w:p w:rsidR="004909CE" w:rsidRDefault="004909CE" w:rsidP="00E0596C">
      <w:pPr>
        <w:widowControl/>
        <w:adjustRightInd w:val="0"/>
        <w:snapToGrid w:val="0"/>
        <w:spacing w:line="312" w:lineRule="auto"/>
        <w:jc w:val="center"/>
        <w:rPr>
          <w:rFonts w:ascii="黑体" w:eastAsia="黑体" w:hAnsi="黑体"/>
          <w:color w:val="002060"/>
        </w:rPr>
      </w:pPr>
    </w:p>
    <w:p w:rsidR="00E0596C" w:rsidRDefault="00E0596C" w:rsidP="00E0596C">
      <w:pPr>
        <w:widowControl/>
        <w:adjustRightInd w:val="0"/>
        <w:snapToGrid w:val="0"/>
        <w:spacing w:line="312" w:lineRule="auto"/>
        <w:jc w:val="center"/>
        <w:rPr>
          <w:rFonts w:ascii="黑体" w:eastAsia="黑体" w:hAnsi="黑体"/>
          <w:color w:val="002060"/>
        </w:rPr>
      </w:pPr>
      <w:r w:rsidRPr="00E0596C">
        <w:rPr>
          <w:rFonts w:ascii="黑体" w:eastAsia="黑体" w:hAnsi="黑体" w:hint="eastAsia"/>
          <w:color w:val="002060"/>
        </w:rPr>
        <w:t>图3：PE煤化工利润</w:t>
      </w:r>
    </w:p>
    <w:p w:rsidR="00E0596C" w:rsidRDefault="00E0596C" w:rsidP="00E0596C">
      <w:pPr>
        <w:widowControl/>
        <w:adjustRightInd w:val="0"/>
        <w:snapToGrid w:val="0"/>
        <w:spacing w:line="312" w:lineRule="auto"/>
        <w:jc w:val="center"/>
        <w:rPr>
          <w:rFonts w:ascii="黑体" w:eastAsia="黑体" w:hAnsi="黑体"/>
          <w:color w:val="002060"/>
        </w:rPr>
      </w:pPr>
      <w:r>
        <w:rPr>
          <w:rFonts w:ascii="黑体" w:eastAsia="黑体" w:hAnsi="黑体"/>
          <w:noProof/>
          <w:color w:val="002060"/>
        </w:rPr>
        <w:drawing>
          <wp:inline distT="0" distB="0" distL="0" distR="0" wp14:anchorId="20A15830">
            <wp:extent cx="4695190" cy="195262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5190" cy="1952625"/>
                    </a:xfrm>
                    <a:prstGeom prst="rect">
                      <a:avLst/>
                    </a:prstGeom>
                    <a:noFill/>
                  </pic:spPr>
                </pic:pic>
              </a:graphicData>
            </a:graphic>
          </wp:inline>
        </w:drawing>
      </w:r>
    </w:p>
    <w:p w:rsidR="00E0596C" w:rsidRPr="00E0596C" w:rsidRDefault="00E0596C" w:rsidP="00E0596C">
      <w:pPr>
        <w:adjustRightInd w:val="0"/>
        <w:snapToGrid w:val="0"/>
        <w:spacing w:line="312" w:lineRule="auto"/>
        <w:ind w:firstLineChars="650" w:firstLine="1300"/>
        <w:jc w:val="left"/>
        <w:rPr>
          <w:rFonts w:ascii="楷体" w:eastAsia="楷体" w:hAnsi="楷体"/>
          <w:color w:val="000000" w:themeColor="text1"/>
          <w:sz w:val="20"/>
          <w:szCs w:val="21"/>
        </w:rPr>
      </w:pPr>
      <w:r w:rsidRPr="00E0596C">
        <w:rPr>
          <w:rFonts w:ascii="楷体" w:eastAsia="楷体" w:hAnsi="楷体" w:hint="eastAsia"/>
          <w:color w:val="000000" w:themeColor="text1"/>
          <w:sz w:val="20"/>
          <w:szCs w:val="21"/>
        </w:rPr>
        <w:t>数据来源：wind、国投期货整理</w:t>
      </w:r>
    </w:p>
    <w:p w:rsidR="00E0596C" w:rsidRPr="00E0596C" w:rsidRDefault="00E0596C" w:rsidP="00E0596C">
      <w:pPr>
        <w:widowControl/>
        <w:adjustRightInd w:val="0"/>
        <w:snapToGrid w:val="0"/>
        <w:spacing w:line="312" w:lineRule="auto"/>
        <w:ind w:firstLineChars="200" w:firstLine="440"/>
        <w:jc w:val="left"/>
        <w:rPr>
          <w:rFonts w:ascii="华文楷体" w:eastAsia="华文楷体" w:hAnsi="华文楷体"/>
          <w:b/>
          <w:sz w:val="22"/>
        </w:rPr>
      </w:pPr>
      <w:r w:rsidRPr="00E0596C">
        <w:rPr>
          <w:rFonts w:ascii="华文楷体" w:eastAsia="华文楷体" w:hAnsi="华文楷体" w:hint="eastAsia"/>
          <w:b/>
          <w:sz w:val="22"/>
        </w:rPr>
        <w:t>2、四季度进口集中到港</w:t>
      </w:r>
    </w:p>
    <w:p w:rsidR="00E0596C" w:rsidRDefault="00117A31" w:rsidP="00117A31">
      <w:pPr>
        <w:widowControl/>
        <w:adjustRightInd w:val="0"/>
        <w:snapToGrid w:val="0"/>
        <w:spacing w:line="312" w:lineRule="auto"/>
        <w:ind w:firstLineChars="200" w:firstLine="440"/>
        <w:jc w:val="left"/>
        <w:rPr>
          <w:rFonts w:ascii="华文楷体" w:eastAsia="华文楷体" w:hAnsi="华文楷体"/>
          <w:sz w:val="22"/>
        </w:rPr>
      </w:pPr>
      <w:r w:rsidRPr="00117A31">
        <w:rPr>
          <w:rFonts w:ascii="华文楷体" w:eastAsia="华文楷体" w:hAnsi="华文楷体" w:hint="eastAsia"/>
          <w:sz w:val="22"/>
        </w:rPr>
        <w:t>进口利润领先进口量1-2个月，9月进口套利窗口打开，预计11月到港量将有所增加。而从十一长假以后，港口库存大幅攀升，一方面由于进口集中到港，另一方面由于销售不畅。</w:t>
      </w:r>
    </w:p>
    <w:p w:rsidR="00117A31" w:rsidRPr="00117A31" w:rsidRDefault="00117A31" w:rsidP="00117A31">
      <w:pPr>
        <w:widowControl/>
        <w:adjustRightInd w:val="0"/>
        <w:snapToGrid w:val="0"/>
        <w:spacing w:line="312" w:lineRule="auto"/>
        <w:jc w:val="center"/>
        <w:rPr>
          <w:rFonts w:ascii="黑体" w:eastAsia="黑体" w:hAnsi="黑体"/>
          <w:color w:val="002060"/>
        </w:rPr>
      </w:pPr>
      <w:r w:rsidRPr="00117A31">
        <w:rPr>
          <w:rFonts w:ascii="黑体" w:eastAsia="黑体" w:hAnsi="黑体" w:hint="eastAsia"/>
          <w:color w:val="002060"/>
        </w:rPr>
        <w:t>图4： LLDPE进口利润与进口量</w:t>
      </w:r>
    </w:p>
    <w:p w:rsidR="00117A31" w:rsidRDefault="00117A31" w:rsidP="00117A31">
      <w:pPr>
        <w:widowControl/>
        <w:adjustRightInd w:val="0"/>
        <w:snapToGrid w:val="0"/>
        <w:spacing w:line="312" w:lineRule="auto"/>
        <w:jc w:val="center"/>
      </w:pPr>
      <w:r>
        <w:fldChar w:fldCharType="begin"/>
      </w:r>
      <w:r>
        <w:instrText xml:space="preserve"> </w:instrText>
      </w:r>
      <w:r>
        <w:rPr>
          <w:rFonts w:hint="eastAsia"/>
        </w:rPr>
        <w:instrText>LINK Excel.Sheet.12 "E:\\</w:instrText>
      </w:r>
      <w:r>
        <w:rPr>
          <w:rFonts w:hint="eastAsia"/>
        </w:rPr>
        <w:instrText>工作</w:instrText>
      </w:r>
      <w:r>
        <w:rPr>
          <w:rFonts w:hint="eastAsia"/>
        </w:rPr>
        <w:instrText>\\PE</w:instrText>
      </w:r>
      <w:r>
        <w:rPr>
          <w:rFonts w:hint="eastAsia"/>
        </w:rPr>
        <w:instrText>数据</w:instrText>
      </w:r>
      <w:r>
        <w:rPr>
          <w:rFonts w:hint="eastAsia"/>
        </w:rPr>
        <w:instrText>\\</w:instrText>
      </w:r>
      <w:r>
        <w:rPr>
          <w:rFonts w:hint="eastAsia"/>
        </w:rPr>
        <w:instrText>塑料供求数据</w:instrText>
      </w:r>
      <w:r>
        <w:rPr>
          <w:rFonts w:hint="eastAsia"/>
        </w:rPr>
        <w:instrText>.xlsx!</w:instrText>
      </w:r>
      <w:r>
        <w:rPr>
          <w:rFonts w:hint="eastAsia"/>
        </w:rPr>
        <w:instrText>月度价格及进口盈亏</w:instrText>
      </w:r>
      <w:r>
        <w:rPr>
          <w:rFonts w:hint="eastAsia"/>
        </w:rPr>
        <w:instrText>![</w:instrText>
      </w:r>
      <w:r>
        <w:rPr>
          <w:rFonts w:hint="eastAsia"/>
        </w:rPr>
        <w:instrText>塑料供求数据</w:instrText>
      </w:r>
      <w:r>
        <w:rPr>
          <w:rFonts w:hint="eastAsia"/>
        </w:rPr>
        <w:instrText>.xlsx]</w:instrText>
      </w:r>
      <w:r>
        <w:rPr>
          <w:rFonts w:hint="eastAsia"/>
        </w:rPr>
        <w:instrText>月度价格及进口盈亏</w:instrText>
      </w:r>
      <w:r>
        <w:rPr>
          <w:rFonts w:hint="eastAsia"/>
        </w:rPr>
        <w:instrText xml:space="preserve"> </w:instrText>
      </w:r>
      <w:r>
        <w:rPr>
          <w:rFonts w:hint="eastAsia"/>
        </w:rPr>
        <w:instrText>图表</w:instrText>
      </w:r>
      <w:r>
        <w:rPr>
          <w:rFonts w:hint="eastAsia"/>
        </w:rPr>
        <w:instrText xml:space="preserve"> 2" "" \a \p</w:instrText>
      </w:r>
      <w:r>
        <w:instrText xml:space="preserve">  \* MERGEFORMAT </w:instrText>
      </w:r>
      <w:r>
        <w:fldChar w:fldCharType="separate"/>
      </w:r>
      <w:r>
        <w:rPr>
          <w:noProof/>
        </w:rPr>
        <w:drawing>
          <wp:inline distT="0" distB="0" distL="0" distR="0">
            <wp:extent cx="3977005" cy="1673225"/>
            <wp:effectExtent l="0" t="0" r="4445" b="3175"/>
            <wp:docPr id="24" name="图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7005" cy="1673225"/>
                    </a:xfrm>
                    <a:prstGeom prst="rect">
                      <a:avLst/>
                    </a:prstGeom>
                    <a:noFill/>
                    <a:ln>
                      <a:noFill/>
                    </a:ln>
                  </pic:spPr>
                </pic:pic>
              </a:graphicData>
            </a:graphic>
          </wp:inline>
        </w:drawing>
      </w:r>
      <w:r>
        <w:fldChar w:fldCharType="end"/>
      </w:r>
    </w:p>
    <w:p w:rsidR="00117A31" w:rsidRPr="00117A31" w:rsidRDefault="00117A31" w:rsidP="00117A31">
      <w:pPr>
        <w:adjustRightInd w:val="0"/>
        <w:snapToGrid w:val="0"/>
        <w:spacing w:line="312" w:lineRule="auto"/>
        <w:ind w:firstLineChars="1050" w:firstLine="2100"/>
        <w:jc w:val="left"/>
        <w:rPr>
          <w:rFonts w:ascii="楷体" w:eastAsia="楷体" w:hAnsi="楷体"/>
          <w:color w:val="000000" w:themeColor="text1"/>
          <w:sz w:val="20"/>
          <w:szCs w:val="21"/>
        </w:rPr>
      </w:pPr>
      <w:r w:rsidRPr="00117A31">
        <w:rPr>
          <w:rFonts w:ascii="楷体" w:eastAsia="楷体" w:hAnsi="楷体" w:hint="eastAsia"/>
          <w:color w:val="000000" w:themeColor="text1"/>
          <w:sz w:val="20"/>
          <w:szCs w:val="21"/>
        </w:rPr>
        <w:t>数据来源：国投期货整理</w:t>
      </w:r>
    </w:p>
    <w:p w:rsidR="00117A31" w:rsidRDefault="00117A31" w:rsidP="00117A31">
      <w:pPr>
        <w:widowControl/>
        <w:adjustRightInd w:val="0"/>
        <w:snapToGrid w:val="0"/>
        <w:spacing w:line="312" w:lineRule="auto"/>
        <w:jc w:val="center"/>
        <w:rPr>
          <w:rFonts w:ascii="黑体" w:eastAsia="黑体" w:hAnsi="黑体"/>
          <w:color w:val="002060"/>
        </w:rPr>
      </w:pPr>
    </w:p>
    <w:p w:rsidR="004909CE" w:rsidRDefault="004909CE" w:rsidP="00117A31">
      <w:pPr>
        <w:widowControl/>
        <w:adjustRightInd w:val="0"/>
        <w:snapToGrid w:val="0"/>
        <w:spacing w:line="312" w:lineRule="auto"/>
        <w:jc w:val="center"/>
        <w:rPr>
          <w:rFonts w:ascii="黑体" w:eastAsia="黑体" w:hAnsi="黑体"/>
          <w:color w:val="002060"/>
        </w:rPr>
      </w:pPr>
    </w:p>
    <w:p w:rsidR="00117A31" w:rsidRPr="00117A31" w:rsidRDefault="00117A31" w:rsidP="00117A31">
      <w:pPr>
        <w:widowControl/>
        <w:adjustRightInd w:val="0"/>
        <w:snapToGrid w:val="0"/>
        <w:spacing w:line="312" w:lineRule="auto"/>
        <w:jc w:val="center"/>
        <w:rPr>
          <w:rFonts w:ascii="黑体" w:eastAsia="黑体" w:hAnsi="黑体"/>
          <w:color w:val="002060"/>
        </w:rPr>
      </w:pPr>
      <w:r w:rsidRPr="00117A31">
        <w:rPr>
          <w:rFonts w:ascii="黑体" w:eastAsia="黑体" w:hAnsi="黑体" w:hint="eastAsia"/>
          <w:color w:val="002060"/>
        </w:rPr>
        <w:lastRenderedPageBreak/>
        <w:t>图5：PE港口库存（万吨）</w:t>
      </w:r>
    </w:p>
    <w:p w:rsidR="00117A31" w:rsidRDefault="00117A31" w:rsidP="00117A31">
      <w:pPr>
        <w:widowControl/>
        <w:adjustRightInd w:val="0"/>
        <w:snapToGrid w:val="0"/>
        <w:spacing w:line="312" w:lineRule="auto"/>
        <w:jc w:val="center"/>
        <w:rPr>
          <w:rFonts w:ascii="华文楷体" w:eastAsia="华文楷体" w:hAnsi="华文楷体"/>
          <w:sz w:val="22"/>
        </w:rPr>
      </w:pPr>
      <w:r>
        <w:rPr>
          <w:rFonts w:ascii="华文楷体" w:eastAsia="华文楷体" w:hAnsi="华文楷体"/>
          <w:noProof/>
          <w:sz w:val="22"/>
        </w:rPr>
        <w:drawing>
          <wp:inline distT="0" distB="0" distL="0" distR="0" wp14:anchorId="63257BCB">
            <wp:extent cx="4572635" cy="1957070"/>
            <wp:effectExtent l="0" t="0" r="0" b="508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635" cy="1957070"/>
                    </a:xfrm>
                    <a:prstGeom prst="rect">
                      <a:avLst/>
                    </a:prstGeom>
                    <a:noFill/>
                  </pic:spPr>
                </pic:pic>
              </a:graphicData>
            </a:graphic>
          </wp:inline>
        </w:drawing>
      </w:r>
    </w:p>
    <w:p w:rsidR="00117A31" w:rsidRPr="00117A31" w:rsidRDefault="00117A31" w:rsidP="00117A31">
      <w:pPr>
        <w:adjustRightInd w:val="0"/>
        <w:snapToGrid w:val="0"/>
        <w:spacing w:line="312" w:lineRule="auto"/>
        <w:ind w:firstLineChars="750" w:firstLine="1500"/>
        <w:jc w:val="left"/>
        <w:rPr>
          <w:rFonts w:ascii="楷体" w:eastAsia="楷体" w:hAnsi="楷体"/>
          <w:color w:val="000000" w:themeColor="text1"/>
          <w:sz w:val="20"/>
          <w:szCs w:val="21"/>
        </w:rPr>
      </w:pPr>
      <w:r w:rsidRPr="00117A31">
        <w:rPr>
          <w:rFonts w:ascii="楷体" w:eastAsia="楷体" w:hAnsi="楷体" w:hint="eastAsia"/>
          <w:color w:val="000000" w:themeColor="text1"/>
          <w:sz w:val="20"/>
          <w:szCs w:val="21"/>
        </w:rPr>
        <w:t>数据来源：IHS</w:t>
      </w:r>
    </w:p>
    <w:p w:rsidR="0005026D" w:rsidRDefault="0005026D" w:rsidP="0005026D">
      <w:pPr>
        <w:widowControl/>
        <w:adjustRightInd w:val="0"/>
        <w:snapToGrid w:val="0"/>
        <w:spacing w:line="312" w:lineRule="auto"/>
        <w:jc w:val="left"/>
        <w:rPr>
          <w:rFonts w:ascii="黑体" w:eastAsia="黑体" w:hAnsi="黑体"/>
          <w:color w:val="002060"/>
          <w:sz w:val="24"/>
        </w:rPr>
      </w:pPr>
    </w:p>
    <w:p w:rsidR="00D525AC" w:rsidRPr="00D525AC" w:rsidRDefault="00130A98" w:rsidP="0005026D">
      <w:pPr>
        <w:widowControl/>
        <w:adjustRightInd w:val="0"/>
        <w:snapToGrid w:val="0"/>
        <w:spacing w:line="312" w:lineRule="auto"/>
        <w:jc w:val="left"/>
        <w:rPr>
          <w:rFonts w:ascii="黑体" w:eastAsia="黑体" w:hAnsi="黑体"/>
          <w:color w:val="002060"/>
          <w:sz w:val="8"/>
          <w:szCs w:val="8"/>
        </w:rPr>
      </w:pPr>
      <w:r w:rsidRPr="000F1C29">
        <w:rPr>
          <w:rFonts w:ascii="黑体" w:eastAsia="黑体" w:hAnsi="黑体" w:hint="eastAsia"/>
          <w:color w:val="002060"/>
          <w:sz w:val="24"/>
        </w:rPr>
        <w:t>二</w:t>
      </w:r>
      <w:r w:rsidR="00C84EEF" w:rsidRPr="000F1C29">
        <w:rPr>
          <w:rFonts w:ascii="黑体" w:eastAsia="黑体" w:hAnsi="黑体" w:hint="eastAsia"/>
          <w:color w:val="002060"/>
          <w:sz w:val="24"/>
        </w:rPr>
        <w:t>、</w:t>
      </w:r>
      <w:r w:rsidR="0005026D" w:rsidRPr="0005026D">
        <w:rPr>
          <w:rFonts w:ascii="黑体" w:eastAsia="黑体" w:hAnsi="黑体" w:hint="eastAsia"/>
          <w:color w:val="002060"/>
          <w:sz w:val="24"/>
        </w:rPr>
        <w:t>需求端</w:t>
      </w:r>
    </w:p>
    <w:p w:rsidR="00AA4944" w:rsidRDefault="009458DB" w:rsidP="009458DB">
      <w:pPr>
        <w:widowControl/>
        <w:adjustRightInd w:val="0"/>
        <w:snapToGrid w:val="0"/>
        <w:spacing w:line="312" w:lineRule="auto"/>
        <w:ind w:firstLineChars="200" w:firstLine="440"/>
        <w:jc w:val="left"/>
        <w:rPr>
          <w:rFonts w:ascii="华文楷体" w:eastAsia="华文楷体" w:hAnsi="华文楷体"/>
          <w:sz w:val="22"/>
        </w:rPr>
      </w:pPr>
      <w:r w:rsidRPr="009458DB">
        <w:rPr>
          <w:rFonts w:ascii="华文楷体" w:eastAsia="华文楷体" w:hAnsi="华文楷体" w:hint="eastAsia"/>
          <w:sz w:val="22"/>
        </w:rPr>
        <w:t>LLDPE需求主要集中在塑料薄膜制品，塑料薄膜占LLDPE全部消费量的70%，而农膜站塑料薄膜产量的20%。随着棚膜需求旺季结束，农膜产量增速将放缓。由于经济持续下滑，塑料薄膜产量增速将进一步放缓，四季度LLDPE需求难以改善。</w:t>
      </w:r>
    </w:p>
    <w:p w:rsidR="009458DB" w:rsidRPr="009458DB" w:rsidRDefault="009458DB" w:rsidP="009458DB">
      <w:pPr>
        <w:widowControl/>
        <w:adjustRightInd w:val="0"/>
        <w:snapToGrid w:val="0"/>
        <w:spacing w:line="312" w:lineRule="auto"/>
        <w:jc w:val="center"/>
        <w:rPr>
          <w:rFonts w:ascii="华文楷体" w:eastAsia="华文楷体" w:hAnsi="华文楷体"/>
          <w:sz w:val="22"/>
        </w:rPr>
      </w:pPr>
      <w:r w:rsidRPr="009458DB">
        <w:rPr>
          <w:rFonts w:ascii="黑体" w:eastAsia="黑体" w:hAnsi="黑体" w:hint="eastAsia"/>
          <w:color w:val="002060"/>
        </w:rPr>
        <w:t>图</w:t>
      </w:r>
      <w:r>
        <w:rPr>
          <w:rFonts w:ascii="黑体" w:eastAsia="黑体" w:hAnsi="黑体" w:hint="eastAsia"/>
          <w:color w:val="002060"/>
        </w:rPr>
        <w:t>6</w:t>
      </w:r>
      <w:r w:rsidRPr="009458DB">
        <w:rPr>
          <w:rFonts w:ascii="黑体" w:eastAsia="黑体" w:hAnsi="黑体" w:hint="eastAsia"/>
          <w:color w:val="002060"/>
        </w:rPr>
        <w:t xml:space="preserve">：PE人民币价差  </w:t>
      </w:r>
      <w:r w:rsidRPr="009458DB">
        <w:rPr>
          <w:rFonts w:ascii="华文楷体" w:eastAsia="华文楷体" w:hAnsi="华文楷体" w:hint="eastAsia"/>
          <w:sz w:val="22"/>
        </w:rPr>
        <w:t xml:space="preserve">                     </w:t>
      </w:r>
    </w:p>
    <w:p w:rsidR="009458DB" w:rsidRPr="009458DB" w:rsidRDefault="009458DB" w:rsidP="009458DB">
      <w:pPr>
        <w:widowControl/>
        <w:adjustRightInd w:val="0"/>
        <w:snapToGrid w:val="0"/>
        <w:spacing w:line="312" w:lineRule="auto"/>
        <w:jc w:val="center"/>
        <w:rPr>
          <w:rFonts w:ascii="华文楷体" w:eastAsia="华文楷体" w:hAnsi="华文楷体"/>
          <w:sz w:val="22"/>
        </w:rPr>
      </w:pPr>
      <w:r w:rsidRPr="009458DB">
        <w:rPr>
          <w:rFonts w:ascii="华文楷体" w:eastAsia="华文楷体" w:hAnsi="华文楷体"/>
          <w:sz w:val="22"/>
        </w:rPr>
        <w:t xml:space="preserve"> </w:t>
      </w:r>
      <w:r>
        <w:rPr>
          <w:rFonts w:ascii="华文楷体" w:eastAsia="华文楷体" w:hAnsi="华文楷体"/>
          <w:noProof/>
          <w:sz w:val="22"/>
        </w:rPr>
        <w:drawing>
          <wp:inline distT="0" distB="0" distL="0" distR="0" wp14:anchorId="0491AB03">
            <wp:extent cx="4247515" cy="1724025"/>
            <wp:effectExtent l="0" t="0" r="635" b="9525"/>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47515" cy="1724025"/>
                    </a:xfrm>
                    <a:prstGeom prst="rect">
                      <a:avLst/>
                    </a:prstGeom>
                    <a:noFill/>
                  </pic:spPr>
                </pic:pic>
              </a:graphicData>
            </a:graphic>
          </wp:inline>
        </w:drawing>
      </w:r>
    </w:p>
    <w:p w:rsidR="009458DB" w:rsidRPr="009458DB" w:rsidRDefault="009458DB" w:rsidP="009458DB">
      <w:pPr>
        <w:adjustRightInd w:val="0"/>
        <w:snapToGrid w:val="0"/>
        <w:spacing w:line="312" w:lineRule="auto"/>
        <w:ind w:firstLineChars="750" w:firstLine="1500"/>
        <w:jc w:val="left"/>
        <w:rPr>
          <w:rFonts w:ascii="楷体" w:eastAsia="楷体" w:hAnsi="楷体"/>
          <w:color w:val="000000" w:themeColor="text1"/>
          <w:sz w:val="20"/>
          <w:szCs w:val="21"/>
        </w:rPr>
      </w:pPr>
      <w:r w:rsidRPr="009458DB">
        <w:rPr>
          <w:rFonts w:ascii="楷体" w:eastAsia="楷体" w:hAnsi="楷体" w:hint="eastAsia"/>
          <w:color w:val="000000" w:themeColor="text1"/>
          <w:sz w:val="20"/>
          <w:szCs w:val="21"/>
        </w:rPr>
        <w:t>数据来源：wind、国投期货整理</w:t>
      </w:r>
    </w:p>
    <w:p w:rsidR="004909CE" w:rsidRDefault="004909CE" w:rsidP="009458DB">
      <w:pPr>
        <w:widowControl/>
        <w:adjustRightInd w:val="0"/>
        <w:snapToGrid w:val="0"/>
        <w:spacing w:line="312" w:lineRule="auto"/>
        <w:jc w:val="center"/>
        <w:rPr>
          <w:rFonts w:ascii="黑体" w:eastAsia="黑体" w:hAnsi="黑体"/>
          <w:color w:val="002060"/>
        </w:rPr>
      </w:pPr>
    </w:p>
    <w:p w:rsidR="009458DB" w:rsidRPr="009458DB" w:rsidRDefault="009458DB" w:rsidP="009458DB">
      <w:pPr>
        <w:widowControl/>
        <w:adjustRightInd w:val="0"/>
        <w:snapToGrid w:val="0"/>
        <w:spacing w:line="312" w:lineRule="auto"/>
        <w:jc w:val="center"/>
        <w:rPr>
          <w:rFonts w:ascii="华文楷体" w:eastAsia="华文楷体" w:hAnsi="华文楷体"/>
          <w:sz w:val="22"/>
        </w:rPr>
      </w:pPr>
      <w:r w:rsidRPr="009458DB">
        <w:rPr>
          <w:rFonts w:ascii="黑体" w:eastAsia="黑体" w:hAnsi="黑体" w:hint="eastAsia"/>
          <w:color w:val="002060"/>
        </w:rPr>
        <w:t>图</w:t>
      </w:r>
      <w:r>
        <w:rPr>
          <w:rFonts w:ascii="黑体" w:eastAsia="黑体" w:hAnsi="黑体" w:hint="eastAsia"/>
          <w:color w:val="002060"/>
        </w:rPr>
        <w:t>7：</w:t>
      </w:r>
      <w:r w:rsidRPr="009458DB">
        <w:rPr>
          <w:rFonts w:ascii="黑体" w:eastAsia="黑体" w:hAnsi="黑体" w:hint="eastAsia"/>
          <w:color w:val="002060"/>
        </w:rPr>
        <w:t xml:space="preserve">国内GDP对塑料需求的影响 </w:t>
      </w:r>
      <w:r w:rsidRPr="009458DB">
        <w:rPr>
          <w:rFonts w:ascii="华文楷体" w:eastAsia="华文楷体" w:hAnsi="华文楷体" w:hint="eastAsia"/>
          <w:sz w:val="22"/>
        </w:rPr>
        <w:t xml:space="preserve">                      </w:t>
      </w:r>
    </w:p>
    <w:p w:rsidR="009458DB" w:rsidRPr="009458DB" w:rsidRDefault="009458DB" w:rsidP="009458DB">
      <w:pPr>
        <w:widowControl/>
        <w:adjustRightInd w:val="0"/>
        <w:snapToGrid w:val="0"/>
        <w:spacing w:line="312" w:lineRule="auto"/>
        <w:jc w:val="center"/>
        <w:rPr>
          <w:rFonts w:ascii="华文楷体" w:eastAsia="华文楷体" w:hAnsi="华文楷体"/>
          <w:sz w:val="22"/>
        </w:rPr>
      </w:pPr>
      <w:r w:rsidRPr="009458DB">
        <w:rPr>
          <w:rFonts w:ascii="华文楷体" w:eastAsia="华文楷体" w:hAnsi="华文楷体"/>
          <w:sz w:val="22"/>
        </w:rPr>
        <w:t xml:space="preserve"> </w:t>
      </w:r>
      <w:r>
        <w:rPr>
          <w:rFonts w:ascii="华文楷体" w:eastAsia="华文楷体" w:hAnsi="华文楷体"/>
          <w:noProof/>
          <w:sz w:val="22"/>
        </w:rPr>
        <w:drawing>
          <wp:inline distT="0" distB="0" distL="0" distR="0" wp14:anchorId="45D8E7FA">
            <wp:extent cx="4676140" cy="2042160"/>
            <wp:effectExtent l="0" t="0" r="0" b="0"/>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6140" cy="2042160"/>
                    </a:xfrm>
                    <a:prstGeom prst="rect">
                      <a:avLst/>
                    </a:prstGeom>
                    <a:noFill/>
                  </pic:spPr>
                </pic:pic>
              </a:graphicData>
            </a:graphic>
          </wp:inline>
        </w:drawing>
      </w:r>
    </w:p>
    <w:p w:rsidR="00A31ED7" w:rsidRPr="009458DB" w:rsidRDefault="009458DB" w:rsidP="009458DB">
      <w:pPr>
        <w:adjustRightInd w:val="0"/>
        <w:snapToGrid w:val="0"/>
        <w:spacing w:line="312" w:lineRule="auto"/>
        <w:ind w:firstLineChars="750" w:firstLine="1500"/>
        <w:jc w:val="left"/>
        <w:rPr>
          <w:rFonts w:ascii="楷体" w:eastAsia="楷体" w:hAnsi="楷体"/>
          <w:color w:val="000000" w:themeColor="text1"/>
          <w:sz w:val="20"/>
          <w:szCs w:val="21"/>
        </w:rPr>
      </w:pPr>
      <w:r w:rsidRPr="009458DB">
        <w:rPr>
          <w:rFonts w:ascii="楷体" w:eastAsia="楷体" w:hAnsi="楷体" w:hint="eastAsia"/>
          <w:color w:val="000000" w:themeColor="text1"/>
          <w:sz w:val="20"/>
          <w:szCs w:val="21"/>
        </w:rPr>
        <w:lastRenderedPageBreak/>
        <w:t>数据来源：wind、国投期货整理</w:t>
      </w:r>
    </w:p>
    <w:p w:rsidR="00E312F3" w:rsidRPr="00701F66" w:rsidRDefault="00E312F3" w:rsidP="00E312F3">
      <w:pPr>
        <w:widowControl/>
        <w:adjustRightInd w:val="0"/>
        <w:snapToGrid w:val="0"/>
        <w:spacing w:line="312" w:lineRule="auto"/>
        <w:jc w:val="left"/>
        <w:rPr>
          <w:rFonts w:ascii="华文楷体" w:eastAsia="华文楷体" w:hAnsi="华文楷体"/>
          <w:sz w:val="12"/>
          <w:szCs w:val="12"/>
        </w:rPr>
      </w:pPr>
    </w:p>
    <w:p w:rsidR="00E312F3" w:rsidRPr="00851766" w:rsidRDefault="00294443" w:rsidP="00E312F3">
      <w:pPr>
        <w:widowControl/>
        <w:adjustRightInd w:val="0"/>
        <w:snapToGrid w:val="0"/>
        <w:spacing w:line="312" w:lineRule="auto"/>
        <w:jc w:val="left"/>
        <w:rPr>
          <w:rFonts w:ascii="黑体" w:eastAsia="黑体" w:hAnsi="黑体"/>
          <w:color w:val="002060"/>
          <w:sz w:val="22"/>
        </w:rPr>
      </w:pPr>
      <w:r>
        <w:rPr>
          <w:rFonts w:ascii="黑体" w:eastAsia="黑体" w:hAnsi="黑体" w:hint="eastAsia"/>
          <w:color w:val="002060"/>
          <w:sz w:val="22"/>
        </w:rPr>
        <w:t>三</w:t>
      </w:r>
      <w:r w:rsidR="00E312F3">
        <w:rPr>
          <w:rFonts w:ascii="黑体" w:eastAsia="黑体" w:hAnsi="黑体"/>
          <w:color w:val="002060"/>
          <w:sz w:val="22"/>
        </w:rPr>
        <w:t>、</w:t>
      </w:r>
      <w:r w:rsidR="009458DB">
        <w:rPr>
          <w:rFonts w:ascii="黑体" w:eastAsia="黑体" w:hAnsi="黑体" w:hint="eastAsia"/>
          <w:color w:val="002060"/>
          <w:sz w:val="22"/>
        </w:rPr>
        <w:t>中间库存</w:t>
      </w:r>
      <w:r w:rsidR="00E312F3" w:rsidRPr="00851766">
        <w:rPr>
          <w:rFonts w:ascii="黑体" w:eastAsia="黑体" w:hAnsi="黑体"/>
          <w:color w:val="002060"/>
          <w:sz w:val="22"/>
        </w:rPr>
        <w:t xml:space="preserve"> </w:t>
      </w:r>
    </w:p>
    <w:p w:rsidR="00575981" w:rsidRPr="00575981" w:rsidRDefault="00575981" w:rsidP="00575981">
      <w:pPr>
        <w:widowControl/>
        <w:adjustRightInd w:val="0"/>
        <w:snapToGrid w:val="0"/>
        <w:spacing w:line="312" w:lineRule="auto"/>
        <w:ind w:firstLineChars="200" w:firstLine="160"/>
        <w:jc w:val="left"/>
        <w:rPr>
          <w:rFonts w:ascii="华文楷体" w:eastAsia="华文楷体" w:hAnsi="华文楷体"/>
          <w:sz w:val="8"/>
          <w:szCs w:val="8"/>
        </w:rPr>
      </w:pPr>
    </w:p>
    <w:p w:rsidR="00BC38CC" w:rsidRDefault="009458DB" w:rsidP="009458DB">
      <w:pPr>
        <w:widowControl/>
        <w:adjustRightInd w:val="0"/>
        <w:snapToGrid w:val="0"/>
        <w:spacing w:line="312" w:lineRule="auto"/>
        <w:ind w:firstLineChars="200" w:firstLine="440"/>
        <w:jc w:val="left"/>
        <w:rPr>
          <w:rFonts w:ascii="华文楷体" w:eastAsia="华文楷体" w:hAnsi="华文楷体"/>
          <w:sz w:val="22"/>
        </w:rPr>
      </w:pPr>
      <w:r w:rsidRPr="009458DB">
        <w:rPr>
          <w:rFonts w:ascii="华文楷体" w:eastAsia="华文楷体" w:hAnsi="华文楷体" w:hint="eastAsia"/>
          <w:sz w:val="22"/>
        </w:rPr>
        <w:t>十一长假以后石化库存持续下降，当前降至，中等水平，石化整体压力较小。社会库存基本出清，但交割库仍积累一定量的库存而且较为货权比较集中。1509合约交割后大部分仓单并未流出，而是被质押。尽管这部分库存短期被冻结，但也给市场带来一定不确定性。</w:t>
      </w:r>
    </w:p>
    <w:p w:rsidR="009458DB" w:rsidRPr="009458DB" w:rsidRDefault="009458DB" w:rsidP="009458DB">
      <w:pPr>
        <w:widowControl/>
        <w:adjustRightInd w:val="0"/>
        <w:snapToGrid w:val="0"/>
        <w:spacing w:line="312" w:lineRule="auto"/>
        <w:jc w:val="center"/>
        <w:rPr>
          <w:rFonts w:ascii="华文楷体" w:eastAsia="华文楷体" w:hAnsi="华文楷体"/>
          <w:b/>
          <w:sz w:val="22"/>
        </w:rPr>
      </w:pPr>
      <w:r w:rsidRPr="009458DB">
        <w:rPr>
          <w:rFonts w:ascii="黑体" w:eastAsia="黑体" w:hAnsi="黑体" w:hint="eastAsia"/>
          <w:color w:val="002060"/>
        </w:rPr>
        <w:t xml:space="preserve">图8：石化合成树脂库存 </w:t>
      </w:r>
      <w:r w:rsidRPr="009458DB">
        <w:rPr>
          <w:rFonts w:ascii="华文楷体" w:eastAsia="华文楷体" w:hAnsi="华文楷体" w:hint="eastAsia"/>
          <w:b/>
          <w:sz w:val="22"/>
        </w:rPr>
        <w:t xml:space="preserve">      </w:t>
      </w:r>
    </w:p>
    <w:p w:rsidR="009458DB" w:rsidRPr="009458DB" w:rsidRDefault="009458DB" w:rsidP="009458DB">
      <w:pPr>
        <w:widowControl/>
        <w:adjustRightInd w:val="0"/>
        <w:snapToGrid w:val="0"/>
        <w:spacing w:line="312" w:lineRule="auto"/>
        <w:jc w:val="center"/>
        <w:rPr>
          <w:rFonts w:ascii="华文楷体" w:eastAsia="华文楷体" w:hAnsi="华文楷体"/>
          <w:b/>
          <w:sz w:val="22"/>
        </w:rPr>
      </w:pPr>
      <w:r>
        <w:rPr>
          <w:rFonts w:ascii="华文楷体" w:eastAsia="华文楷体" w:hAnsi="华文楷体"/>
          <w:b/>
          <w:noProof/>
          <w:sz w:val="22"/>
        </w:rPr>
        <w:drawing>
          <wp:inline distT="0" distB="0" distL="0" distR="0" wp14:anchorId="4B9CE4FD">
            <wp:extent cx="4718685" cy="1774190"/>
            <wp:effectExtent l="0" t="0" r="5715" b="0"/>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685" cy="1774190"/>
                    </a:xfrm>
                    <a:prstGeom prst="rect">
                      <a:avLst/>
                    </a:prstGeom>
                    <a:noFill/>
                  </pic:spPr>
                </pic:pic>
              </a:graphicData>
            </a:graphic>
          </wp:inline>
        </w:drawing>
      </w:r>
    </w:p>
    <w:p w:rsidR="009458DB" w:rsidRPr="009458DB" w:rsidRDefault="009458DB" w:rsidP="009458DB">
      <w:pPr>
        <w:adjustRightInd w:val="0"/>
        <w:snapToGrid w:val="0"/>
        <w:spacing w:line="312" w:lineRule="auto"/>
        <w:ind w:firstLineChars="750" w:firstLine="1500"/>
        <w:jc w:val="left"/>
        <w:rPr>
          <w:rFonts w:ascii="华文楷体" w:eastAsia="华文楷体" w:hAnsi="华文楷体"/>
          <w:b/>
          <w:sz w:val="22"/>
        </w:rPr>
      </w:pPr>
      <w:r w:rsidRPr="009458DB">
        <w:rPr>
          <w:rFonts w:ascii="楷体" w:eastAsia="楷体" w:hAnsi="楷体" w:hint="eastAsia"/>
          <w:color w:val="000000" w:themeColor="text1"/>
          <w:sz w:val="20"/>
          <w:szCs w:val="21"/>
        </w:rPr>
        <w:t xml:space="preserve">数据来源：国投期货整理 </w:t>
      </w:r>
      <w:r w:rsidRPr="009458DB">
        <w:rPr>
          <w:rFonts w:ascii="华文楷体" w:eastAsia="华文楷体" w:hAnsi="华文楷体" w:hint="eastAsia"/>
          <w:b/>
          <w:sz w:val="22"/>
        </w:rPr>
        <w:t xml:space="preserve">                       </w:t>
      </w:r>
    </w:p>
    <w:p w:rsidR="004909CE" w:rsidRDefault="004909CE" w:rsidP="009458DB">
      <w:pPr>
        <w:widowControl/>
        <w:adjustRightInd w:val="0"/>
        <w:snapToGrid w:val="0"/>
        <w:spacing w:line="312" w:lineRule="auto"/>
        <w:jc w:val="center"/>
        <w:rPr>
          <w:rFonts w:ascii="黑体" w:eastAsia="黑体" w:hAnsi="黑体"/>
          <w:color w:val="002060"/>
        </w:rPr>
      </w:pPr>
    </w:p>
    <w:p w:rsidR="009458DB" w:rsidRPr="009458DB" w:rsidRDefault="009458DB" w:rsidP="009458DB">
      <w:pPr>
        <w:widowControl/>
        <w:adjustRightInd w:val="0"/>
        <w:snapToGrid w:val="0"/>
        <w:spacing w:line="312" w:lineRule="auto"/>
        <w:jc w:val="center"/>
        <w:rPr>
          <w:rFonts w:ascii="黑体" w:eastAsia="黑体" w:hAnsi="黑体"/>
          <w:color w:val="002060"/>
        </w:rPr>
      </w:pPr>
      <w:r w:rsidRPr="009458DB">
        <w:rPr>
          <w:rFonts w:ascii="黑体" w:eastAsia="黑体" w:hAnsi="黑体" w:hint="eastAsia"/>
          <w:color w:val="002060"/>
        </w:rPr>
        <w:t>图</w:t>
      </w:r>
      <w:r>
        <w:rPr>
          <w:rFonts w:ascii="黑体" w:eastAsia="黑体" w:hAnsi="黑体" w:hint="eastAsia"/>
          <w:color w:val="002060"/>
        </w:rPr>
        <w:t>9：</w:t>
      </w:r>
      <w:r w:rsidRPr="009458DB">
        <w:rPr>
          <w:rFonts w:ascii="黑体" w:eastAsia="黑体" w:hAnsi="黑体" w:hint="eastAsia"/>
          <w:color w:val="002060"/>
        </w:rPr>
        <w:t>注册仓单</w:t>
      </w:r>
      <w:r w:rsidR="00B70DC0">
        <w:rPr>
          <w:rFonts w:ascii="黑体" w:eastAsia="黑体" w:hAnsi="黑体" w:hint="eastAsia"/>
          <w:color w:val="002060"/>
        </w:rPr>
        <w:t>情况</w:t>
      </w:r>
    </w:p>
    <w:p w:rsidR="009458DB" w:rsidRPr="009458DB" w:rsidRDefault="009458DB" w:rsidP="009458DB">
      <w:pPr>
        <w:widowControl/>
        <w:adjustRightInd w:val="0"/>
        <w:snapToGrid w:val="0"/>
        <w:spacing w:line="312" w:lineRule="auto"/>
        <w:ind w:firstLineChars="200" w:firstLine="440"/>
        <w:jc w:val="center"/>
        <w:rPr>
          <w:rFonts w:ascii="华文楷体" w:eastAsia="华文楷体" w:hAnsi="华文楷体"/>
          <w:b/>
          <w:sz w:val="22"/>
        </w:rPr>
      </w:pPr>
      <w:r>
        <w:rPr>
          <w:rFonts w:ascii="华文楷体" w:eastAsia="华文楷体" w:hAnsi="华文楷体"/>
          <w:b/>
          <w:noProof/>
          <w:sz w:val="22"/>
        </w:rPr>
        <w:drawing>
          <wp:inline distT="0" distB="0" distL="0" distR="0" wp14:anchorId="20B98132" wp14:editId="079E238C">
            <wp:extent cx="4285615" cy="1666875"/>
            <wp:effectExtent l="0" t="0" r="635" b="9525"/>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5615" cy="1666875"/>
                    </a:xfrm>
                    <a:prstGeom prst="rect">
                      <a:avLst/>
                    </a:prstGeom>
                    <a:noFill/>
                  </pic:spPr>
                </pic:pic>
              </a:graphicData>
            </a:graphic>
          </wp:inline>
        </w:drawing>
      </w:r>
    </w:p>
    <w:p w:rsidR="009458DB" w:rsidRPr="009458DB" w:rsidRDefault="009458DB" w:rsidP="009458DB">
      <w:pPr>
        <w:adjustRightInd w:val="0"/>
        <w:snapToGrid w:val="0"/>
        <w:spacing w:line="312" w:lineRule="auto"/>
        <w:ind w:firstLineChars="750" w:firstLine="1500"/>
        <w:jc w:val="left"/>
        <w:rPr>
          <w:rFonts w:ascii="楷体" w:eastAsia="楷体" w:hAnsi="楷体"/>
          <w:color w:val="000000" w:themeColor="text1"/>
          <w:sz w:val="20"/>
          <w:szCs w:val="21"/>
        </w:rPr>
      </w:pPr>
      <w:r w:rsidRPr="009458DB">
        <w:rPr>
          <w:rFonts w:ascii="楷体" w:eastAsia="楷体" w:hAnsi="楷体" w:hint="eastAsia"/>
          <w:color w:val="000000" w:themeColor="text1"/>
          <w:sz w:val="20"/>
          <w:szCs w:val="21"/>
        </w:rPr>
        <w:t>数据来源：大商所</w:t>
      </w:r>
    </w:p>
    <w:p w:rsidR="009458DB" w:rsidRDefault="009458DB" w:rsidP="001F4897">
      <w:pPr>
        <w:widowControl/>
        <w:adjustRightInd w:val="0"/>
        <w:snapToGrid w:val="0"/>
        <w:spacing w:line="312" w:lineRule="auto"/>
        <w:jc w:val="left"/>
        <w:rPr>
          <w:rFonts w:ascii="黑体" w:eastAsia="黑体" w:hAnsi="黑体"/>
          <w:color w:val="002060"/>
          <w:sz w:val="22"/>
        </w:rPr>
      </w:pPr>
    </w:p>
    <w:p w:rsidR="0008540E" w:rsidRDefault="00FD08C7" w:rsidP="001F4897">
      <w:pPr>
        <w:widowControl/>
        <w:adjustRightInd w:val="0"/>
        <w:snapToGrid w:val="0"/>
        <w:spacing w:line="312" w:lineRule="auto"/>
        <w:jc w:val="left"/>
        <w:rPr>
          <w:rFonts w:ascii="黑体" w:eastAsia="黑体" w:hAnsi="黑体"/>
          <w:color w:val="002060"/>
          <w:sz w:val="22"/>
        </w:rPr>
      </w:pPr>
      <w:r>
        <w:rPr>
          <w:rFonts w:ascii="黑体" w:eastAsia="黑体" w:hAnsi="黑体" w:hint="eastAsia"/>
          <w:color w:val="002060"/>
          <w:sz w:val="22"/>
        </w:rPr>
        <w:t>四</w:t>
      </w:r>
      <w:r w:rsidR="002F1B5B">
        <w:rPr>
          <w:rFonts w:ascii="黑体" w:eastAsia="黑体" w:hAnsi="黑体" w:hint="eastAsia"/>
          <w:color w:val="002060"/>
          <w:sz w:val="22"/>
        </w:rPr>
        <w:t>、</w:t>
      </w:r>
      <w:r w:rsidR="00B70DC0">
        <w:rPr>
          <w:rFonts w:ascii="黑体" w:eastAsia="黑体" w:hAnsi="黑体" w:hint="eastAsia"/>
          <w:color w:val="002060"/>
          <w:sz w:val="22"/>
        </w:rPr>
        <w:t>平衡表</w:t>
      </w:r>
    </w:p>
    <w:p w:rsidR="00C9056C" w:rsidRPr="001F4ADA" w:rsidRDefault="00C9056C" w:rsidP="001F4897">
      <w:pPr>
        <w:widowControl/>
        <w:adjustRightInd w:val="0"/>
        <w:snapToGrid w:val="0"/>
        <w:spacing w:line="312" w:lineRule="auto"/>
        <w:jc w:val="left"/>
        <w:rPr>
          <w:rFonts w:ascii="黑体" w:eastAsia="黑体" w:hAnsi="黑体"/>
          <w:color w:val="002060"/>
          <w:sz w:val="8"/>
          <w:szCs w:val="8"/>
        </w:rPr>
      </w:pPr>
    </w:p>
    <w:p w:rsidR="0008540E" w:rsidRPr="009F0DC3" w:rsidRDefault="00C160C2" w:rsidP="00C160C2">
      <w:pPr>
        <w:widowControl/>
        <w:adjustRightInd w:val="0"/>
        <w:snapToGrid w:val="0"/>
        <w:spacing w:line="312" w:lineRule="auto"/>
        <w:ind w:firstLineChars="200" w:firstLine="440"/>
        <w:jc w:val="left"/>
        <w:rPr>
          <w:rFonts w:ascii="华文楷体" w:eastAsia="华文楷体" w:hAnsi="华文楷体"/>
          <w:b/>
          <w:sz w:val="22"/>
        </w:rPr>
      </w:pPr>
      <w:r w:rsidRPr="00C160C2">
        <w:rPr>
          <w:rFonts w:ascii="华文楷体" w:eastAsia="华文楷体" w:hAnsi="华文楷体" w:hint="eastAsia"/>
          <w:sz w:val="22"/>
        </w:rPr>
        <w:t>尽管四季度LLDPE供需矛盾并不突出，但是在国内经济继续寻底的过程中，</w:t>
      </w:r>
      <w:r w:rsidRPr="009F0DC3">
        <w:rPr>
          <w:rFonts w:ascii="华文楷体" w:eastAsia="华文楷体" w:hAnsi="华文楷体" w:hint="eastAsia"/>
          <w:b/>
          <w:sz w:val="22"/>
        </w:rPr>
        <w:t>需求端的冲击可能超出预期，LLDPE重心将继续下移。</w:t>
      </w:r>
      <w:r w:rsidRPr="00C160C2">
        <w:rPr>
          <w:rFonts w:ascii="华文楷体" w:eastAsia="华文楷体" w:hAnsi="华文楷体" w:hint="eastAsia"/>
          <w:sz w:val="22"/>
        </w:rPr>
        <w:t>按照传统LLDPE期货进入移仓阶段，而近期L1601合约大幅增仓，虽然四季度LLDPE供应仍会出现盈余，但由于LLDPE体量较小，受产业资金的影响供需可能出现阶段失衡，考虑到当前可交割LLDPE库存较低，后期L1601可能出现较大波动，</w:t>
      </w:r>
      <w:r w:rsidRPr="009F0DC3">
        <w:rPr>
          <w:rFonts w:ascii="华文楷体" w:eastAsia="华文楷体" w:hAnsi="华文楷体" w:hint="eastAsia"/>
          <w:b/>
          <w:sz w:val="22"/>
        </w:rPr>
        <w:t>L1601-L1605价差低于400可以考虑做多L1601同时做空L1605，目标价差600-800。</w:t>
      </w:r>
    </w:p>
    <w:p w:rsidR="00066FE3" w:rsidRPr="00C9056C" w:rsidRDefault="00066FE3" w:rsidP="001F4897">
      <w:pPr>
        <w:widowControl/>
        <w:adjustRightInd w:val="0"/>
        <w:snapToGrid w:val="0"/>
        <w:spacing w:line="312" w:lineRule="auto"/>
        <w:jc w:val="left"/>
        <w:rPr>
          <w:rFonts w:ascii="黑体" w:eastAsia="黑体" w:hAnsi="黑体"/>
          <w:color w:val="002060"/>
          <w:sz w:val="8"/>
          <w:szCs w:val="8"/>
        </w:rPr>
      </w:pPr>
    </w:p>
    <w:p w:rsidR="004909CE" w:rsidRDefault="004909CE" w:rsidP="00E47CCE">
      <w:pPr>
        <w:widowControl/>
        <w:adjustRightInd w:val="0"/>
        <w:snapToGrid w:val="0"/>
        <w:spacing w:line="312" w:lineRule="auto"/>
        <w:jc w:val="center"/>
        <w:rPr>
          <w:rFonts w:ascii="黑体" w:eastAsia="黑体" w:hAnsi="黑体"/>
          <w:color w:val="002060"/>
        </w:rPr>
      </w:pPr>
    </w:p>
    <w:p w:rsidR="004909CE" w:rsidRDefault="004909CE" w:rsidP="00E47CCE">
      <w:pPr>
        <w:widowControl/>
        <w:adjustRightInd w:val="0"/>
        <w:snapToGrid w:val="0"/>
        <w:spacing w:line="312" w:lineRule="auto"/>
        <w:jc w:val="center"/>
        <w:rPr>
          <w:rFonts w:ascii="黑体" w:eastAsia="黑体" w:hAnsi="黑体"/>
          <w:color w:val="002060"/>
        </w:rPr>
      </w:pPr>
    </w:p>
    <w:p w:rsidR="00851766" w:rsidRDefault="009F0DC3" w:rsidP="00E47CCE">
      <w:pPr>
        <w:widowControl/>
        <w:adjustRightInd w:val="0"/>
        <w:snapToGrid w:val="0"/>
        <w:spacing w:line="312" w:lineRule="auto"/>
        <w:jc w:val="center"/>
        <w:rPr>
          <w:rFonts w:ascii="黑体" w:eastAsia="黑体" w:hAnsi="黑体"/>
          <w:color w:val="002060"/>
        </w:rPr>
      </w:pPr>
      <w:r>
        <w:rPr>
          <w:rFonts w:ascii="黑体" w:eastAsia="黑体" w:hAnsi="黑体" w:hint="eastAsia"/>
          <w:color w:val="002060"/>
        </w:rPr>
        <w:lastRenderedPageBreak/>
        <w:t>表2</w:t>
      </w:r>
      <w:r w:rsidR="00851766" w:rsidRPr="00AD11FB">
        <w:rPr>
          <w:rFonts w:ascii="黑体" w:eastAsia="黑体" w:hAnsi="黑体" w:hint="eastAsia"/>
          <w:color w:val="002060"/>
        </w:rPr>
        <w:t>：</w:t>
      </w:r>
      <w:r w:rsidRPr="009F0DC3">
        <w:rPr>
          <w:rFonts w:ascii="黑体" w:eastAsia="黑体" w:hAnsi="黑体" w:hint="eastAsia"/>
          <w:color w:val="002060"/>
        </w:rPr>
        <w:t>LLDPE供需平衡表（不含库存）</w:t>
      </w:r>
    </w:p>
    <w:tbl>
      <w:tblPr>
        <w:tblStyle w:val="-11"/>
        <w:tblW w:w="0" w:type="auto"/>
        <w:jc w:val="center"/>
        <w:tblLook w:val="04A0" w:firstRow="1" w:lastRow="0" w:firstColumn="1" w:lastColumn="0" w:noHBand="0" w:noVBand="1"/>
      </w:tblPr>
      <w:tblGrid>
        <w:gridCol w:w="1704"/>
        <w:gridCol w:w="1704"/>
        <w:gridCol w:w="1704"/>
        <w:gridCol w:w="1705"/>
        <w:gridCol w:w="1705"/>
      </w:tblGrid>
      <w:tr w:rsidR="009F0DC3" w:rsidRPr="009F0DC3" w:rsidTr="009F0D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4" w:type="dxa"/>
            <w:vAlign w:val="center"/>
          </w:tcPr>
          <w:p w:rsidR="009F0DC3" w:rsidRPr="009F0DC3" w:rsidRDefault="00CB7CF5" w:rsidP="009F0DC3">
            <w:pPr>
              <w:rPr>
                <w:rFonts w:ascii="宋体" w:eastAsia="宋体" w:hAnsi="宋体" w:cs="宋体"/>
                <w:color w:val="000000"/>
                <w:sz w:val="22"/>
              </w:rPr>
            </w:pPr>
            <w:r>
              <w:br w:type="page"/>
            </w:r>
            <w:r w:rsidR="009F0DC3" w:rsidRPr="009F0DC3">
              <w:rPr>
                <w:rFonts w:hint="eastAsia"/>
                <w:color w:val="000000"/>
                <w:sz w:val="22"/>
              </w:rPr>
              <w:t xml:space="preserve">　</w:t>
            </w:r>
          </w:p>
        </w:tc>
        <w:tc>
          <w:tcPr>
            <w:tcW w:w="1704" w:type="dxa"/>
            <w:vAlign w:val="center"/>
          </w:tcPr>
          <w:p w:rsidR="009F0DC3" w:rsidRPr="009F0DC3" w:rsidRDefault="009F0DC3" w:rsidP="009F0DC3">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一季度</w:t>
            </w:r>
          </w:p>
        </w:tc>
        <w:tc>
          <w:tcPr>
            <w:tcW w:w="1704" w:type="dxa"/>
            <w:vAlign w:val="center"/>
          </w:tcPr>
          <w:p w:rsidR="009F0DC3" w:rsidRPr="009F0DC3" w:rsidRDefault="009F0DC3" w:rsidP="009F0DC3">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二季度</w:t>
            </w:r>
          </w:p>
        </w:tc>
        <w:tc>
          <w:tcPr>
            <w:tcW w:w="1705" w:type="dxa"/>
            <w:vAlign w:val="center"/>
          </w:tcPr>
          <w:p w:rsidR="009F0DC3" w:rsidRPr="009F0DC3" w:rsidRDefault="009F0DC3" w:rsidP="009F0DC3">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三季度</w:t>
            </w:r>
          </w:p>
        </w:tc>
        <w:tc>
          <w:tcPr>
            <w:tcW w:w="1705" w:type="dxa"/>
            <w:vAlign w:val="center"/>
          </w:tcPr>
          <w:p w:rsidR="009F0DC3" w:rsidRPr="009F0DC3" w:rsidRDefault="009F0DC3" w:rsidP="009F0DC3">
            <w:pPr>
              <w:jc w:val="center"/>
              <w:cnfStyle w:val="100000000000" w:firstRow="1" w:lastRow="0" w:firstColumn="0" w:lastColumn="0" w:oddVBand="0" w:evenVBand="0" w:oddHBand="0" w:evenHBand="0" w:firstRowFirstColumn="0" w:firstRowLastColumn="0" w:lastRowFirstColumn="0" w:lastRowLastColumn="0"/>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四季度</w:t>
            </w:r>
          </w:p>
        </w:tc>
      </w:tr>
      <w:tr w:rsidR="009F0DC3" w:rsidRPr="009F0DC3" w:rsidTr="009F0D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rsidR="009F0DC3" w:rsidRPr="009F0DC3" w:rsidRDefault="009F0DC3" w:rsidP="009F0DC3">
            <w:pPr>
              <w:jc w:val="center"/>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产能</w:t>
            </w:r>
          </w:p>
        </w:tc>
        <w:tc>
          <w:tcPr>
            <w:tcW w:w="1704"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170.25</w:t>
            </w:r>
          </w:p>
        </w:tc>
        <w:tc>
          <w:tcPr>
            <w:tcW w:w="1704"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170.25</w:t>
            </w:r>
          </w:p>
        </w:tc>
        <w:tc>
          <w:tcPr>
            <w:tcW w:w="1705"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170.25</w:t>
            </w:r>
          </w:p>
        </w:tc>
        <w:tc>
          <w:tcPr>
            <w:tcW w:w="1705"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170.25</w:t>
            </w:r>
          </w:p>
        </w:tc>
      </w:tr>
      <w:tr w:rsidR="009F0DC3" w:rsidRPr="009F0DC3" w:rsidTr="009F0DC3">
        <w:trPr>
          <w:jc w:val="center"/>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rsidR="009F0DC3" w:rsidRPr="009F0DC3" w:rsidRDefault="009F0DC3" w:rsidP="009F0DC3">
            <w:pPr>
              <w:jc w:val="center"/>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产量</w:t>
            </w:r>
          </w:p>
        </w:tc>
        <w:tc>
          <w:tcPr>
            <w:tcW w:w="1704"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146</w:t>
            </w:r>
          </w:p>
        </w:tc>
        <w:tc>
          <w:tcPr>
            <w:tcW w:w="1704"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138.38</w:t>
            </w:r>
          </w:p>
        </w:tc>
        <w:tc>
          <w:tcPr>
            <w:tcW w:w="1705"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146.15</w:t>
            </w:r>
          </w:p>
        </w:tc>
        <w:tc>
          <w:tcPr>
            <w:tcW w:w="1705"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155.62</w:t>
            </w:r>
          </w:p>
        </w:tc>
      </w:tr>
      <w:tr w:rsidR="009F0DC3" w:rsidRPr="009F0DC3" w:rsidTr="009F0D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rsidR="009F0DC3" w:rsidRPr="009F0DC3" w:rsidRDefault="009F0DC3" w:rsidP="009F0DC3">
            <w:pPr>
              <w:jc w:val="center"/>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开工率</w:t>
            </w:r>
          </w:p>
        </w:tc>
        <w:tc>
          <w:tcPr>
            <w:tcW w:w="1704"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85.8 </w:t>
            </w:r>
          </w:p>
        </w:tc>
        <w:tc>
          <w:tcPr>
            <w:tcW w:w="1704"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81.3 </w:t>
            </w:r>
          </w:p>
        </w:tc>
        <w:tc>
          <w:tcPr>
            <w:tcW w:w="1705"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85.8 </w:t>
            </w:r>
          </w:p>
        </w:tc>
        <w:tc>
          <w:tcPr>
            <w:tcW w:w="1705"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91.4 </w:t>
            </w:r>
          </w:p>
        </w:tc>
      </w:tr>
      <w:tr w:rsidR="009F0DC3" w:rsidRPr="009F0DC3" w:rsidTr="009F0DC3">
        <w:trPr>
          <w:jc w:val="center"/>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rsidR="009F0DC3" w:rsidRPr="009F0DC3" w:rsidRDefault="009F0DC3" w:rsidP="009F0DC3">
            <w:pPr>
              <w:jc w:val="center"/>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进口量</w:t>
            </w:r>
          </w:p>
        </w:tc>
        <w:tc>
          <w:tcPr>
            <w:tcW w:w="1704"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67</w:t>
            </w:r>
          </w:p>
        </w:tc>
        <w:tc>
          <w:tcPr>
            <w:tcW w:w="1704"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63.1</w:t>
            </w:r>
          </w:p>
        </w:tc>
        <w:tc>
          <w:tcPr>
            <w:tcW w:w="1705"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63.56</w:t>
            </w:r>
          </w:p>
        </w:tc>
        <w:tc>
          <w:tcPr>
            <w:tcW w:w="1705"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54</w:t>
            </w:r>
          </w:p>
        </w:tc>
      </w:tr>
      <w:tr w:rsidR="009F0DC3" w:rsidRPr="009F0DC3" w:rsidTr="009F0D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tcPr>
          <w:p w:rsidR="009F0DC3" w:rsidRPr="009F0DC3" w:rsidRDefault="009F0DC3" w:rsidP="009F0DC3">
            <w:pPr>
              <w:jc w:val="center"/>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出口量</w:t>
            </w:r>
          </w:p>
        </w:tc>
        <w:tc>
          <w:tcPr>
            <w:tcW w:w="1704"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1.2 </w:t>
            </w:r>
          </w:p>
        </w:tc>
        <w:tc>
          <w:tcPr>
            <w:tcW w:w="1704"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1.5 </w:t>
            </w:r>
          </w:p>
        </w:tc>
        <w:tc>
          <w:tcPr>
            <w:tcW w:w="1705"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1.0 </w:t>
            </w:r>
          </w:p>
        </w:tc>
        <w:tc>
          <w:tcPr>
            <w:tcW w:w="1705"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1.5 </w:t>
            </w:r>
          </w:p>
        </w:tc>
      </w:tr>
      <w:tr w:rsidR="009F0DC3" w:rsidRPr="009F0DC3" w:rsidTr="009F0DC3">
        <w:trPr>
          <w:jc w:val="center"/>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rsidR="009F0DC3" w:rsidRPr="009F0DC3" w:rsidRDefault="009F0DC3" w:rsidP="009F0DC3">
            <w:pPr>
              <w:jc w:val="center"/>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供应量</w:t>
            </w:r>
          </w:p>
        </w:tc>
        <w:tc>
          <w:tcPr>
            <w:tcW w:w="1704"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211.8 </w:t>
            </w:r>
          </w:p>
        </w:tc>
        <w:tc>
          <w:tcPr>
            <w:tcW w:w="1704"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200.0 </w:t>
            </w:r>
          </w:p>
        </w:tc>
        <w:tc>
          <w:tcPr>
            <w:tcW w:w="1705"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208.7 </w:t>
            </w:r>
          </w:p>
        </w:tc>
        <w:tc>
          <w:tcPr>
            <w:tcW w:w="1705"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208.1 </w:t>
            </w:r>
          </w:p>
        </w:tc>
      </w:tr>
      <w:tr w:rsidR="009F0DC3" w:rsidRPr="009F0DC3" w:rsidTr="009F0D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rsidR="009F0DC3" w:rsidRPr="009F0DC3" w:rsidRDefault="009F0DC3" w:rsidP="009F0DC3">
            <w:pPr>
              <w:jc w:val="center"/>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消费量</w:t>
            </w:r>
          </w:p>
        </w:tc>
        <w:tc>
          <w:tcPr>
            <w:tcW w:w="1704"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204.1 </w:t>
            </w:r>
          </w:p>
        </w:tc>
        <w:tc>
          <w:tcPr>
            <w:tcW w:w="1704"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201.7 </w:t>
            </w:r>
          </w:p>
        </w:tc>
        <w:tc>
          <w:tcPr>
            <w:tcW w:w="1705"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207.3 </w:t>
            </w:r>
          </w:p>
        </w:tc>
        <w:tc>
          <w:tcPr>
            <w:tcW w:w="1705" w:type="dxa"/>
            <w:shd w:val="clear" w:color="auto" w:fill="auto"/>
            <w:vAlign w:val="center"/>
          </w:tcPr>
          <w:p w:rsidR="009F0DC3" w:rsidRPr="009F0DC3" w:rsidRDefault="009F0DC3" w:rsidP="009F0DC3">
            <w:pPr>
              <w:jc w:val="center"/>
              <w:cnfStyle w:val="000000100000" w:firstRow="0" w:lastRow="0" w:firstColumn="0" w:lastColumn="0" w:oddVBand="0" w:evenVBand="0" w:oddHBand="1"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207.2 </w:t>
            </w:r>
          </w:p>
        </w:tc>
      </w:tr>
      <w:tr w:rsidR="009F0DC3" w:rsidRPr="009F0DC3" w:rsidTr="009F0DC3">
        <w:trPr>
          <w:jc w:val="center"/>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vAlign w:val="center"/>
          </w:tcPr>
          <w:p w:rsidR="009F0DC3" w:rsidRPr="009F0DC3" w:rsidRDefault="009F0DC3" w:rsidP="009F0DC3">
            <w:pPr>
              <w:jc w:val="center"/>
              <w:rPr>
                <w:rFonts w:ascii="楷体" w:eastAsia="楷体" w:hAnsi="楷体"/>
                <w:color w:val="4F81BD" w:themeColor="accent1"/>
                <w:sz w:val="24"/>
                <w:szCs w:val="24"/>
              </w:rPr>
            </w:pPr>
            <w:r w:rsidRPr="009F0DC3">
              <w:rPr>
                <w:rFonts w:ascii="楷体" w:eastAsia="楷体" w:hAnsi="楷体" w:hint="eastAsia"/>
                <w:color w:val="4F81BD" w:themeColor="accent1"/>
                <w:sz w:val="24"/>
                <w:szCs w:val="24"/>
              </w:rPr>
              <w:t>库存变化</w:t>
            </w:r>
          </w:p>
        </w:tc>
        <w:tc>
          <w:tcPr>
            <w:tcW w:w="1704"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7.7 </w:t>
            </w:r>
          </w:p>
        </w:tc>
        <w:tc>
          <w:tcPr>
            <w:tcW w:w="1704"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-1.7 </w:t>
            </w:r>
          </w:p>
        </w:tc>
        <w:tc>
          <w:tcPr>
            <w:tcW w:w="1705"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1.4 </w:t>
            </w:r>
          </w:p>
        </w:tc>
        <w:tc>
          <w:tcPr>
            <w:tcW w:w="1705" w:type="dxa"/>
            <w:shd w:val="clear" w:color="auto" w:fill="auto"/>
            <w:vAlign w:val="center"/>
          </w:tcPr>
          <w:p w:rsidR="009F0DC3" w:rsidRPr="009F0DC3" w:rsidRDefault="009F0DC3" w:rsidP="009F0DC3">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宋体"/>
                <w:color w:val="000000"/>
                <w:sz w:val="20"/>
                <w:szCs w:val="20"/>
              </w:rPr>
            </w:pPr>
            <w:r w:rsidRPr="009F0DC3">
              <w:rPr>
                <w:rFonts w:ascii="楷体" w:eastAsia="楷体" w:hAnsi="楷体" w:hint="eastAsia"/>
                <w:color w:val="000000"/>
                <w:sz w:val="20"/>
                <w:szCs w:val="20"/>
              </w:rPr>
              <w:t xml:space="preserve">0.9 </w:t>
            </w:r>
          </w:p>
        </w:tc>
      </w:tr>
    </w:tbl>
    <w:p w:rsidR="00CB7CF5" w:rsidRDefault="00CB7CF5">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056CAC" w:rsidRDefault="00056CAC" w:rsidP="00056CAC">
      <w:pPr>
        <w:widowControl/>
        <w:jc w:val="left"/>
      </w:pPr>
    </w:p>
    <w:p w:rsidR="00DA6D91" w:rsidRPr="00DA6D91" w:rsidRDefault="00DA6D91" w:rsidP="00056CAC">
      <w:pPr>
        <w:widowControl/>
        <w:jc w:val="left"/>
      </w:pPr>
      <w:r w:rsidRPr="00DA6D91">
        <w:rPr>
          <w:rFonts w:hint="eastAsia"/>
        </w:rPr>
        <w:t>【免责声明】</w:t>
      </w:r>
    </w:p>
    <w:p w:rsidR="00DA6D91" w:rsidRPr="00DA6D91" w:rsidRDefault="00DA6D91" w:rsidP="00DA6D91">
      <w:pPr>
        <w:spacing w:line="360" w:lineRule="auto"/>
      </w:pPr>
      <w:r w:rsidRPr="00DA6D91">
        <w:rPr>
          <w:rFonts w:hint="eastAsia"/>
        </w:rPr>
        <w:t xml:space="preserve">     </w:t>
      </w:r>
      <w:r w:rsidRPr="00DA6D91">
        <w:rPr>
          <w:rFonts w:hint="eastAsia"/>
        </w:rPr>
        <w:t>本研究报告由国投中谷期货有限公司撰写</w:t>
      </w:r>
      <w:r w:rsidRPr="00DA6D91">
        <w:rPr>
          <w:rFonts w:hint="eastAsia"/>
        </w:rPr>
        <w:t>,</w:t>
      </w:r>
      <w:r w:rsidRPr="00DA6D91">
        <w:rPr>
          <w:rFonts w:hint="eastAsia"/>
        </w:rPr>
        <w:t>研究报告中所提供的信息仅供参考。报告根据国际和行业通行的准则，以合法渠道获得这些信息，尽可能保证可靠、准确和完整，但并不保证报告所述信息的准确性和完整性。本报告不能作为投资研究决策的依据，不能作为道义的、责任的和法律的依据或者凭证，无论是否已经明示或者暗示。国投中谷期货有限公司将随时补充、更正和修订有关信息，但不保证及时发布。对于本报告所提供信息所导致的任何直接的或者间接的投资盈亏后果不承担任何责任。</w:t>
      </w:r>
    </w:p>
    <w:p w:rsidR="00590195" w:rsidRDefault="00DA6D91" w:rsidP="0039565D">
      <w:pPr>
        <w:spacing w:line="360" w:lineRule="auto"/>
      </w:pPr>
      <w:r w:rsidRPr="00DA6D91">
        <w:rPr>
          <w:rFonts w:hint="eastAsia"/>
        </w:rPr>
        <w:t xml:space="preserve">    </w:t>
      </w:r>
      <w:r w:rsidRPr="00DA6D91">
        <w:rPr>
          <w:rFonts w:hint="eastAsia"/>
        </w:rPr>
        <w:t>本报告版权仅为国投中谷期货有限公司所有，未经书面许可，任何机构和个人不得以任何形式翻版、复制和发布。如引用发布，需注明出处为国投中谷期货有限公司，且不得对本报告进行有悖原意的引用、删节和修改。国投中谷期货有限公司对于本免责申明条款具有修改权和最终解释权。</w:t>
      </w:r>
      <w:r w:rsidR="00F479F4">
        <w:rPr>
          <w:noProof/>
        </w:rPr>
        <mc:AlternateContent>
          <mc:Choice Requires="wps">
            <w:drawing>
              <wp:anchor distT="0" distB="0" distL="114300" distR="114300" simplePos="0" relativeHeight="251675648" behindDoc="0" locked="0" layoutInCell="1" allowOverlap="1" wp14:anchorId="34E90DE2" wp14:editId="6BC668FF">
                <wp:simplePos x="0" y="0"/>
                <wp:positionH relativeFrom="column">
                  <wp:posOffset>-222250</wp:posOffset>
                </wp:positionH>
                <wp:positionV relativeFrom="paragraph">
                  <wp:posOffset>7815316</wp:posOffset>
                </wp:positionV>
                <wp:extent cx="5684808" cy="0"/>
                <wp:effectExtent l="0" t="0" r="11430" b="19050"/>
                <wp:wrapNone/>
                <wp:docPr id="14" name="直接连接符 14"/>
                <wp:cNvGraphicFramePr/>
                <a:graphic xmlns:a="http://schemas.openxmlformats.org/drawingml/2006/main">
                  <a:graphicData uri="http://schemas.microsoft.com/office/word/2010/wordprocessingShape">
                    <wps:wsp>
                      <wps:cNvCnPr/>
                      <wps:spPr>
                        <a:xfrm>
                          <a:off x="0" y="0"/>
                          <a:ext cx="568480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4"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615.4pt" to="430.1pt,6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" strokecolor="black [3213]" strokeweight="1.5pt"/>
            </w:pict>
          </mc:Fallback>
        </mc:AlternateContent>
      </w:r>
    </w:p>
    <w:p w:rsidR="00590195" w:rsidRPr="00590195" w:rsidRDefault="00590195" w:rsidP="00590195"/>
    <w:p w:rsidR="00590195" w:rsidRDefault="00590195" w:rsidP="00590195"/>
    <w:p w:rsidR="00F479F4" w:rsidRPr="00590195" w:rsidRDefault="00590195" w:rsidP="00590195">
      <w:pPr>
        <w:tabs>
          <w:tab w:val="left" w:pos="8390"/>
        </w:tabs>
      </w:pPr>
      <w:r>
        <w:tab/>
      </w:r>
    </w:p>
    <w:sectPr w:rsidR="00F479F4" w:rsidRPr="00590195" w:rsidSect="00011356">
      <w:headerReference w:type="default" r:id="rId25"/>
      <w:footerReference w:type="default" r:id="rId26"/>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827" w:rsidRDefault="00D04827" w:rsidP="00344737">
      <w:r>
        <w:separator/>
      </w:r>
    </w:p>
  </w:endnote>
  <w:endnote w:type="continuationSeparator" w:id="0">
    <w:p w:rsidR="00D04827" w:rsidRDefault="00D04827" w:rsidP="0034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757419"/>
      <w:docPartObj>
        <w:docPartGallery w:val="Page Numbers (Bottom of Page)"/>
        <w:docPartUnique/>
      </w:docPartObj>
    </w:sdtPr>
    <w:sdtEndPr/>
    <w:sdtContent>
      <w:sdt>
        <w:sdtPr>
          <w:id w:val="-1669238322"/>
          <w:docPartObj>
            <w:docPartGallery w:val="Page Numbers (Top of Page)"/>
            <w:docPartUnique/>
          </w:docPartObj>
        </w:sdtPr>
        <w:sdtEndPr/>
        <w:sdtContent>
          <w:p w:rsidR="00392BD9" w:rsidRDefault="00392BD9">
            <w:pPr>
              <w:pStyle w:val="a5"/>
              <w:jc w:val="center"/>
            </w:pPr>
            <w:r w:rsidRPr="00F479F4">
              <w:rPr>
                <w:b/>
                <w:color w:val="000000" w:themeColor="text1"/>
                <w:lang w:val="zh-CN"/>
              </w:rPr>
              <w:t xml:space="preserve"> </w:t>
            </w:r>
            <w:r w:rsidRPr="00F479F4">
              <w:rPr>
                <w:b/>
                <w:bCs/>
                <w:color w:val="000000" w:themeColor="text1"/>
                <w:sz w:val="24"/>
                <w:szCs w:val="24"/>
              </w:rPr>
              <w:fldChar w:fldCharType="begin"/>
            </w:r>
            <w:r w:rsidRPr="00F479F4">
              <w:rPr>
                <w:b/>
                <w:bCs/>
                <w:color w:val="000000" w:themeColor="text1"/>
              </w:rPr>
              <w:instrText>PAGE</w:instrText>
            </w:r>
            <w:r w:rsidRPr="00F479F4">
              <w:rPr>
                <w:b/>
                <w:bCs/>
                <w:color w:val="000000" w:themeColor="text1"/>
                <w:sz w:val="24"/>
                <w:szCs w:val="24"/>
              </w:rPr>
              <w:fldChar w:fldCharType="separate"/>
            </w:r>
            <w:r w:rsidR="00E42051">
              <w:rPr>
                <w:b/>
                <w:bCs/>
                <w:noProof/>
                <w:color w:val="000000" w:themeColor="text1"/>
              </w:rPr>
              <w:t>6</w:t>
            </w:r>
            <w:r w:rsidRPr="00F479F4">
              <w:rPr>
                <w:b/>
                <w:bCs/>
                <w:color w:val="000000" w:themeColor="text1"/>
                <w:sz w:val="24"/>
                <w:szCs w:val="24"/>
              </w:rPr>
              <w:fldChar w:fldCharType="end"/>
            </w:r>
            <w:r w:rsidRPr="00F479F4">
              <w:rPr>
                <w:b/>
                <w:color w:val="000000" w:themeColor="text1"/>
                <w:lang w:val="zh-CN"/>
              </w:rPr>
              <w:t xml:space="preserve"> / </w:t>
            </w:r>
            <w:r w:rsidRPr="00F479F4">
              <w:rPr>
                <w:b/>
                <w:bCs/>
                <w:color w:val="000000" w:themeColor="text1"/>
                <w:sz w:val="24"/>
                <w:szCs w:val="24"/>
              </w:rPr>
              <w:fldChar w:fldCharType="begin"/>
            </w:r>
            <w:r w:rsidRPr="00F479F4">
              <w:rPr>
                <w:b/>
                <w:bCs/>
                <w:color w:val="000000" w:themeColor="text1"/>
              </w:rPr>
              <w:instrText>NUMPAGES</w:instrText>
            </w:r>
            <w:r w:rsidRPr="00F479F4">
              <w:rPr>
                <w:b/>
                <w:bCs/>
                <w:color w:val="000000" w:themeColor="text1"/>
                <w:sz w:val="24"/>
                <w:szCs w:val="24"/>
              </w:rPr>
              <w:fldChar w:fldCharType="separate"/>
            </w:r>
            <w:r w:rsidR="00E42051">
              <w:rPr>
                <w:b/>
                <w:bCs/>
                <w:noProof/>
                <w:color w:val="000000" w:themeColor="text1"/>
              </w:rPr>
              <w:t>6</w:t>
            </w:r>
            <w:r w:rsidRPr="00F479F4">
              <w:rPr>
                <w:b/>
                <w:bCs/>
                <w:color w:val="000000" w:themeColor="text1"/>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827" w:rsidRDefault="00D04827" w:rsidP="00344737">
      <w:r>
        <w:separator/>
      </w:r>
    </w:p>
  </w:footnote>
  <w:footnote w:type="continuationSeparator" w:id="0">
    <w:p w:rsidR="00D04827" w:rsidRDefault="00D04827" w:rsidP="00344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D9" w:rsidRDefault="00392BD9">
    <w:pPr>
      <w:pStyle w:val="a4"/>
      <w:rPr>
        <w:noProof/>
      </w:rPr>
    </w:pPr>
  </w:p>
  <w:p w:rsidR="00392BD9" w:rsidRDefault="00392BD9">
    <w:pPr>
      <w:pStyle w:val="a4"/>
    </w:pPr>
    <w:r>
      <w:rPr>
        <w:noProof/>
      </w:rPr>
      <w:drawing>
        <wp:inline distT="0" distB="0" distL="0" distR="0" wp14:anchorId="4E219E07" wp14:editId="7AB85CA3">
          <wp:extent cx="2286000" cy="319178"/>
          <wp:effectExtent l="0" t="0" r="0" b="50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a:extLst>
                      <a:ext uri="{28A0092B-C50C-407E-A947-70E740481C1C}">
                        <a14:useLocalDpi xmlns:a14="http://schemas.microsoft.com/office/drawing/2010/main" val="0"/>
                      </a:ext>
                    </a:extLst>
                  </a:blip>
                  <a:srcRect t="24678" b="21609"/>
                  <a:stretch/>
                </pic:blipFill>
                <pic:spPr bwMode="auto">
                  <a:xfrm>
                    <a:off x="0" y="0"/>
                    <a:ext cx="2298391" cy="320908"/>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center" w:leader="none"/>
    </w:r>
    <w:r>
      <w:ptab w:relativeTo="margin" w:alignment="right" w:leader="none"/>
    </w:r>
    <w:r w:rsidR="007A3215">
      <w:rPr>
        <w:rFonts w:ascii="黑体" w:eastAsia="黑体" w:hAnsi="黑体" w:hint="eastAsia"/>
        <w:sz w:val="24"/>
      </w:rPr>
      <w:t>黑产掘金</w:t>
    </w:r>
    <w:r>
      <w:rPr>
        <w:rFonts w:ascii="黑体" w:eastAsia="黑体" w:hAnsi="黑体" w:hint="eastAsia"/>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A01B0"/>
    <w:multiLevelType w:val="hybridMultilevel"/>
    <w:tmpl w:val="07D27B02"/>
    <w:lvl w:ilvl="0" w:tplc="D76A8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427D23"/>
    <w:multiLevelType w:val="hybridMultilevel"/>
    <w:tmpl w:val="91C0166A"/>
    <w:lvl w:ilvl="0" w:tplc="4F4EFC1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0F2D60"/>
    <w:multiLevelType w:val="hybridMultilevel"/>
    <w:tmpl w:val="D1DC6894"/>
    <w:lvl w:ilvl="0" w:tplc="6DDC20FE">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E445A6"/>
    <w:multiLevelType w:val="hybridMultilevel"/>
    <w:tmpl w:val="7A882B4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22B5C40"/>
    <w:multiLevelType w:val="hybridMultilevel"/>
    <w:tmpl w:val="76BED4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9E00FC1"/>
    <w:multiLevelType w:val="hybridMultilevel"/>
    <w:tmpl w:val="4FC801AC"/>
    <w:lvl w:ilvl="0" w:tplc="4F524D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153D3C"/>
    <w:multiLevelType w:val="hybridMultilevel"/>
    <w:tmpl w:val="1FECEF20"/>
    <w:lvl w:ilvl="0" w:tplc="2AA66B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41"/>
    <w:rsid w:val="000008FC"/>
    <w:rsid w:val="0000207E"/>
    <w:rsid w:val="0000657E"/>
    <w:rsid w:val="00007E22"/>
    <w:rsid w:val="0001015F"/>
    <w:rsid w:val="00010E95"/>
    <w:rsid w:val="00011356"/>
    <w:rsid w:val="00014113"/>
    <w:rsid w:val="00016744"/>
    <w:rsid w:val="000168D2"/>
    <w:rsid w:val="00022234"/>
    <w:rsid w:val="000247B1"/>
    <w:rsid w:val="0003564C"/>
    <w:rsid w:val="00036627"/>
    <w:rsid w:val="00036ED3"/>
    <w:rsid w:val="00037EE9"/>
    <w:rsid w:val="00044AB5"/>
    <w:rsid w:val="0004557D"/>
    <w:rsid w:val="0005026D"/>
    <w:rsid w:val="000526D5"/>
    <w:rsid w:val="0005498E"/>
    <w:rsid w:val="00056CAC"/>
    <w:rsid w:val="00064DDD"/>
    <w:rsid w:val="00066FE3"/>
    <w:rsid w:val="000707AC"/>
    <w:rsid w:val="000732DE"/>
    <w:rsid w:val="000826CC"/>
    <w:rsid w:val="00085201"/>
    <w:rsid w:val="00085272"/>
    <w:rsid w:val="0008540E"/>
    <w:rsid w:val="00095800"/>
    <w:rsid w:val="00097466"/>
    <w:rsid w:val="000A2DAE"/>
    <w:rsid w:val="000A326E"/>
    <w:rsid w:val="000A447B"/>
    <w:rsid w:val="000C376E"/>
    <w:rsid w:val="000C75BC"/>
    <w:rsid w:val="000C7B69"/>
    <w:rsid w:val="000D7A23"/>
    <w:rsid w:val="000E24F8"/>
    <w:rsid w:val="000E45C0"/>
    <w:rsid w:val="000E5ED7"/>
    <w:rsid w:val="000F1C29"/>
    <w:rsid w:val="000F5ADA"/>
    <w:rsid w:val="0010269C"/>
    <w:rsid w:val="0010724C"/>
    <w:rsid w:val="001105D8"/>
    <w:rsid w:val="001149CD"/>
    <w:rsid w:val="00117A31"/>
    <w:rsid w:val="001205F9"/>
    <w:rsid w:val="00124BD6"/>
    <w:rsid w:val="00130359"/>
    <w:rsid w:val="00130921"/>
    <w:rsid w:val="00130A98"/>
    <w:rsid w:val="001454EF"/>
    <w:rsid w:val="00146BA2"/>
    <w:rsid w:val="00150F4E"/>
    <w:rsid w:val="00151FF3"/>
    <w:rsid w:val="00153932"/>
    <w:rsid w:val="00153D49"/>
    <w:rsid w:val="0015540F"/>
    <w:rsid w:val="00162A7E"/>
    <w:rsid w:val="001678CC"/>
    <w:rsid w:val="00183DC6"/>
    <w:rsid w:val="00185E66"/>
    <w:rsid w:val="00194C5F"/>
    <w:rsid w:val="00195990"/>
    <w:rsid w:val="001A3049"/>
    <w:rsid w:val="001A53AD"/>
    <w:rsid w:val="001A57AC"/>
    <w:rsid w:val="001B04E3"/>
    <w:rsid w:val="001B1295"/>
    <w:rsid w:val="001B3BD7"/>
    <w:rsid w:val="001C36C6"/>
    <w:rsid w:val="001D00D2"/>
    <w:rsid w:val="001D237B"/>
    <w:rsid w:val="001D52FC"/>
    <w:rsid w:val="001D7A6E"/>
    <w:rsid w:val="001E0C3D"/>
    <w:rsid w:val="001E2393"/>
    <w:rsid w:val="001E5BEB"/>
    <w:rsid w:val="001E6577"/>
    <w:rsid w:val="001E7EBF"/>
    <w:rsid w:val="001F4897"/>
    <w:rsid w:val="001F4ADA"/>
    <w:rsid w:val="001F5AD5"/>
    <w:rsid w:val="001F60E7"/>
    <w:rsid w:val="00202907"/>
    <w:rsid w:val="002039A8"/>
    <w:rsid w:val="00210D8E"/>
    <w:rsid w:val="00211C80"/>
    <w:rsid w:val="00223B5C"/>
    <w:rsid w:val="002262B2"/>
    <w:rsid w:val="00231D03"/>
    <w:rsid w:val="002361AF"/>
    <w:rsid w:val="0024106D"/>
    <w:rsid w:val="00242573"/>
    <w:rsid w:val="00253A0C"/>
    <w:rsid w:val="00253CEF"/>
    <w:rsid w:val="00256512"/>
    <w:rsid w:val="0026100C"/>
    <w:rsid w:val="002643BA"/>
    <w:rsid w:val="00266E32"/>
    <w:rsid w:val="00270E38"/>
    <w:rsid w:val="00273356"/>
    <w:rsid w:val="00274A8F"/>
    <w:rsid w:val="00282372"/>
    <w:rsid w:val="00285AAF"/>
    <w:rsid w:val="00286511"/>
    <w:rsid w:val="002917C4"/>
    <w:rsid w:val="0029368C"/>
    <w:rsid w:val="00294443"/>
    <w:rsid w:val="00296989"/>
    <w:rsid w:val="002A3198"/>
    <w:rsid w:val="002A3C8F"/>
    <w:rsid w:val="002A4FB5"/>
    <w:rsid w:val="002A6965"/>
    <w:rsid w:val="002B07CC"/>
    <w:rsid w:val="002B0DDE"/>
    <w:rsid w:val="002B6FEF"/>
    <w:rsid w:val="002C1FD6"/>
    <w:rsid w:val="002C52B1"/>
    <w:rsid w:val="002C7748"/>
    <w:rsid w:val="002D3684"/>
    <w:rsid w:val="002D410C"/>
    <w:rsid w:val="002E0B6C"/>
    <w:rsid w:val="002E0CE4"/>
    <w:rsid w:val="002E73B7"/>
    <w:rsid w:val="002F168B"/>
    <w:rsid w:val="002F1B5B"/>
    <w:rsid w:val="002F4F74"/>
    <w:rsid w:val="002F5F35"/>
    <w:rsid w:val="00301C7C"/>
    <w:rsid w:val="0031043F"/>
    <w:rsid w:val="003156F6"/>
    <w:rsid w:val="00315B8C"/>
    <w:rsid w:val="00316087"/>
    <w:rsid w:val="003160B0"/>
    <w:rsid w:val="003206C2"/>
    <w:rsid w:val="0032169D"/>
    <w:rsid w:val="00325CBE"/>
    <w:rsid w:val="0032640D"/>
    <w:rsid w:val="00334FCD"/>
    <w:rsid w:val="00335FEE"/>
    <w:rsid w:val="00336C86"/>
    <w:rsid w:val="003415CB"/>
    <w:rsid w:val="003438F7"/>
    <w:rsid w:val="00344737"/>
    <w:rsid w:val="00346A9D"/>
    <w:rsid w:val="00350927"/>
    <w:rsid w:val="00350BF8"/>
    <w:rsid w:val="00355D24"/>
    <w:rsid w:val="003620BC"/>
    <w:rsid w:val="00366E62"/>
    <w:rsid w:val="00373274"/>
    <w:rsid w:val="003808A4"/>
    <w:rsid w:val="003904AA"/>
    <w:rsid w:val="00391DA4"/>
    <w:rsid w:val="00392BD9"/>
    <w:rsid w:val="003941E0"/>
    <w:rsid w:val="0039565D"/>
    <w:rsid w:val="00397B19"/>
    <w:rsid w:val="003B26EC"/>
    <w:rsid w:val="003B3DC3"/>
    <w:rsid w:val="003B40F3"/>
    <w:rsid w:val="003C1DE9"/>
    <w:rsid w:val="003C7550"/>
    <w:rsid w:val="003D01C6"/>
    <w:rsid w:val="003D6AA1"/>
    <w:rsid w:val="003D7D8D"/>
    <w:rsid w:val="003E004D"/>
    <w:rsid w:val="003E0B9F"/>
    <w:rsid w:val="003E15E4"/>
    <w:rsid w:val="003E246E"/>
    <w:rsid w:val="003E28F0"/>
    <w:rsid w:val="003F0C3B"/>
    <w:rsid w:val="004004E0"/>
    <w:rsid w:val="0040297C"/>
    <w:rsid w:val="0040436A"/>
    <w:rsid w:val="0041631C"/>
    <w:rsid w:val="0041672E"/>
    <w:rsid w:val="004177B7"/>
    <w:rsid w:val="00421637"/>
    <w:rsid w:val="004331E9"/>
    <w:rsid w:val="00435B5C"/>
    <w:rsid w:val="00436EED"/>
    <w:rsid w:val="004400C2"/>
    <w:rsid w:val="00443B6A"/>
    <w:rsid w:val="0044724B"/>
    <w:rsid w:val="0045225D"/>
    <w:rsid w:val="00452574"/>
    <w:rsid w:val="004619D8"/>
    <w:rsid w:val="00462AD6"/>
    <w:rsid w:val="00464147"/>
    <w:rsid w:val="004650BF"/>
    <w:rsid w:val="00467015"/>
    <w:rsid w:val="00474AFD"/>
    <w:rsid w:val="004775CA"/>
    <w:rsid w:val="00480374"/>
    <w:rsid w:val="004824BB"/>
    <w:rsid w:val="004828DA"/>
    <w:rsid w:val="00483E66"/>
    <w:rsid w:val="00484570"/>
    <w:rsid w:val="00486451"/>
    <w:rsid w:val="00487128"/>
    <w:rsid w:val="004909CE"/>
    <w:rsid w:val="00494B6C"/>
    <w:rsid w:val="004A0772"/>
    <w:rsid w:val="004A6FF6"/>
    <w:rsid w:val="004B15CC"/>
    <w:rsid w:val="004C0A4C"/>
    <w:rsid w:val="004C5905"/>
    <w:rsid w:val="004D6498"/>
    <w:rsid w:val="004E2AA5"/>
    <w:rsid w:val="004E73F6"/>
    <w:rsid w:val="004F136E"/>
    <w:rsid w:val="004F1444"/>
    <w:rsid w:val="004F198D"/>
    <w:rsid w:val="004F2634"/>
    <w:rsid w:val="004F47CC"/>
    <w:rsid w:val="004F5E4B"/>
    <w:rsid w:val="005020BE"/>
    <w:rsid w:val="00513184"/>
    <w:rsid w:val="00513DF8"/>
    <w:rsid w:val="00525A0B"/>
    <w:rsid w:val="00525E00"/>
    <w:rsid w:val="00526362"/>
    <w:rsid w:val="00535166"/>
    <w:rsid w:val="005438FF"/>
    <w:rsid w:val="00555D8A"/>
    <w:rsid w:val="00560198"/>
    <w:rsid w:val="00560A19"/>
    <w:rsid w:val="00563882"/>
    <w:rsid w:val="00565DAA"/>
    <w:rsid w:val="00572653"/>
    <w:rsid w:val="005727F7"/>
    <w:rsid w:val="005738D8"/>
    <w:rsid w:val="00575172"/>
    <w:rsid w:val="00575981"/>
    <w:rsid w:val="00575EF9"/>
    <w:rsid w:val="00576D3D"/>
    <w:rsid w:val="00582229"/>
    <w:rsid w:val="00590195"/>
    <w:rsid w:val="00590439"/>
    <w:rsid w:val="00591413"/>
    <w:rsid w:val="00591CD3"/>
    <w:rsid w:val="00593FD1"/>
    <w:rsid w:val="005944A8"/>
    <w:rsid w:val="005A30A4"/>
    <w:rsid w:val="005A559F"/>
    <w:rsid w:val="005A74DD"/>
    <w:rsid w:val="005C042E"/>
    <w:rsid w:val="005C3890"/>
    <w:rsid w:val="005D18F5"/>
    <w:rsid w:val="005D2041"/>
    <w:rsid w:val="005D37FC"/>
    <w:rsid w:val="005D6B78"/>
    <w:rsid w:val="005E0486"/>
    <w:rsid w:val="005E0E8E"/>
    <w:rsid w:val="005E4099"/>
    <w:rsid w:val="005E56B2"/>
    <w:rsid w:val="005E5F82"/>
    <w:rsid w:val="005F1B43"/>
    <w:rsid w:val="005F2A61"/>
    <w:rsid w:val="005F55D6"/>
    <w:rsid w:val="005F5B15"/>
    <w:rsid w:val="00603173"/>
    <w:rsid w:val="00604942"/>
    <w:rsid w:val="006056CF"/>
    <w:rsid w:val="00606F1C"/>
    <w:rsid w:val="00611F6C"/>
    <w:rsid w:val="006120B6"/>
    <w:rsid w:val="00612FF6"/>
    <w:rsid w:val="00614C7A"/>
    <w:rsid w:val="0062393B"/>
    <w:rsid w:val="00625420"/>
    <w:rsid w:val="0062684C"/>
    <w:rsid w:val="0064381D"/>
    <w:rsid w:val="00650267"/>
    <w:rsid w:val="00654C37"/>
    <w:rsid w:val="006558D8"/>
    <w:rsid w:val="006676A3"/>
    <w:rsid w:val="00670841"/>
    <w:rsid w:val="006730DD"/>
    <w:rsid w:val="00676959"/>
    <w:rsid w:val="00681E94"/>
    <w:rsid w:val="00683DDD"/>
    <w:rsid w:val="00684441"/>
    <w:rsid w:val="00684908"/>
    <w:rsid w:val="00686E94"/>
    <w:rsid w:val="006956A9"/>
    <w:rsid w:val="006959D7"/>
    <w:rsid w:val="006A1EB9"/>
    <w:rsid w:val="006A332C"/>
    <w:rsid w:val="006A3AA6"/>
    <w:rsid w:val="006A4D6D"/>
    <w:rsid w:val="006B1DD9"/>
    <w:rsid w:val="006C1618"/>
    <w:rsid w:val="006C1B8A"/>
    <w:rsid w:val="006D1142"/>
    <w:rsid w:val="006D702B"/>
    <w:rsid w:val="006D74D3"/>
    <w:rsid w:val="006D7EFF"/>
    <w:rsid w:val="006F2644"/>
    <w:rsid w:val="00701D5F"/>
    <w:rsid w:val="00701F66"/>
    <w:rsid w:val="00702683"/>
    <w:rsid w:val="00704803"/>
    <w:rsid w:val="00704944"/>
    <w:rsid w:val="00716736"/>
    <w:rsid w:val="0072482E"/>
    <w:rsid w:val="00725451"/>
    <w:rsid w:val="0073131E"/>
    <w:rsid w:val="007421DA"/>
    <w:rsid w:val="0074659D"/>
    <w:rsid w:val="00752BF1"/>
    <w:rsid w:val="007553EE"/>
    <w:rsid w:val="00762D93"/>
    <w:rsid w:val="007641BD"/>
    <w:rsid w:val="00764AD6"/>
    <w:rsid w:val="0076567C"/>
    <w:rsid w:val="00766A75"/>
    <w:rsid w:val="007701B5"/>
    <w:rsid w:val="007730C3"/>
    <w:rsid w:val="00775A36"/>
    <w:rsid w:val="007802D5"/>
    <w:rsid w:val="007826F7"/>
    <w:rsid w:val="00782E98"/>
    <w:rsid w:val="007A3215"/>
    <w:rsid w:val="007B0AA3"/>
    <w:rsid w:val="007B0FAE"/>
    <w:rsid w:val="007B593B"/>
    <w:rsid w:val="007C13D2"/>
    <w:rsid w:val="007C2B4A"/>
    <w:rsid w:val="007C30E2"/>
    <w:rsid w:val="007C5087"/>
    <w:rsid w:val="007C6DF0"/>
    <w:rsid w:val="007D5929"/>
    <w:rsid w:val="007D6425"/>
    <w:rsid w:val="007E2AFC"/>
    <w:rsid w:val="007E2CC5"/>
    <w:rsid w:val="007F1AAE"/>
    <w:rsid w:val="0080311E"/>
    <w:rsid w:val="00803843"/>
    <w:rsid w:val="00807CEB"/>
    <w:rsid w:val="00811F2A"/>
    <w:rsid w:val="00813A12"/>
    <w:rsid w:val="00813D82"/>
    <w:rsid w:val="008150DC"/>
    <w:rsid w:val="00817EB0"/>
    <w:rsid w:val="00820C0F"/>
    <w:rsid w:val="00821148"/>
    <w:rsid w:val="008218C8"/>
    <w:rsid w:val="0082414F"/>
    <w:rsid w:val="008254E8"/>
    <w:rsid w:val="00825B64"/>
    <w:rsid w:val="008270E2"/>
    <w:rsid w:val="00833796"/>
    <w:rsid w:val="00836B9F"/>
    <w:rsid w:val="008378D5"/>
    <w:rsid w:val="00837BFD"/>
    <w:rsid w:val="008403F4"/>
    <w:rsid w:val="008419A1"/>
    <w:rsid w:val="00847537"/>
    <w:rsid w:val="00851766"/>
    <w:rsid w:val="00866F76"/>
    <w:rsid w:val="00867CFA"/>
    <w:rsid w:val="00873C84"/>
    <w:rsid w:val="00874BC3"/>
    <w:rsid w:val="00874C4D"/>
    <w:rsid w:val="00875E5F"/>
    <w:rsid w:val="008845B4"/>
    <w:rsid w:val="00887405"/>
    <w:rsid w:val="00891D29"/>
    <w:rsid w:val="00897789"/>
    <w:rsid w:val="008A46A4"/>
    <w:rsid w:val="008A51B8"/>
    <w:rsid w:val="008A5F79"/>
    <w:rsid w:val="008A6324"/>
    <w:rsid w:val="008A7D27"/>
    <w:rsid w:val="008B282A"/>
    <w:rsid w:val="008B4BD7"/>
    <w:rsid w:val="008B61EF"/>
    <w:rsid w:val="008B73F3"/>
    <w:rsid w:val="008B7696"/>
    <w:rsid w:val="008C0127"/>
    <w:rsid w:val="008C128E"/>
    <w:rsid w:val="008D0B00"/>
    <w:rsid w:val="008D2B11"/>
    <w:rsid w:val="008D590A"/>
    <w:rsid w:val="008D5F58"/>
    <w:rsid w:val="008E3298"/>
    <w:rsid w:val="008E3815"/>
    <w:rsid w:val="008E60FE"/>
    <w:rsid w:val="008E6CE2"/>
    <w:rsid w:val="008F2881"/>
    <w:rsid w:val="008F3CCF"/>
    <w:rsid w:val="008F462E"/>
    <w:rsid w:val="008F47EB"/>
    <w:rsid w:val="008F63F4"/>
    <w:rsid w:val="008F6E76"/>
    <w:rsid w:val="00900197"/>
    <w:rsid w:val="00900E4F"/>
    <w:rsid w:val="009021AD"/>
    <w:rsid w:val="0090236B"/>
    <w:rsid w:val="009036B8"/>
    <w:rsid w:val="0090423A"/>
    <w:rsid w:val="00904FCF"/>
    <w:rsid w:val="00906A4B"/>
    <w:rsid w:val="00907A73"/>
    <w:rsid w:val="00914F0F"/>
    <w:rsid w:val="009222C6"/>
    <w:rsid w:val="009237A1"/>
    <w:rsid w:val="00923E01"/>
    <w:rsid w:val="009307DF"/>
    <w:rsid w:val="00933207"/>
    <w:rsid w:val="00933A71"/>
    <w:rsid w:val="009371CD"/>
    <w:rsid w:val="00940A12"/>
    <w:rsid w:val="009458DB"/>
    <w:rsid w:val="009578E4"/>
    <w:rsid w:val="00960635"/>
    <w:rsid w:val="0096375C"/>
    <w:rsid w:val="00972C81"/>
    <w:rsid w:val="00977090"/>
    <w:rsid w:val="009842A8"/>
    <w:rsid w:val="00984D13"/>
    <w:rsid w:val="009862DE"/>
    <w:rsid w:val="009956D2"/>
    <w:rsid w:val="00995DCB"/>
    <w:rsid w:val="009A2F96"/>
    <w:rsid w:val="009A31EE"/>
    <w:rsid w:val="009A426C"/>
    <w:rsid w:val="009A42B5"/>
    <w:rsid w:val="009A49B3"/>
    <w:rsid w:val="009A6058"/>
    <w:rsid w:val="009A6717"/>
    <w:rsid w:val="009A777B"/>
    <w:rsid w:val="009B011B"/>
    <w:rsid w:val="009C0D14"/>
    <w:rsid w:val="009C4C02"/>
    <w:rsid w:val="009D373D"/>
    <w:rsid w:val="009D715F"/>
    <w:rsid w:val="009F0DC3"/>
    <w:rsid w:val="009F5713"/>
    <w:rsid w:val="009F7225"/>
    <w:rsid w:val="00A00FFD"/>
    <w:rsid w:val="00A03525"/>
    <w:rsid w:val="00A05448"/>
    <w:rsid w:val="00A11EC4"/>
    <w:rsid w:val="00A13609"/>
    <w:rsid w:val="00A144DA"/>
    <w:rsid w:val="00A170AA"/>
    <w:rsid w:val="00A1765C"/>
    <w:rsid w:val="00A20F57"/>
    <w:rsid w:val="00A212A3"/>
    <w:rsid w:val="00A21B65"/>
    <w:rsid w:val="00A268DB"/>
    <w:rsid w:val="00A31ED7"/>
    <w:rsid w:val="00A32821"/>
    <w:rsid w:val="00A33C64"/>
    <w:rsid w:val="00A3775A"/>
    <w:rsid w:val="00A42F1A"/>
    <w:rsid w:val="00A43ADB"/>
    <w:rsid w:val="00A4429C"/>
    <w:rsid w:val="00A4475D"/>
    <w:rsid w:val="00A448E5"/>
    <w:rsid w:val="00A46CD9"/>
    <w:rsid w:val="00A476A5"/>
    <w:rsid w:val="00A5660C"/>
    <w:rsid w:val="00A56A11"/>
    <w:rsid w:val="00A57A5D"/>
    <w:rsid w:val="00A63D31"/>
    <w:rsid w:val="00A64168"/>
    <w:rsid w:val="00A64C90"/>
    <w:rsid w:val="00A64FA5"/>
    <w:rsid w:val="00A678B3"/>
    <w:rsid w:val="00A71F5D"/>
    <w:rsid w:val="00A7358F"/>
    <w:rsid w:val="00A75795"/>
    <w:rsid w:val="00A771A2"/>
    <w:rsid w:val="00A77B68"/>
    <w:rsid w:val="00A847F3"/>
    <w:rsid w:val="00A84EEB"/>
    <w:rsid w:val="00A9019F"/>
    <w:rsid w:val="00A91E2F"/>
    <w:rsid w:val="00A95265"/>
    <w:rsid w:val="00AA03C5"/>
    <w:rsid w:val="00AA4944"/>
    <w:rsid w:val="00AA7562"/>
    <w:rsid w:val="00AB0ECF"/>
    <w:rsid w:val="00AB326A"/>
    <w:rsid w:val="00AB3399"/>
    <w:rsid w:val="00AB4567"/>
    <w:rsid w:val="00AB5278"/>
    <w:rsid w:val="00AB5DFA"/>
    <w:rsid w:val="00AC5473"/>
    <w:rsid w:val="00AC601D"/>
    <w:rsid w:val="00AD11FB"/>
    <w:rsid w:val="00AD3A7A"/>
    <w:rsid w:val="00AD5DE5"/>
    <w:rsid w:val="00AF3EFE"/>
    <w:rsid w:val="00AF621F"/>
    <w:rsid w:val="00AF6F6B"/>
    <w:rsid w:val="00AF76EF"/>
    <w:rsid w:val="00AF7FE3"/>
    <w:rsid w:val="00B0168E"/>
    <w:rsid w:val="00B0388A"/>
    <w:rsid w:val="00B07DE9"/>
    <w:rsid w:val="00B16001"/>
    <w:rsid w:val="00B36FA5"/>
    <w:rsid w:val="00B43A03"/>
    <w:rsid w:val="00B45640"/>
    <w:rsid w:val="00B47636"/>
    <w:rsid w:val="00B4797E"/>
    <w:rsid w:val="00B51C9D"/>
    <w:rsid w:val="00B54991"/>
    <w:rsid w:val="00B5602A"/>
    <w:rsid w:val="00B57285"/>
    <w:rsid w:val="00B5797F"/>
    <w:rsid w:val="00B634E3"/>
    <w:rsid w:val="00B63E67"/>
    <w:rsid w:val="00B64583"/>
    <w:rsid w:val="00B661CE"/>
    <w:rsid w:val="00B70DC0"/>
    <w:rsid w:val="00B727CD"/>
    <w:rsid w:val="00B77109"/>
    <w:rsid w:val="00B775FB"/>
    <w:rsid w:val="00B777A7"/>
    <w:rsid w:val="00B77D97"/>
    <w:rsid w:val="00B8054F"/>
    <w:rsid w:val="00B81A85"/>
    <w:rsid w:val="00B85342"/>
    <w:rsid w:val="00B86FC5"/>
    <w:rsid w:val="00B93DE5"/>
    <w:rsid w:val="00B93EC5"/>
    <w:rsid w:val="00B96228"/>
    <w:rsid w:val="00BA08AA"/>
    <w:rsid w:val="00BA501D"/>
    <w:rsid w:val="00BA5D78"/>
    <w:rsid w:val="00BA75FF"/>
    <w:rsid w:val="00BB5364"/>
    <w:rsid w:val="00BB58B5"/>
    <w:rsid w:val="00BC12E2"/>
    <w:rsid w:val="00BC38CC"/>
    <w:rsid w:val="00BC48F8"/>
    <w:rsid w:val="00BD0C87"/>
    <w:rsid w:val="00BE1C87"/>
    <w:rsid w:val="00BE445F"/>
    <w:rsid w:val="00BE70E4"/>
    <w:rsid w:val="00BF3878"/>
    <w:rsid w:val="00C045AA"/>
    <w:rsid w:val="00C04862"/>
    <w:rsid w:val="00C114C4"/>
    <w:rsid w:val="00C131D8"/>
    <w:rsid w:val="00C151BA"/>
    <w:rsid w:val="00C160C2"/>
    <w:rsid w:val="00C23F7C"/>
    <w:rsid w:val="00C24AC1"/>
    <w:rsid w:val="00C2710C"/>
    <w:rsid w:val="00C30238"/>
    <w:rsid w:val="00C304CA"/>
    <w:rsid w:val="00C320DB"/>
    <w:rsid w:val="00C337BD"/>
    <w:rsid w:val="00C40626"/>
    <w:rsid w:val="00C42F0D"/>
    <w:rsid w:val="00C43814"/>
    <w:rsid w:val="00C4490B"/>
    <w:rsid w:val="00C566AD"/>
    <w:rsid w:val="00C674E9"/>
    <w:rsid w:val="00C709F5"/>
    <w:rsid w:val="00C7231B"/>
    <w:rsid w:val="00C8165D"/>
    <w:rsid w:val="00C84057"/>
    <w:rsid w:val="00C84EEF"/>
    <w:rsid w:val="00C9056C"/>
    <w:rsid w:val="00C90976"/>
    <w:rsid w:val="00C944F0"/>
    <w:rsid w:val="00C96A17"/>
    <w:rsid w:val="00C96E11"/>
    <w:rsid w:val="00CA4789"/>
    <w:rsid w:val="00CA5D4B"/>
    <w:rsid w:val="00CB0950"/>
    <w:rsid w:val="00CB5592"/>
    <w:rsid w:val="00CB7CF5"/>
    <w:rsid w:val="00CE2671"/>
    <w:rsid w:val="00CE36BB"/>
    <w:rsid w:val="00CE7A7F"/>
    <w:rsid w:val="00CF3764"/>
    <w:rsid w:val="00CF3CBB"/>
    <w:rsid w:val="00CF4395"/>
    <w:rsid w:val="00D043EF"/>
    <w:rsid w:val="00D04827"/>
    <w:rsid w:val="00D07F26"/>
    <w:rsid w:val="00D12099"/>
    <w:rsid w:val="00D13FD8"/>
    <w:rsid w:val="00D22E98"/>
    <w:rsid w:val="00D23A3A"/>
    <w:rsid w:val="00D25092"/>
    <w:rsid w:val="00D27009"/>
    <w:rsid w:val="00D3054B"/>
    <w:rsid w:val="00D3208A"/>
    <w:rsid w:val="00D3268E"/>
    <w:rsid w:val="00D337BE"/>
    <w:rsid w:val="00D4352A"/>
    <w:rsid w:val="00D448AF"/>
    <w:rsid w:val="00D46D4C"/>
    <w:rsid w:val="00D50A3C"/>
    <w:rsid w:val="00D525AC"/>
    <w:rsid w:val="00D5487E"/>
    <w:rsid w:val="00D56339"/>
    <w:rsid w:val="00D675C7"/>
    <w:rsid w:val="00D70A35"/>
    <w:rsid w:val="00D72A21"/>
    <w:rsid w:val="00D75DB7"/>
    <w:rsid w:val="00D769C6"/>
    <w:rsid w:val="00D834B8"/>
    <w:rsid w:val="00D86CD4"/>
    <w:rsid w:val="00D90490"/>
    <w:rsid w:val="00DA04D7"/>
    <w:rsid w:val="00DA06E7"/>
    <w:rsid w:val="00DA4A90"/>
    <w:rsid w:val="00DA6D91"/>
    <w:rsid w:val="00DB4C19"/>
    <w:rsid w:val="00DC16A2"/>
    <w:rsid w:val="00DC536D"/>
    <w:rsid w:val="00DC7DD1"/>
    <w:rsid w:val="00DD37AA"/>
    <w:rsid w:val="00DE303C"/>
    <w:rsid w:val="00DE3438"/>
    <w:rsid w:val="00DE495B"/>
    <w:rsid w:val="00DE64FA"/>
    <w:rsid w:val="00E0596C"/>
    <w:rsid w:val="00E11652"/>
    <w:rsid w:val="00E12282"/>
    <w:rsid w:val="00E130AA"/>
    <w:rsid w:val="00E13EA6"/>
    <w:rsid w:val="00E16C47"/>
    <w:rsid w:val="00E2048D"/>
    <w:rsid w:val="00E222CF"/>
    <w:rsid w:val="00E25D22"/>
    <w:rsid w:val="00E306C1"/>
    <w:rsid w:val="00E30FA5"/>
    <w:rsid w:val="00E312F3"/>
    <w:rsid w:val="00E320C5"/>
    <w:rsid w:val="00E42051"/>
    <w:rsid w:val="00E425FE"/>
    <w:rsid w:val="00E4327F"/>
    <w:rsid w:val="00E4414D"/>
    <w:rsid w:val="00E469D2"/>
    <w:rsid w:val="00E47CCE"/>
    <w:rsid w:val="00E6077F"/>
    <w:rsid w:val="00E64F95"/>
    <w:rsid w:val="00E65812"/>
    <w:rsid w:val="00E710A5"/>
    <w:rsid w:val="00E7355F"/>
    <w:rsid w:val="00E8052A"/>
    <w:rsid w:val="00E8787A"/>
    <w:rsid w:val="00E94436"/>
    <w:rsid w:val="00EA0FE3"/>
    <w:rsid w:val="00EA289F"/>
    <w:rsid w:val="00EA3680"/>
    <w:rsid w:val="00EA4FD7"/>
    <w:rsid w:val="00EA6018"/>
    <w:rsid w:val="00EB1257"/>
    <w:rsid w:val="00EB44A1"/>
    <w:rsid w:val="00EB6E38"/>
    <w:rsid w:val="00EB75B3"/>
    <w:rsid w:val="00EC02E8"/>
    <w:rsid w:val="00EC0C63"/>
    <w:rsid w:val="00EC0EB9"/>
    <w:rsid w:val="00EC301D"/>
    <w:rsid w:val="00EC4044"/>
    <w:rsid w:val="00EC5A72"/>
    <w:rsid w:val="00ED08B4"/>
    <w:rsid w:val="00ED1DAC"/>
    <w:rsid w:val="00ED4B16"/>
    <w:rsid w:val="00EE1EA5"/>
    <w:rsid w:val="00EF071F"/>
    <w:rsid w:val="00EF0B60"/>
    <w:rsid w:val="00EF37D6"/>
    <w:rsid w:val="00EF4555"/>
    <w:rsid w:val="00EF56BB"/>
    <w:rsid w:val="00EF579E"/>
    <w:rsid w:val="00EF6187"/>
    <w:rsid w:val="00F04CFE"/>
    <w:rsid w:val="00F10973"/>
    <w:rsid w:val="00F11B23"/>
    <w:rsid w:val="00F126C0"/>
    <w:rsid w:val="00F134FB"/>
    <w:rsid w:val="00F14398"/>
    <w:rsid w:val="00F20C51"/>
    <w:rsid w:val="00F245AD"/>
    <w:rsid w:val="00F25599"/>
    <w:rsid w:val="00F26A0A"/>
    <w:rsid w:val="00F43429"/>
    <w:rsid w:val="00F4390A"/>
    <w:rsid w:val="00F479F4"/>
    <w:rsid w:val="00F53B0D"/>
    <w:rsid w:val="00F54581"/>
    <w:rsid w:val="00F61149"/>
    <w:rsid w:val="00F62193"/>
    <w:rsid w:val="00F64892"/>
    <w:rsid w:val="00F76BCB"/>
    <w:rsid w:val="00F84EDF"/>
    <w:rsid w:val="00F940FF"/>
    <w:rsid w:val="00F971F0"/>
    <w:rsid w:val="00FA0A43"/>
    <w:rsid w:val="00FA2187"/>
    <w:rsid w:val="00FA69A2"/>
    <w:rsid w:val="00FB0F7F"/>
    <w:rsid w:val="00FB2595"/>
    <w:rsid w:val="00FB2F45"/>
    <w:rsid w:val="00FB7562"/>
    <w:rsid w:val="00FC1EEF"/>
    <w:rsid w:val="00FC2C9A"/>
    <w:rsid w:val="00FC4B95"/>
    <w:rsid w:val="00FC556D"/>
    <w:rsid w:val="00FD08C7"/>
    <w:rsid w:val="00FD206D"/>
    <w:rsid w:val="00FE0188"/>
    <w:rsid w:val="00FE2084"/>
    <w:rsid w:val="00FE2C97"/>
    <w:rsid w:val="00FE3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4441"/>
    <w:rPr>
      <w:sz w:val="18"/>
      <w:szCs w:val="18"/>
    </w:rPr>
  </w:style>
  <w:style w:type="character" w:customStyle="1" w:styleId="Char">
    <w:name w:val="批注框文本 Char"/>
    <w:basedOn w:val="a0"/>
    <w:link w:val="a3"/>
    <w:uiPriority w:val="99"/>
    <w:semiHidden/>
    <w:rsid w:val="00684441"/>
    <w:rPr>
      <w:sz w:val="18"/>
      <w:szCs w:val="18"/>
    </w:rPr>
  </w:style>
  <w:style w:type="paragraph" w:styleId="a4">
    <w:name w:val="header"/>
    <w:basedOn w:val="a"/>
    <w:link w:val="Char0"/>
    <w:uiPriority w:val="99"/>
    <w:unhideWhenUsed/>
    <w:rsid w:val="003447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44737"/>
    <w:rPr>
      <w:sz w:val="18"/>
      <w:szCs w:val="18"/>
    </w:rPr>
  </w:style>
  <w:style w:type="paragraph" w:styleId="a5">
    <w:name w:val="footer"/>
    <w:basedOn w:val="a"/>
    <w:link w:val="Char1"/>
    <w:uiPriority w:val="99"/>
    <w:unhideWhenUsed/>
    <w:rsid w:val="00344737"/>
    <w:pPr>
      <w:tabs>
        <w:tab w:val="center" w:pos="4153"/>
        <w:tab w:val="right" w:pos="8306"/>
      </w:tabs>
      <w:snapToGrid w:val="0"/>
      <w:jc w:val="left"/>
    </w:pPr>
    <w:rPr>
      <w:sz w:val="18"/>
      <w:szCs w:val="18"/>
    </w:rPr>
  </w:style>
  <w:style w:type="character" w:customStyle="1" w:styleId="Char1">
    <w:name w:val="页脚 Char"/>
    <w:basedOn w:val="a0"/>
    <w:link w:val="a5"/>
    <w:uiPriority w:val="99"/>
    <w:rsid w:val="00344737"/>
    <w:rPr>
      <w:sz w:val="18"/>
      <w:szCs w:val="18"/>
    </w:rPr>
  </w:style>
  <w:style w:type="paragraph" w:styleId="a6">
    <w:name w:val="List Paragraph"/>
    <w:basedOn w:val="a"/>
    <w:uiPriority w:val="34"/>
    <w:qFormat/>
    <w:rsid w:val="002A3C8F"/>
    <w:pPr>
      <w:ind w:firstLineChars="200" w:firstLine="420"/>
    </w:pPr>
    <w:rPr>
      <w:rFonts w:ascii="Calibri" w:eastAsia="宋体" w:hAnsi="Calibri" w:cs="Times New Roman"/>
    </w:rPr>
  </w:style>
  <w:style w:type="character" w:styleId="a7">
    <w:name w:val="Hyperlink"/>
    <w:basedOn w:val="a0"/>
    <w:uiPriority w:val="99"/>
    <w:unhideWhenUsed/>
    <w:rsid w:val="00EC4044"/>
    <w:rPr>
      <w:color w:val="0000FF" w:themeColor="hyperlink"/>
      <w:u w:val="single"/>
    </w:rPr>
  </w:style>
  <w:style w:type="table" w:styleId="-1">
    <w:name w:val="Light List Accent 1"/>
    <w:basedOn w:val="a1"/>
    <w:uiPriority w:val="61"/>
    <w:rsid w:val="00701D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8">
    <w:name w:val="Strong"/>
    <w:basedOn w:val="a0"/>
    <w:uiPriority w:val="22"/>
    <w:qFormat/>
    <w:rsid w:val="00124BD6"/>
    <w:rPr>
      <w:b/>
      <w:bCs/>
    </w:rPr>
  </w:style>
  <w:style w:type="table" w:styleId="-10">
    <w:name w:val="Light Shading Accent 1"/>
    <w:basedOn w:val="a1"/>
    <w:uiPriority w:val="60"/>
    <w:rsid w:val="00E25D2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浅色底纹 - 强调文字颜色 11"/>
    <w:basedOn w:val="a1"/>
    <w:next w:val="-10"/>
    <w:uiPriority w:val="60"/>
    <w:rsid w:val="009F0DC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4441"/>
    <w:rPr>
      <w:sz w:val="18"/>
      <w:szCs w:val="18"/>
    </w:rPr>
  </w:style>
  <w:style w:type="character" w:customStyle="1" w:styleId="Char">
    <w:name w:val="批注框文本 Char"/>
    <w:basedOn w:val="a0"/>
    <w:link w:val="a3"/>
    <w:uiPriority w:val="99"/>
    <w:semiHidden/>
    <w:rsid w:val="00684441"/>
    <w:rPr>
      <w:sz w:val="18"/>
      <w:szCs w:val="18"/>
    </w:rPr>
  </w:style>
  <w:style w:type="paragraph" w:styleId="a4">
    <w:name w:val="header"/>
    <w:basedOn w:val="a"/>
    <w:link w:val="Char0"/>
    <w:uiPriority w:val="99"/>
    <w:unhideWhenUsed/>
    <w:rsid w:val="003447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44737"/>
    <w:rPr>
      <w:sz w:val="18"/>
      <w:szCs w:val="18"/>
    </w:rPr>
  </w:style>
  <w:style w:type="paragraph" w:styleId="a5">
    <w:name w:val="footer"/>
    <w:basedOn w:val="a"/>
    <w:link w:val="Char1"/>
    <w:uiPriority w:val="99"/>
    <w:unhideWhenUsed/>
    <w:rsid w:val="00344737"/>
    <w:pPr>
      <w:tabs>
        <w:tab w:val="center" w:pos="4153"/>
        <w:tab w:val="right" w:pos="8306"/>
      </w:tabs>
      <w:snapToGrid w:val="0"/>
      <w:jc w:val="left"/>
    </w:pPr>
    <w:rPr>
      <w:sz w:val="18"/>
      <w:szCs w:val="18"/>
    </w:rPr>
  </w:style>
  <w:style w:type="character" w:customStyle="1" w:styleId="Char1">
    <w:name w:val="页脚 Char"/>
    <w:basedOn w:val="a0"/>
    <w:link w:val="a5"/>
    <w:uiPriority w:val="99"/>
    <w:rsid w:val="00344737"/>
    <w:rPr>
      <w:sz w:val="18"/>
      <w:szCs w:val="18"/>
    </w:rPr>
  </w:style>
  <w:style w:type="paragraph" w:styleId="a6">
    <w:name w:val="List Paragraph"/>
    <w:basedOn w:val="a"/>
    <w:uiPriority w:val="34"/>
    <w:qFormat/>
    <w:rsid w:val="002A3C8F"/>
    <w:pPr>
      <w:ind w:firstLineChars="200" w:firstLine="420"/>
    </w:pPr>
    <w:rPr>
      <w:rFonts w:ascii="Calibri" w:eastAsia="宋体" w:hAnsi="Calibri" w:cs="Times New Roman"/>
    </w:rPr>
  </w:style>
  <w:style w:type="character" w:styleId="a7">
    <w:name w:val="Hyperlink"/>
    <w:basedOn w:val="a0"/>
    <w:uiPriority w:val="99"/>
    <w:unhideWhenUsed/>
    <w:rsid w:val="00EC4044"/>
    <w:rPr>
      <w:color w:val="0000FF" w:themeColor="hyperlink"/>
      <w:u w:val="single"/>
    </w:rPr>
  </w:style>
  <w:style w:type="table" w:styleId="-1">
    <w:name w:val="Light List Accent 1"/>
    <w:basedOn w:val="a1"/>
    <w:uiPriority w:val="61"/>
    <w:rsid w:val="00701D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8">
    <w:name w:val="Strong"/>
    <w:basedOn w:val="a0"/>
    <w:uiPriority w:val="22"/>
    <w:qFormat/>
    <w:rsid w:val="00124BD6"/>
    <w:rPr>
      <w:b/>
      <w:bCs/>
    </w:rPr>
  </w:style>
  <w:style w:type="table" w:styleId="-10">
    <w:name w:val="Light Shading Accent 1"/>
    <w:basedOn w:val="a1"/>
    <w:uiPriority w:val="60"/>
    <w:rsid w:val="00E25D2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浅色底纹 - 强调文字颜色 11"/>
    <w:basedOn w:val="a1"/>
    <w:next w:val="-10"/>
    <w:uiPriority w:val="60"/>
    <w:rsid w:val="009F0DC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22861">
      <w:bodyDiv w:val="1"/>
      <w:marLeft w:val="0"/>
      <w:marRight w:val="0"/>
      <w:marTop w:val="0"/>
      <w:marBottom w:val="0"/>
      <w:divBdr>
        <w:top w:val="none" w:sz="0" w:space="0" w:color="auto"/>
        <w:left w:val="none" w:sz="0" w:space="0" w:color="auto"/>
        <w:bottom w:val="none" w:sz="0" w:space="0" w:color="auto"/>
        <w:right w:val="none" w:sz="0" w:space="0" w:color="auto"/>
      </w:divBdr>
    </w:div>
    <w:div w:id="945501326">
      <w:bodyDiv w:val="1"/>
      <w:marLeft w:val="0"/>
      <w:marRight w:val="0"/>
      <w:marTop w:val="0"/>
      <w:marBottom w:val="0"/>
      <w:divBdr>
        <w:top w:val="none" w:sz="0" w:space="0" w:color="auto"/>
        <w:left w:val="none" w:sz="0" w:space="0" w:color="auto"/>
        <w:bottom w:val="none" w:sz="0" w:space="0" w:color="auto"/>
        <w:right w:val="none" w:sz="0" w:space="0" w:color="auto"/>
      </w:divBdr>
    </w:div>
    <w:div w:id="1314986329">
      <w:bodyDiv w:val="1"/>
      <w:marLeft w:val="0"/>
      <w:marRight w:val="0"/>
      <w:marTop w:val="0"/>
      <w:marBottom w:val="0"/>
      <w:divBdr>
        <w:top w:val="none" w:sz="0" w:space="0" w:color="auto"/>
        <w:left w:val="none" w:sz="0" w:space="0" w:color="auto"/>
        <w:bottom w:val="none" w:sz="0" w:space="0" w:color="auto"/>
        <w:right w:val="none" w:sz="0" w:space="0" w:color="auto"/>
      </w:divBdr>
    </w:div>
    <w:div w:id="1501458638">
      <w:bodyDiv w:val="1"/>
      <w:marLeft w:val="0"/>
      <w:marRight w:val="0"/>
      <w:marTop w:val="0"/>
      <w:marBottom w:val="0"/>
      <w:divBdr>
        <w:top w:val="none" w:sz="0" w:space="0" w:color="auto"/>
        <w:left w:val="none" w:sz="0" w:space="0" w:color="auto"/>
        <w:bottom w:val="none" w:sz="0" w:space="0" w:color="auto"/>
        <w:right w:val="none" w:sz="0" w:space="0" w:color="auto"/>
      </w:divBdr>
    </w:div>
    <w:div w:id="18342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media/image20.png" Type="http://schemas.openxmlformats.org/officeDocument/2006/relationships/image"/>
<Relationship Id="rId12" Target="media/image3.jpeg" Type="http://schemas.openxmlformats.org/officeDocument/2006/relationships/image"/>
<Relationship Id="rId13" Target="media/image30.jpeg" Type="http://schemas.openxmlformats.org/officeDocument/2006/relationships/image"/>
<Relationship Id="rId14" Target="mailto:guo_jianquan@zgqh.com.cn" TargetMode="External" Type="http://schemas.openxmlformats.org/officeDocument/2006/relationships/hyperlink"/>
<Relationship Id="rId15" Target="mailto:guo_jianquan@zgqh.com.cn" TargetMode="External" Type="http://schemas.openxmlformats.org/officeDocument/2006/relationships/hyperlink"/>
<Relationship Id="rId16" Target="media/image4.png" Type="http://schemas.openxmlformats.org/officeDocument/2006/relationships/image"/>
<Relationship Id="rId17" Target="media/image5.png" Type="http://schemas.openxmlformats.org/officeDocument/2006/relationships/image"/>
<Relationship Id="rId18" Target="media/image6.png" Type="http://schemas.openxmlformats.org/officeDocument/2006/relationships/image"/>
<Relationship Id="rId19" Target="media/image7.emf" Type="http://schemas.openxmlformats.org/officeDocument/2006/relationships/image"/>
<Relationship Id="rId2" Target="numbering.xml" Type="http://schemas.openxmlformats.org/officeDocument/2006/relationships/numbering"/>
<Relationship Id="rId20" Target="media/image8.png" Type="http://schemas.openxmlformats.org/officeDocument/2006/relationships/image"/>
<Relationship Id="rId21" Target="media/image9.png" Type="http://schemas.openxmlformats.org/officeDocument/2006/relationships/image"/>
<Relationship Id="rId22" Target="media/image10.png" Type="http://schemas.openxmlformats.org/officeDocument/2006/relationships/image"/>
<Relationship Id="rId23" Target="media/image11.png" Type="http://schemas.openxmlformats.org/officeDocument/2006/relationships/image"/>
<Relationship Id="rId24" Target="media/image12.png" Type="http://schemas.openxmlformats.org/officeDocument/2006/relationships/image"/>
<Relationship Id="rId25" Target="header1.xml" Type="http://schemas.openxmlformats.org/officeDocument/2006/relationships/header"/>
<Relationship Id="rId26" Target="footer1.xml" Type="http://schemas.openxmlformats.org/officeDocument/2006/relationships/footer"/>
<Relationship Id="rId27" Target="fontTable.xml" Type="http://schemas.openxmlformats.org/officeDocument/2006/relationships/fontTable"/>
<Relationship Id="rId28"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73EBF-12C2-46DB-A760-6AEB6DA9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344</Words>
  <Characters>1961</Characters>
  <Application>Microsoft Office Word</Application>
  <DocSecurity>0</DocSecurity>
  <Lines>16</Lines>
  <Paragraphs>4</Paragraphs>
  <ScaleCrop>false</ScaleCrop>
  <Company>国投期货</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2015-11-10T08:26:00Z</dcterms:created>
  <dc:creator>曹颖</dc:creator>
  <cp:lastModifiedBy>lenovo</cp:lastModifiedBy>
  <cp:lastPrinted>2015-05-18T15:45:00Z</cp:lastPrinted>
  <dcterms:modified xsi:type="dcterms:W3CDTF">2015-11-12T15:48:00Z</dcterms:modified>
  <cp:revision>140</cp:revision>
</cp:coreProperties>
</file>