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44" w:rsidRPr="00095D57" w:rsidRDefault="001637D8" w:rsidP="00F14FBD">
      <w:pPr>
        <w:ind w:firstLineChars="200" w:firstLine="482"/>
        <w:jc w:val="center"/>
        <w:rPr>
          <w:b/>
          <w:sz w:val="24"/>
        </w:rPr>
      </w:pPr>
      <w:r w:rsidRPr="00095D57">
        <w:rPr>
          <w:rFonts w:hint="eastAsia"/>
          <w:b/>
          <w:sz w:val="24"/>
        </w:rPr>
        <w:t>塑料</w:t>
      </w:r>
      <w:r w:rsidR="00277FA1" w:rsidRPr="00095D57">
        <w:rPr>
          <w:rFonts w:hint="eastAsia"/>
          <w:b/>
          <w:sz w:val="24"/>
        </w:rPr>
        <w:t>熊市格局，反弹抛空</w:t>
      </w:r>
    </w:p>
    <w:p w:rsidR="00FC3C4C" w:rsidRDefault="00FC3C4C" w:rsidP="00F14FBD">
      <w:pPr>
        <w:ind w:firstLineChars="200" w:firstLine="420"/>
        <w:jc w:val="right"/>
      </w:pPr>
      <w:r>
        <w:rPr>
          <w:rFonts w:hint="eastAsia"/>
        </w:rPr>
        <w:t>宝城期货</w:t>
      </w:r>
      <w:r w:rsidR="00D0504C">
        <w:rPr>
          <w:rFonts w:hint="eastAsia"/>
        </w:rPr>
        <w:t>2</w:t>
      </w:r>
      <w:r w:rsidR="00D0504C">
        <w:rPr>
          <w:rFonts w:hint="eastAsia"/>
        </w:rPr>
        <w:t>队</w:t>
      </w:r>
      <w:bookmarkStart w:id="0" w:name="_GoBack"/>
      <w:bookmarkEnd w:id="0"/>
    </w:p>
    <w:p w:rsidR="00480B13" w:rsidRDefault="00480B13" w:rsidP="00F14FBD">
      <w:pPr>
        <w:ind w:firstLineChars="200" w:firstLine="420"/>
      </w:pPr>
    </w:p>
    <w:p w:rsidR="00480B13" w:rsidRDefault="00AF4A70" w:rsidP="00AF4A70">
      <w:pPr>
        <w:tabs>
          <w:tab w:val="left" w:pos="1215"/>
        </w:tabs>
        <w:ind w:firstLineChars="200" w:firstLine="420"/>
        <w:rPr>
          <w:rFonts w:hint="eastAsia"/>
        </w:rPr>
      </w:pPr>
      <w:r>
        <w:rPr>
          <w:rFonts w:hint="eastAsia"/>
          <w:szCs w:val="21"/>
        </w:rPr>
        <w:t>在国庆假期后，在</w:t>
      </w:r>
      <w:r>
        <w:rPr>
          <w:rFonts w:hint="eastAsia"/>
          <w:szCs w:val="21"/>
        </w:rPr>
        <w:t>国际油价强势弹的提振下，</w:t>
      </w:r>
      <w:r>
        <w:rPr>
          <w:rFonts w:hint="eastAsia"/>
          <w:szCs w:val="21"/>
        </w:rPr>
        <w:t>LLDPE</w:t>
      </w:r>
      <w:r w:rsidR="00D0504C">
        <w:rPr>
          <w:rFonts w:hint="eastAsia"/>
          <w:szCs w:val="21"/>
        </w:rPr>
        <w:t>小幅走高，</w:t>
      </w:r>
      <w:r>
        <w:rPr>
          <w:rFonts w:hint="eastAsia"/>
          <w:szCs w:val="21"/>
        </w:rPr>
        <w:t>维持在区间震荡的走势</w:t>
      </w:r>
      <w:r>
        <w:rPr>
          <w:rFonts w:hint="eastAsia"/>
          <w:szCs w:val="21"/>
        </w:rPr>
        <w:t>。然而</w:t>
      </w:r>
      <w:r w:rsidR="009562A8">
        <w:rPr>
          <w:rFonts w:hint="eastAsia"/>
        </w:rPr>
        <w:t>随着原油期货重回弱势，化工品</w:t>
      </w:r>
      <w:r w:rsidR="00095D57">
        <w:rPr>
          <w:rFonts w:hint="eastAsia"/>
        </w:rPr>
        <w:t>重心集体走低</w:t>
      </w:r>
      <w:r w:rsidR="00991DEC">
        <w:rPr>
          <w:rFonts w:hint="eastAsia"/>
        </w:rPr>
        <w:t>，塑料</w:t>
      </w:r>
      <w:r w:rsidR="007E7833">
        <w:rPr>
          <w:rFonts w:hint="eastAsia"/>
        </w:rPr>
        <w:t>LLDPE</w:t>
      </w:r>
      <w:r w:rsidR="007E7833">
        <w:rPr>
          <w:rFonts w:hint="eastAsia"/>
        </w:rPr>
        <w:t>期货</w:t>
      </w:r>
      <w:r w:rsidR="00F14FBD">
        <w:rPr>
          <w:rFonts w:hint="eastAsia"/>
        </w:rPr>
        <w:t>出现</w:t>
      </w:r>
      <w:r w:rsidR="00991DEC">
        <w:rPr>
          <w:rFonts w:hint="eastAsia"/>
        </w:rPr>
        <w:t>破位下跌</w:t>
      </w:r>
      <w:r w:rsidR="00F14FBD">
        <w:rPr>
          <w:rFonts w:hint="eastAsia"/>
        </w:rPr>
        <w:t>，</w:t>
      </w:r>
      <w:r w:rsidR="00F14FBD">
        <w:rPr>
          <w:rFonts w:hint="eastAsia"/>
        </w:rPr>
        <w:t>LLDPE</w:t>
      </w:r>
      <w:r w:rsidR="00D0504C">
        <w:rPr>
          <w:rFonts w:hint="eastAsia"/>
        </w:rPr>
        <w:t>主力合约突破前期低点，颓势尽显</w:t>
      </w:r>
      <w:r w:rsidR="005D6729">
        <w:rPr>
          <w:rFonts w:hint="eastAsia"/>
        </w:rPr>
        <w:t>。</w:t>
      </w:r>
    </w:p>
    <w:p w:rsidR="00AF4A70" w:rsidRDefault="00AF4A70" w:rsidP="00F14FBD">
      <w:pPr>
        <w:ind w:firstLineChars="200" w:firstLine="420"/>
        <w:rPr>
          <w:rFonts w:hint="eastAsia"/>
        </w:rPr>
      </w:pPr>
      <w:r>
        <w:rPr>
          <w:rFonts w:hint="eastAsia"/>
        </w:rPr>
        <w:t>图</w:t>
      </w:r>
      <w:r w:rsidR="00D0504C">
        <w:rPr>
          <w:rFonts w:hint="eastAsia"/>
        </w:rPr>
        <w:t>1</w:t>
      </w:r>
      <w:r>
        <w:rPr>
          <w:rFonts w:hint="eastAsia"/>
        </w:rPr>
        <w:t>：塑料主力合约周线图</w:t>
      </w:r>
    </w:p>
    <w:p w:rsidR="00AF4A70" w:rsidRDefault="00AF4A70" w:rsidP="00F14FBD">
      <w:pPr>
        <w:ind w:firstLineChars="200" w:firstLine="420"/>
        <w:rPr>
          <w:rFonts w:hint="eastAsia"/>
        </w:rPr>
      </w:pPr>
      <w:r>
        <w:rPr>
          <w:noProof/>
        </w:rPr>
        <w:drawing>
          <wp:inline distT="0" distB="0" distL="0" distR="0" wp14:anchorId="6C815FA2" wp14:editId="146D3D2F">
            <wp:extent cx="5274259" cy="2296973"/>
            <wp:effectExtent l="0" t="0" r="3175" b="825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A70" w:rsidRDefault="00AF4A70" w:rsidP="00AF4A70">
      <w:pPr>
        <w:ind w:firstLineChars="200" w:firstLine="420"/>
      </w:pPr>
      <w:r>
        <w:rPr>
          <w:rFonts w:hint="eastAsia"/>
        </w:rPr>
        <w:t>资料来源：</w:t>
      </w:r>
      <w:r>
        <w:rPr>
          <w:rFonts w:hint="eastAsia"/>
        </w:rPr>
        <w:t>博弈大师</w:t>
      </w:r>
      <w:r>
        <w:rPr>
          <w:rFonts w:hint="eastAsia"/>
        </w:rPr>
        <w:t>,</w:t>
      </w:r>
      <w:r>
        <w:rPr>
          <w:rFonts w:hint="eastAsia"/>
        </w:rPr>
        <w:t>宝城期货金融研究所</w:t>
      </w:r>
    </w:p>
    <w:p w:rsidR="007E7833" w:rsidRPr="00BD16A9" w:rsidRDefault="00BD16A9" w:rsidP="00F14FBD">
      <w:pPr>
        <w:ind w:firstLineChars="200" w:firstLine="422"/>
        <w:rPr>
          <w:b/>
        </w:rPr>
      </w:pPr>
      <w:r w:rsidRPr="00BD16A9">
        <w:rPr>
          <w:rFonts w:hint="eastAsia"/>
          <w:b/>
        </w:rPr>
        <w:t>原油市场弱势运行</w:t>
      </w:r>
    </w:p>
    <w:p w:rsidR="00FC3C4C" w:rsidRDefault="009562A8" w:rsidP="00F14FBD">
      <w:pPr>
        <w:ind w:firstLineChars="200" w:firstLine="420"/>
      </w:pPr>
      <w:r>
        <w:rPr>
          <w:rFonts w:hint="eastAsia"/>
        </w:rPr>
        <w:t>从上游原油市场来</w:t>
      </w:r>
      <w:r w:rsidR="00480B13" w:rsidRPr="00480B13">
        <w:rPr>
          <w:rFonts w:hint="eastAsia"/>
        </w:rPr>
        <w:t>看，</w:t>
      </w:r>
      <w:r w:rsidR="001708DE">
        <w:rPr>
          <w:rFonts w:hint="eastAsia"/>
        </w:rPr>
        <w:t>由于美元指数表现强势，美原油</w:t>
      </w:r>
      <w:r w:rsidR="001708DE">
        <w:rPr>
          <w:rFonts w:hint="eastAsia"/>
        </w:rPr>
        <w:t>和布油</w:t>
      </w:r>
      <w:r w:rsidR="001708DE">
        <w:rPr>
          <w:rFonts w:hint="eastAsia"/>
        </w:rPr>
        <w:t>重心出现进一步下移，</w:t>
      </w:r>
      <w:r w:rsidR="001708DE">
        <w:rPr>
          <w:rFonts w:hint="eastAsia"/>
        </w:rPr>
        <w:t>其中美原油</w:t>
      </w:r>
      <w:r w:rsidR="001708DE">
        <w:rPr>
          <w:rFonts w:hint="eastAsia"/>
        </w:rPr>
        <w:t>再次逼近</w:t>
      </w:r>
      <w:r w:rsidR="001708DE">
        <w:rPr>
          <w:rFonts w:hint="eastAsia"/>
        </w:rPr>
        <w:t>40</w:t>
      </w:r>
      <w:r w:rsidR="001708DE">
        <w:rPr>
          <w:rFonts w:hint="eastAsia"/>
        </w:rPr>
        <w:t>美元</w:t>
      </w:r>
      <w:r w:rsidR="001708DE">
        <w:rPr>
          <w:rFonts w:hint="eastAsia"/>
        </w:rPr>
        <w:t>/</w:t>
      </w:r>
      <w:r w:rsidR="001708DE">
        <w:rPr>
          <w:rFonts w:hint="eastAsia"/>
        </w:rPr>
        <w:t>桶关口大关，</w:t>
      </w:r>
      <w:r w:rsidR="001708DE">
        <w:rPr>
          <w:rFonts w:hint="eastAsia"/>
        </w:rPr>
        <w:t>原油市场</w:t>
      </w:r>
      <w:r w:rsidR="001708DE">
        <w:rPr>
          <w:rFonts w:hint="eastAsia"/>
        </w:rPr>
        <w:t>保持弱势运行。由于美国加息，导致美元指数出现阶段性的飙涨，对于原油市场形成明显的压制。</w:t>
      </w:r>
      <w:r w:rsidR="001708DE">
        <w:rPr>
          <w:rFonts w:hint="eastAsia"/>
          <w:szCs w:val="21"/>
        </w:rPr>
        <w:t>供应方面，</w:t>
      </w:r>
      <w:r w:rsidR="001708DE" w:rsidRPr="003252FD">
        <w:rPr>
          <w:rFonts w:hint="eastAsia"/>
          <w:szCs w:val="21"/>
        </w:rPr>
        <w:t>市场期待已久的</w:t>
      </w:r>
      <w:r w:rsidR="001708DE" w:rsidRPr="003252FD">
        <w:rPr>
          <w:rFonts w:hint="eastAsia"/>
          <w:szCs w:val="21"/>
        </w:rPr>
        <w:t>OPEC</w:t>
      </w:r>
      <w:r w:rsidR="001708DE">
        <w:rPr>
          <w:rFonts w:hint="eastAsia"/>
          <w:szCs w:val="21"/>
        </w:rPr>
        <w:t>会议并没有达成任何减产协议，供给过剩的担忧挥之不去。近日</w:t>
      </w:r>
      <w:r w:rsidR="001708DE" w:rsidRPr="00562744">
        <w:rPr>
          <w:rFonts w:ascii="宋体" w:hAnsi="宋体" w:cs="宋体" w:hint="eastAsia"/>
          <w:kern w:val="0"/>
          <w:szCs w:val="21"/>
        </w:rPr>
        <w:t>美国原油库存</w:t>
      </w:r>
      <w:r w:rsidR="00860AC5">
        <w:rPr>
          <w:rFonts w:ascii="宋体" w:hAnsi="宋体" w:cs="宋体" w:hint="eastAsia"/>
          <w:kern w:val="0"/>
          <w:szCs w:val="21"/>
        </w:rPr>
        <w:t>已经连续7周增加</w:t>
      </w:r>
      <w:r w:rsidR="001708DE">
        <w:rPr>
          <w:rFonts w:ascii="宋体" w:hAnsi="宋体" w:cs="宋体" w:hint="eastAsia"/>
          <w:kern w:val="0"/>
          <w:szCs w:val="21"/>
        </w:rPr>
        <w:t>。</w:t>
      </w:r>
      <w:r w:rsidR="00860AC5">
        <w:rPr>
          <w:rFonts w:hint="eastAsia"/>
        </w:rPr>
        <w:t>目前将面对</w:t>
      </w:r>
      <w:r w:rsidR="00860AC5">
        <w:rPr>
          <w:rFonts w:hint="eastAsia"/>
        </w:rPr>
        <w:t>四</w:t>
      </w:r>
      <w:r w:rsidR="00860AC5">
        <w:rPr>
          <w:rFonts w:hint="eastAsia"/>
        </w:rPr>
        <w:t>季度取暖旺季，但是市场对于旺季需求的带动并不报乐观预期。高盛认为，</w:t>
      </w:r>
      <w:r w:rsidR="00860AC5">
        <w:rPr>
          <w:rFonts w:hint="eastAsia"/>
        </w:rPr>
        <w:t>由于厄尔尼诺现象，</w:t>
      </w:r>
      <w:r w:rsidR="00860AC5">
        <w:rPr>
          <w:rFonts w:hint="eastAsia"/>
        </w:rPr>
        <w:t>今年冬季欧洲取暖日指数比正常情况降低</w:t>
      </w:r>
      <w:r w:rsidR="00860AC5">
        <w:rPr>
          <w:rFonts w:hint="eastAsia"/>
        </w:rPr>
        <w:t>50</w:t>
      </w:r>
      <w:r w:rsidR="00860AC5">
        <w:rPr>
          <w:rFonts w:hint="eastAsia"/>
        </w:rPr>
        <w:t>，可能导致油品库存见顶。成品油库存过高，意味着直到明年春季原油价格都会下跌。</w:t>
      </w:r>
      <w:r w:rsidR="005E0FD3">
        <w:rPr>
          <w:rFonts w:hint="eastAsia"/>
        </w:rPr>
        <w:t>而除去美国经济增长相对强劲以外，欧盟以及中国为代表的新兴经济体经济增长缓慢，需求缺乏亮点，油价短期内仍难现</w:t>
      </w:r>
      <w:r w:rsidR="00F14FBD">
        <w:rPr>
          <w:rFonts w:hint="eastAsia"/>
        </w:rPr>
        <w:t>像样</w:t>
      </w:r>
      <w:r w:rsidR="005E0FD3">
        <w:rPr>
          <w:rFonts w:hint="eastAsia"/>
        </w:rPr>
        <w:t>反弹。</w:t>
      </w:r>
    </w:p>
    <w:p w:rsidR="00F14FBD" w:rsidRDefault="00E36600" w:rsidP="00F14FBD">
      <w:pPr>
        <w:ind w:firstLineChars="200" w:firstLine="420"/>
        <w:rPr>
          <w:rFonts w:hint="eastAsia"/>
        </w:rPr>
      </w:pPr>
      <w:r>
        <w:rPr>
          <w:rFonts w:hint="eastAsia"/>
        </w:rPr>
        <w:t>图</w:t>
      </w:r>
      <w:r w:rsidR="00D0504C">
        <w:rPr>
          <w:rFonts w:hint="eastAsia"/>
        </w:rPr>
        <w:t>2</w:t>
      </w:r>
      <w:r w:rsidR="002D650E">
        <w:rPr>
          <w:rFonts w:hint="eastAsia"/>
        </w:rPr>
        <w:t>：原油保持弱势运行</w:t>
      </w:r>
    </w:p>
    <w:p w:rsidR="009A5513" w:rsidRDefault="00B57CBC" w:rsidP="00F14FBD">
      <w:pPr>
        <w:rPr>
          <w:rFonts w:hint="eastAsia"/>
        </w:rPr>
      </w:pPr>
      <w:r>
        <w:rPr>
          <w:noProof/>
        </w:rPr>
        <w:drawing>
          <wp:inline distT="0" distB="0" distL="0" distR="0" wp14:anchorId="3698910F" wp14:editId="1601AB51">
            <wp:extent cx="5266938" cy="1463040"/>
            <wp:effectExtent l="0" t="0" r="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F8A" w:rsidRDefault="00016F8A" w:rsidP="00F14FBD">
      <w:pPr>
        <w:ind w:firstLineChars="200" w:firstLine="420"/>
      </w:pPr>
      <w:r>
        <w:rPr>
          <w:rFonts w:hint="eastAsia"/>
        </w:rPr>
        <w:t>资料来源：</w:t>
      </w:r>
      <w:r>
        <w:rPr>
          <w:rFonts w:hint="eastAsia"/>
        </w:rPr>
        <w:t>WIND,</w:t>
      </w:r>
      <w:r>
        <w:rPr>
          <w:rFonts w:hint="eastAsia"/>
        </w:rPr>
        <w:t>宝城期货金融研究所</w:t>
      </w:r>
    </w:p>
    <w:p w:rsidR="00D0504C" w:rsidRDefault="00D0504C">
      <w:pPr>
        <w:widowControl/>
        <w:jc w:val="left"/>
        <w:rPr>
          <w:b/>
        </w:rPr>
      </w:pPr>
      <w:r>
        <w:rPr>
          <w:b/>
        </w:rPr>
        <w:br w:type="page"/>
      </w:r>
    </w:p>
    <w:p w:rsidR="007E7833" w:rsidRPr="007E7833" w:rsidRDefault="007E7833" w:rsidP="00F14FBD">
      <w:pPr>
        <w:ind w:firstLineChars="200" w:firstLine="422"/>
        <w:rPr>
          <w:rFonts w:hint="eastAsia"/>
          <w:b/>
        </w:rPr>
      </w:pPr>
      <w:r w:rsidRPr="007E7833">
        <w:rPr>
          <w:rFonts w:hint="eastAsia"/>
          <w:b/>
        </w:rPr>
        <w:lastRenderedPageBreak/>
        <w:t>LLDPE</w:t>
      </w:r>
      <w:r w:rsidRPr="007E7833">
        <w:rPr>
          <w:rFonts w:hint="eastAsia"/>
          <w:b/>
        </w:rPr>
        <w:t>相对估值偏高</w:t>
      </w:r>
    </w:p>
    <w:p w:rsidR="00F40460" w:rsidRDefault="00F40460" w:rsidP="00F14FBD">
      <w:r>
        <w:rPr>
          <w:rFonts w:hint="eastAsia"/>
        </w:rPr>
        <w:t>图</w:t>
      </w:r>
      <w:r w:rsidR="00D0504C">
        <w:rPr>
          <w:rFonts w:hint="eastAsia"/>
        </w:rPr>
        <w:t>3</w:t>
      </w:r>
      <w:r>
        <w:rPr>
          <w:rFonts w:hint="eastAsia"/>
        </w:rPr>
        <w:t>：</w:t>
      </w:r>
      <w:r w:rsidR="0064382E">
        <w:rPr>
          <w:rFonts w:hint="eastAsia"/>
        </w:rPr>
        <w:t>LLDPE</w:t>
      </w:r>
      <w:r w:rsidR="0064382E">
        <w:rPr>
          <w:rFonts w:hint="eastAsia"/>
        </w:rPr>
        <w:t>期价</w:t>
      </w:r>
      <w:r w:rsidR="0064382E">
        <w:rPr>
          <w:rFonts w:hint="eastAsia"/>
        </w:rPr>
        <w:t>/</w:t>
      </w:r>
      <w:r w:rsidR="0064382E">
        <w:rPr>
          <w:rFonts w:hint="eastAsia"/>
        </w:rPr>
        <w:t>布油走势图</w:t>
      </w:r>
      <w:r>
        <w:rPr>
          <w:rFonts w:hint="eastAsia"/>
        </w:rPr>
        <w:t xml:space="preserve">              </w:t>
      </w:r>
      <w:r w:rsidR="00BF464B">
        <w:rPr>
          <w:rFonts w:hint="eastAsia"/>
        </w:rPr>
        <w:t xml:space="preserve">   </w:t>
      </w:r>
      <w:r>
        <w:rPr>
          <w:rFonts w:hint="eastAsia"/>
        </w:rPr>
        <w:t>图</w:t>
      </w:r>
      <w:r w:rsidR="00D0504C">
        <w:rPr>
          <w:rFonts w:hint="eastAsia"/>
        </w:rPr>
        <w:t>4</w:t>
      </w:r>
      <w:r>
        <w:rPr>
          <w:rFonts w:hint="eastAsia"/>
        </w:rPr>
        <w:t>：</w:t>
      </w:r>
      <w:r w:rsidR="0064382E">
        <w:rPr>
          <w:rFonts w:hint="eastAsia"/>
        </w:rPr>
        <w:t>LLDPE</w:t>
      </w:r>
      <w:r w:rsidR="0064382E">
        <w:rPr>
          <w:rFonts w:hint="eastAsia"/>
        </w:rPr>
        <w:t>期价</w:t>
      </w:r>
      <w:r w:rsidR="0064382E">
        <w:rPr>
          <w:rFonts w:hint="eastAsia"/>
        </w:rPr>
        <w:t>/</w:t>
      </w:r>
      <w:r w:rsidR="0064382E">
        <w:rPr>
          <w:rFonts w:hint="eastAsia"/>
        </w:rPr>
        <w:t>乙烯</w:t>
      </w:r>
      <w:r w:rsidR="0064382E">
        <w:rPr>
          <w:rFonts w:hint="eastAsia"/>
        </w:rPr>
        <w:t>走势图</w:t>
      </w:r>
      <w:r w:rsidR="0064382E">
        <w:rPr>
          <w:rFonts w:hint="eastAsia"/>
        </w:rPr>
        <w:t xml:space="preserve">   </w:t>
      </w:r>
    </w:p>
    <w:p w:rsidR="00B57CBC" w:rsidRDefault="00BF464B" w:rsidP="00F14FBD">
      <w:pPr>
        <w:rPr>
          <w:rFonts w:hint="eastAsia"/>
        </w:rPr>
      </w:pPr>
      <w:r>
        <w:rPr>
          <w:noProof/>
        </w:rPr>
        <w:drawing>
          <wp:inline distT="0" distB="0" distL="0" distR="0" wp14:anchorId="4C5D2DFD" wp14:editId="2DBA2BD0">
            <wp:extent cx="2531059" cy="2099462"/>
            <wp:effectExtent l="0" t="0" r="317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88" cy="2097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0460">
        <w:rPr>
          <w:rFonts w:hint="eastAsia"/>
        </w:rPr>
        <w:t xml:space="preserve">  </w:t>
      </w:r>
      <w:r w:rsidR="0064382E">
        <w:rPr>
          <w:rFonts w:hint="eastAsia"/>
          <w:noProof/>
        </w:rPr>
        <w:t xml:space="preserve"> </w:t>
      </w:r>
      <w:r w:rsidR="0064382E">
        <w:rPr>
          <w:noProof/>
        </w:rPr>
        <w:drawing>
          <wp:inline distT="0" distB="0" distL="0" distR="0" wp14:anchorId="5A2F896D" wp14:editId="6CB803A5">
            <wp:extent cx="2511618" cy="201899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6737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460" w:rsidRDefault="00F40460" w:rsidP="00F14FBD">
      <w:r>
        <w:rPr>
          <w:rFonts w:hint="eastAsia"/>
        </w:rPr>
        <w:t>资料来源：</w:t>
      </w:r>
      <w:r>
        <w:rPr>
          <w:rFonts w:hint="eastAsia"/>
        </w:rPr>
        <w:t>WIND,</w:t>
      </w:r>
      <w:r>
        <w:rPr>
          <w:rFonts w:hint="eastAsia"/>
        </w:rPr>
        <w:t>宝城期货金融研究所</w:t>
      </w:r>
    </w:p>
    <w:p w:rsidR="00BD16A9" w:rsidRDefault="00203534" w:rsidP="00F14FBD">
      <w:pPr>
        <w:ind w:firstLineChars="200" w:firstLine="420"/>
        <w:rPr>
          <w:rFonts w:hint="eastAsia"/>
        </w:rPr>
      </w:pPr>
      <w:r w:rsidRPr="00203534">
        <w:rPr>
          <w:rFonts w:hint="eastAsia"/>
        </w:rPr>
        <w:t>从相对估值角度分析，现在</w:t>
      </w:r>
      <w:r w:rsidRPr="00203534">
        <w:rPr>
          <w:rFonts w:hint="eastAsia"/>
        </w:rPr>
        <w:t>LLDPE</w:t>
      </w:r>
      <w:r w:rsidR="0064382E">
        <w:rPr>
          <w:rFonts w:hint="eastAsia"/>
        </w:rPr>
        <w:t>期价</w:t>
      </w:r>
      <w:r w:rsidRPr="00203534">
        <w:rPr>
          <w:rFonts w:hint="eastAsia"/>
        </w:rPr>
        <w:t>与布伦</w:t>
      </w:r>
      <w:r w:rsidR="0064382E">
        <w:rPr>
          <w:rFonts w:hint="eastAsia"/>
        </w:rPr>
        <w:t>特原油的比价在</w:t>
      </w:r>
      <w:r w:rsidR="0064382E">
        <w:rPr>
          <w:rFonts w:hint="eastAsia"/>
        </w:rPr>
        <w:t>25</w:t>
      </w:r>
      <w:r w:rsidRPr="00203534">
        <w:rPr>
          <w:rFonts w:hint="eastAsia"/>
        </w:rPr>
        <w:t>倍</w:t>
      </w:r>
      <w:r w:rsidR="0064382E">
        <w:rPr>
          <w:rFonts w:hint="eastAsia"/>
        </w:rPr>
        <w:t>以上</w:t>
      </w:r>
      <w:r w:rsidRPr="00203534">
        <w:rPr>
          <w:rFonts w:hint="eastAsia"/>
        </w:rPr>
        <w:t>，明显高于历史的</w:t>
      </w:r>
      <w:r w:rsidR="0064382E">
        <w:rPr>
          <w:rFonts w:hint="eastAsia"/>
        </w:rPr>
        <w:t>18</w:t>
      </w:r>
      <w:r w:rsidRPr="00203534">
        <w:rPr>
          <w:rFonts w:hint="eastAsia"/>
        </w:rPr>
        <w:t>倍平均比值。</w:t>
      </w:r>
      <w:r w:rsidRPr="00203534">
        <w:rPr>
          <w:rFonts w:hint="eastAsia"/>
        </w:rPr>
        <w:t>LLDPE</w:t>
      </w:r>
      <w:r w:rsidRPr="00203534">
        <w:rPr>
          <w:rFonts w:hint="eastAsia"/>
        </w:rPr>
        <w:t>乙烯的比价为</w:t>
      </w:r>
      <w:r w:rsidRPr="00203534">
        <w:rPr>
          <w:rFonts w:hint="eastAsia"/>
        </w:rPr>
        <w:t>1.</w:t>
      </w:r>
      <w:r w:rsidR="0064382E">
        <w:rPr>
          <w:rFonts w:hint="eastAsia"/>
        </w:rPr>
        <w:t>23</w:t>
      </w:r>
      <w:r w:rsidRPr="00203534">
        <w:rPr>
          <w:rFonts w:hint="eastAsia"/>
        </w:rPr>
        <w:t>，与历史平均水平</w:t>
      </w:r>
      <w:r w:rsidR="0064382E">
        <w:rPr>
          <w:rFonts w:hint="eastAsia"/>
        </w:rPr>
        <w:t>1.30</w:t>
      </w:r>
      <w:r w:rsidRPr="00203534">
        <w:rPr>
          <w:rFonts w:hint="eastAsia"/>
        </w:rPr>
        <w:t>相近。可见</w:t>
      </w:r>
      <w:r w:rsidRPr="00203534">
        <w:rPr>
          <w:rFonts w:hint="eastAsia"/>
        </w:rPr>
        <w:t>LLDPE</w:t>
      </w:r>
      <w:r w:rsidRPr="00203534">
        <w:rPr>
          <w:rFonts w:hint="eastAsia"/>
        </w:rPr>
        <w:t>与上游原材料价格的比价出现分化，原油在页岩油以及市场竞争加剧的情况下，油价跌幅较大，而乙烯市场在供给偏紧的提振下，乙烯价格相对坚挺。短期内，</w:t>
      </w:r>
      <w:r w:rsidRPr="00203534">
        <w:rPr>
          <w:rFonts w:hint="eastAsia"/>
        </w:rPr>
        <w:t>LLDPE</w:t>
      </w:r>
      <w:r w:rsidRPr="00203534">
        <w:rPr>
          <w:rFonts w:hint="eastAsia"/>
        </w:rPr>
        <w:t>与上游原料价格比价分化的情况还将延续，但是从更长周期的时间观察，原油价格弱势也将传导至乙烯市场，从而实现上下游比价的修复。</w:t>
      </w:r>
    </w:p>
    <w:p w:rsidR="00EC0A37" w:rsidRPr="00EC0A37" w:rsidRDefault="00203534" w:rsidP="00F14FBD">
      <w:pPr>
        <w:ind w:firstLineChars="200" w:firstLine="420"/>
      </w:pPr>
      <w:r w:rsidRPr="00203534">
        <w:rPr>
          <w:rFonts w:hint="eastAsia"/>
        </w:rPr>
        <w:t>从相关品价差结构来说，</w:t>
      </w:r>
      <w:r w:rsidR="007E7833">
        <w:rPr>
          <w:rFonts w:hint="eastAsia"/>
        </w:rPr>
        <w:t>前期</w:t>
      </w:r>
      <w:r w:rsidR="007E7833">
        <w:rPr>
          <w:rFonts w:hint="eastAsia"/>
        </w:rPr>
        <w:t>品种间</w:t>
      </w:r>
      <w:r w:rsidR="00A30479">
        <w:rPr>
          <w:rFonts w:hint="eastAsia"/>
        </w:rPr>
        <w:t>HDPE</w:t>
      </w:r>
      <w:r w:rsidR="00A30479">
        <w:rPr>
          <w:rFonts w:hint="eastAsia"/>
        </w:rPr>
        <w:t>与</w:t>
      </w:r>
      <w:r w:rsidR="00A30479">
        <w:rPr>
          <w:rFonts w:hint="eastAsia"/>
        </w:rPr>
        <w:t>LLDPE</w:t>
      </w:r>
      <w:r w:rsidR="007E7833">
        <w:rPr>
          <w:rFonts w:hint="eastAsia"/>
        </w:rPr>
        <w:t>价差处于高位，</w:t>
      </w:r>
      <w:r w:rsidR="00326CBE">
        <w:rPr>
          <w:rFonts w:hint="eastAsia"/>
        </w:rPr>
        <w:t>致使由生产</w:t>
      </w:r>
      <w:r w:rsidR="00A30479">
        <w:rPr>
          <w:rFonts w:hint="eastAsia"/>
        </w:rPr>
        <w:t>LL</w:t>
      </w:r>
      <w:r w:rsidR="00326CBE">
        <w:rPr>
          <w:rFonts w:hint="eastAsia"/>
        </w:rPr>
        <w:t>DPE</w:t>
      </w:r>
      <w:r w:rsidR="00326CBE">
        <w:rPr>
          <w:rFonts w:hint="eastAsia"/>
        </w:rPr>
        <w:t>转产</w:t>
      </w:r>
      <w:r w:rsidR="00A30479">
        <w:rPr>
          <w:rFonts w:hint="eastAsia"/>
        </w:rPr>
        <w:t>H</w:t>
      </w:r>
      <w:r w:rsidR="00326CBE">
        <w:rPr>
          <w:rFonts w:hint="eastAsia"/>
        </w:rPr>
        <w:t>DPE</w:t>
      </w:r>
      <w:r w:rsidR="00A30479">
        <w:rPr>
          <w:rFonts w:hint="eastAsia"/>
        </w:rPr>
        <w:t>的不确定较强，但</w:t>
      </w:r>
      <w:r w:rsidR="00E12151">
        <w:rPr>
          <w:rFonts w:hint="eastAsia"/>
        </w:rPr>
        <w:t>近期</w:t>
      </w:r>
      <w:r w:rsidRPr="00203534">
        <w:rPr>
          <w:rFonts w:hint="eastAsia"/>
        </w:rPr>
        <w:t>由于</w:t>
      </w:r>
      <w:r w:rsidRPr="00203534">
        <w:rPr>
          <w:rFonts w:hint="eastAsia"/>
        </w:rPr>
        <w:t>LLDPE</w:t>
      </w:r>
      <w:r w:rsidRPr="00203534">
        <w:rPr>
          <w:rFonts w:hint="eastAsia"/>
        </w:rPr>
        <w:t>需求尚可，供应压力相对较小，相关品的价差</w:t>
      </w:r>
      <w:r w:rsidR="00E12151">
        <w:rPr>
          <w:rFonts w:hint="eastAsia"/>
        </w:rPr>
        <w:t>又</w:t>
      </w:r>
      <w:r w:rsidRPr="00203534">
        <w:rPr>
          <w:rFonts w:hint="eastAsia"/>
        </w:rPr>
        <w:t>重回历史正常均值</w:t>
      </w:r>
      <w:r w:rsidR="00E12151">
        <w:rPr>
          <w:rFonts w:hint="eastAsia"/>
        </w:rPr>
        <w:t>，后市不排除</w:t>
      </w:r>
      <w:r w:rsidR="00E12151">
        <w:rPr>
          <w:rFonts w:hint="eastAsia"/>
        </w:rPr>
        <w:t>HDPE</w:t>
      </w:r>
      <w:r w:rsidR="00E12151">
        <w:rPr>
          <w:rFonts w:hint="eastAsia"/>
        </w:rPr>
        <w:t>装置转向</w:t>
      </w:r>
      <w:r w:rsidR="00E12151">
        <w:rPr>
          <w:rFonts w:hint="eastAsia"/>
        </w:rPr>
        <w:t>LLDPE</w:t>
      </w:r>
      <w:r w:rsidR="00E12151">
        <w:rPr>
          <w:rFonts w:hint="eastAsia"/>
        </w:rPr>
        <w:t>的可能。</w:t>
      </w:r>
      <w:r w:rsidRPr="00203534">
        <w:rPr>
          <w:rFonts w:hint="eastAsia"/>
        </w:rPr>
        <w:t>我们认为，</w:t>
      </w:r>
      <w:r w:rsidRPr="00203534">
        <w:rPr>
          <w:rFonts w:hint="eastAsia"/>
        </w:rPr>
        <w:t>LLDPE</w:t>
      </w:r>
      <w:r w:rsidRPr="00203534">
        <w:rPr>
          <w:rFonts w:hint="eastAsia"/>
        </w:rPr>
        <w:t>与原料比价出现分化，油制烯烃企业的生产利润丰厚，</w:t>
      </w:r>
      <w:r w:rsidRPr="00203534">
        <w:rPr>
          <w:rFonts w:hint="eastAsia"/>
        </w:rPr>
        <w:t>LLDPE</w:t>
      </w:r>
      <w:r w:rsidRPr="00203534">
        <w:rPr>
          <w:rFonts w:hint="eastAsia"/>
        </w:rPr>
        <w:t>承受油价低位的压力相对较大。</w:t>
      </w:r>
    </w:p>
    <w:p w:rsidR="003A49C3" w:rsidRPr="003A49C3" w:rsidRDefault="003A49C3" w:rsidP="00F14FBD">
      <w:pPr>
        <w:ind w:firstLineChars="200" w:firstLine="420"/>
      </w:pPr>
      <w:r w:rsidRPr="003A49C3">
        <w:rPr>
          <w:rFonts w:hint="eastAsia"/>
        </w:rPr>
        <w:t>图</w:t>
      </w:r>
      <w:r w:rsidR="00D0504C">
        <w:rPr>
          <w:rFonts w:hint="eastAsia"/>
        </w:rPr>
        <w:t>5</w:t>
      </w:r>
      <w:r w:rsidR="00203534">
        <w:rPr>
          <w:rFonts w:hint="eastAsia"/>
        </w:rPr>
        <w:t>：品种价差回落</w:t>
      </w:r>
    </w:p>
    <w:p w:rsidR="00E64803" w:rsidRDefault="00203534" w:rsidP="00F14FBD">
      <w:pPr>
        <w:rPr>
          <w:rFonts w:hint="eastAsia"/>
          <w:b/>
        </w:rPr>
      </w:pPr>
      <w:r>
        <w:rPr>
          <w:noProof/>
        </w:rPr>
        <w:drawing>
          <wp:inline distT="0" distB="0" distL="0" distR="0" wp14:anchorId="4B1CC945" wp14:editId="2A622DBD">
            <wp:extent cx="5179162" cy="1960474"/>
            <wp:effectExtent l="0" t="0" r="254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96591" cy="196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534" w:rsidRDefault="00203534" w:rsidP="00F14FBD">
      <w:pPr>
        <w:ind w:firstLineChars="200" w:firstLine="420"/>
        <w:rPr>
          <w:rFonts w:hint="eastAsia"/>
        </w:rPr>
      </w:pPr>
      <w:r>
        <w:rPr>
          <w:rFonts w:hint="eastAsia"/>
        </w:rPr>
        <w:t>资料来源：</w:t>
      </w:r>
      <w:r>
        <w:rPr>
          <w:rFonts w:hint="eastAsia"/>
        </w:rPr>
        <w:t>WIND,</w:t>
      </w:r>
      <w:r>
        <w:rPr>
          <w:rFonts w:hint="eastAsia"/>
        </w:rPr>
        <w:t>宝城期货金融研究所</w:t>
      </w:r>
    </w:p>
    <w:p w:rsidR="00BD16A9" w:rsidRPr="007E7833" w:rsidRDefault="00BD16A9" w:rsidP="00F14FBD">
      <w:pPr>
        <w:ind w:firstLineChars="200" w:firstLine="422"/>
        <w:rPr>
          <w:rFonts w:hint="eastAsia"/>
          <w:b/>
        </w:rPr>
      </w:pPr>
      <w:r w:rsidRPr="007E7833">
        <w:rPr>
          <w:rFonts w:hint="eastAsia"/>
          <w:b/>
        </w:rPr>
        <w:t>LLDPE</w:t>
      </w:r>
      <w:r>
        <w:rPr>
          <w:rFonts w:hint="eastAsia"/>
          <w:b/>
        </w:rPr>
        <w:t>后续投产压力较大</w:t>
      </w:r>
    </w:p>
    <w:p w:rsidR="00833345" w:rsidRPr="00E12151" w:rsidRDefault="00833345" w:rsidP="00F14FBD">
      <w:pPr>
        <w:ind w:firstLineChars="200" w:firstLine="420"/>
        <w:rPr>
          <w:szCs w:val="21"/>
        </w:rPr>
      </w:pPr>
      <w:r w:rsidRPr="002664D4">
        <w:rPr>
          <w:rFonts w:hint="eastAsia"/>
          <w:szCs w:val="21"/>
        </w:rPr>
        <w:t>根据卓创统计，未来几年国内</w:t>
      </w:r>
      <w:r w:rsidRPr="002664D4">
        <w:rPr>
          <w:rFonts w:hint="eastAsia"/>
          <w:szCs w:val="21"/>
        </w:rPr>
        <w:t>PE</w:t>
      </w:r>
      <w:r w:rsidRPr="002664D4">
        <w:rPr>
          <w:rFonts w:hint="eastAsia"/>
          <w:szCs w:val="21"/>
        </w:rPr>
        <w:t>新增产能依旧较多，</w:t>
      </w:r>
      <w:r w:rsidRPr="002664D4">
        <w:rPr>
          <w:rFonts w:hint="eastAsia"/>
          <w:szCs w:val="21"/>
        </w:rPr>
        <w:t>2016</w:t>
      </w:r>
      <w:r w:rsidRPr="002664D4">
        <w:rPr>
          <w:rFonts w:hint="eastAsia"/>
          <w:szCs w:val="21"/>
        </w:rPr>
        <w:t>年</w:t>
      </w:r>
      <w:r w:rsidRPr="002664D4">
        <w:rPr>
          <w:rFonts w:hint="eastAsia"/>
          <w:szCs w:val="21"/>
        </w:rPr>
        <w:t>-2017</w:t>
      </w:r>
      <w:r w:rsidRPr="002664D4">
        <w:rPr>
          <w:rFonts w:hint="eastAsia"/>
          <w:szCs w:val="21"/>
        </w:rPr>
        <w:t>年计划新增产能均较多，其中</w:t>
      </w:r>
      <w:r w:rsidRPr="002664D4">
        <w:rPr>
          <w:rFonts w:hint="eastAsia"/>
          <w:szCs w:val="21"/>
        </w:rPr>
        <w:t>2016</w:t>
      </w:r>
      <w:r w:rsidRPr="002664D4">
        <w:rPr>
          <w:rFonts w:hint="eastAsia"/>
          <w:szCs w:val="21"/>
        </w:rPr>
        <w:t>年计划新增产能达到</w:t>
      </w:r>
      <w:r w:rsidRPr="002664D4">
        <w:rPr>
          <w:rFonts w:hint="eastAsia"/>
          <w:szCs w:val="21"/>
        </w:rPr>
        <w:t>167</w:t>
      </w:r>
      <w:r w:rsidRPr="002664D4">
        <w:rPr>
          <w:rFonts w:hint="eastAsia"/>
          <w:szCs w:val="21"/>
        </w:rPr>
        <w:t>万吨，而</w:t>
      </w:r>
      <w:r w:rsidRPr="002664D4">
        <w:rPr>
          <w:rFonts w:hint="eastAsia"/>
          <w:szCs w:val="21"/>
        </w:rPr>
        <w:t>2017</w:t>
      </w:r>
      <w:r w:rsidRPr="002664D4">
        <w:rPr>
          <w:rFonts w:hint="eastAsia"/>
          <w:szCs w:val="21"/>
        </w:rPr>
        <w:t>年计划新增产能达到</w:t>
      </w:r>
      <w:r w:rsidRPr="002664D4">
        <w:rPr>
          <w:rFonts w:hint="eastAsia"/>
          <w:szCs w:val="21"/>
        </w:rPr>
        <w:t>242</w:t>
      </w:r>
      <w:r w:rsidRPr="002664D4">
        <w:rPr>
          <w:rFonts w:hint="eastAsia"/>
          <w:szCs w:val="21"/>
        </w:rPr>
        <w:t>万吨，且</w:t>
      </w:r>
      <w:r w:rsidRPr="002664D4">
        <w:rPr>
          <w:rFonts w:hint="eastAsia"/>
          <w:szCs w:val="21"/>
        </w:rPr>
        <w:t>2018</w:t>
      </w:r>
      <w:r w:rsidRPr="002664D4">
        <w:rPr>
          <w:rFonts w:hint="eastAsia"/>
          <w:szCs w:val="21"/>
        </w:rPr>
        <w:t>年后仍有许多新增产能计划投产</w:t>
      </w:r>
      <w:r w:rsidR="001708DE">
        <w:rPr>
          <w:rFonts w:hint="eastAsia"/>
          <w:szCs w:val="21"/>
        </w:rPr>
        <w:t>。</w:t>
      </w:r>
      <w:r w:rsidRPr="002664D4">
        <w:rPr>
          <w:rFonts w:hint="eastAsia"/>
          <w:szCs w:val="21"/>
        </w:rPr>
        <w:t>从统计情况来看，</w:t>
      </w:r>
      <w:r w:rsidRPr="002664D4">
        <w:rPr>
          <w:rFonts w:hint="eastAsia"/>
          <w:szCs w:val="21"/>
        </w:rPr>
        <w:t>2015</w:t>
      </w:r>
      <w:r w:rsidRPr="002664D4">
        <w:rPr>
          <w:rFonts w:hint="eastAsia"/>
          <w:szCs w:val="21"/>
        </w:rPr>
        <w:t>年计划投产的</w:t>
      </w:r>
      <w:r w:rsidRPr="002664D4">
        <w:rPr>
          <w:rFonts w:hint="eastAsia"/>
          <w:szCs w:val="21"/>
        </w:rPr>
        <w:t>PE</w:t>
      </w:r>
      <w:r w:rsidR="001708DE">
        <w:rPr>
          <w:rFonts w:hint="eastAsia"/>
          <w:szCs w:val="21"/>
        </w:rPr>
        <w:t>装置</w:t>
      </w:r>
      <w:r w:rsidRPr="002664D4">
        <w:rPr>
          <w:rFonts w:hint="eastAsia"/>
          <w:szCs w:val="21"/>
        </w:rPr>
        <w:t>有</w:t>
      </w:r>
      <w:r w:rsidRPr="002664D4">
        <w:rPr>
          <w:rFonts w:hint="eastAsia"/>
          <w:szCs w:val="21"/>
        </w:rPr>
        <w:t>3</w:t>
      </w:r>
      <w:r w:rsidRPr="002664D4">
        <w:rPr>
          <w:rFonts w:hint="eastAsia"/>
          <w:szCs w:val="21"/>
        </w:rPr>
        <w:t>套，涉及产能在</w:t>
      </w:r>
      <w:r w:rsidRPr="002664D4">
        <w:rPr>
          <w:rFonts w:hint="eastAsia"/>
          <w:szCs w:val="21"/>
        </w:rPr>
        <w:t>70</w:t>
      </w:r>
      <w:r w:rsidRPr="002664D4">
        <w:rPr>
          <w:rFonts w:hint="eastAsia"/>
          <w:szCs w:val="21"/>
        </w:rPr>
        <w:t>万吨。从产能增速来看，</w:t>
      </w:r>
      <w:r w:rsidRPr="002664D4">
        <w:rPr>
          <w:rFonts w:hint="eastAsia"/>
          <w:szCs w:val="21"/>
        </w:rPr>
        <w:t>2015</w:t>
      </w:r>
      <w:r w:rsidRPr="002664D4">
        <w:rPr>
          <w:rFonts w:hint="eastAsia"/>
          <w:szCs w:val="21"/>
        </w:rPr>
        <w:t>年新增产能不多</w:t>
      </w:r>
      <w:r>
        <w:rPr>
          <w:rFonts w:hint="eastAsia"/>
          <w:szCs w:val="21"/>
        </w:rPr>
        <w:t>，但是</w:t>
      </w:r>
      <w:r w:rsidR="001708DE">
        <w:rPr>
          <w:rFonts w:hint="eastAsia"/>
        </w:rPr>
        <w:t>后市国内即将投产的均为煤制烯烃项目。而</w:t>
      </w:r>
      <w:r w:rsidR="00E12151">
        <w:rPr>
          <w:rFonts w:hint="eastAsia"/>
        </w:rPr>
        <w:t>随着煤制烯烃项目的投产，</w:t>
      </w:r>
      <w:r w:rsidR="00E12151">
        <w:rPr>
          <w:rFonts w:hint="eastAsia"/>
        </w:rPr>
        <w:t>虽然短时间内难以撼动</w:t>
      </w:r>
      <w:r w:rsidR="00E12151">
        <w:rPr>
          <w:rFonts w:hint="eastAsia"/>
        </w:rPr>
        <w:t>中石油和中石化在塑料市场的</w:t>
      </w:r>
      <w:r w:rsidR="00E12151">
        <w:rPr>
          <w:rFonts w:hint="eastAsia"/>
        </w:rPr>
        <w:t>双寡头垄断格局，但已经逐步削弱中石油和中石化寡头垄断带来的行业超额利润状况，</w:t>
      </w:r>
      <w:r w:rsidR="005E0FD3">
        <w:rPr>
          <w:rFonts w:hint="eastAsia"/>
        </w:rPr>
        <w:t>后续塑料行业的高利润格局或难以维系</w:t>
      </w:r>
      <w:r w:rsidR="00E12151">
        <w:rPr>
          <w:rFonts w:hint="eastAsia"/>
        </w:rPr>
        <w:t>。</w:t>
      </w:r>
    </w:p>
    <w:p w:rsidR="00833345" w:rsidRDefault="00833345" w:rsidP="00F14FBD">
      <w:pPr>
        <w:ind w:firstLineChars="200" w:firstLine="420"/>
        <w:rPr>
          <w:rFonts w:cs="Times New Roman"/>
        </w:rPr>
      </w:pPr>
      <w:r w:rsidRPr="00F14FBD">
        <w:rPr>
          <w:rFonts w:hint="eastAsia"/>
        </w:rPr>
        <w:lastRenderedPageBreak/>
        <w:t>表</w:t>
      </w:r>
      <w:r w:rsidRPr="00F14FBD">
        <w:rPr>
          <w:rFonts w:hint="eastAsia"/>
        </w:rPr>
        <w:t>1</w:t>
      </w:r>
      <w:r>
        <w:rPr>
          <w:rFonts w:hint="eastAsia"/>
        </w:rPr>
        <w:t>、</w:t>
      </w:r>
      <w:r>
        <w:t>2015</w:t>
      </w:r>
      <w:r>
        <w:rPr>
          <w:rFonts w:hint="eastAsia"/>
        </w:rPr>
        <w:t>年国内</w:t>
      </w:r>
      <w:r>
        <w:t>PE</w:t>
      </w:r>
      <w:r>
        <w:rPr>
          <w:rFonts w:hint="eastAsia"/>
        </w:rPr>
        <w:t>新装置投产概况</w:t>
      </w:r>
      <w:r w:rsidR="00F14FBD">
        <w:rPr>
          <w:rFonts w:hint="eastAsia"/>
        </w:rPr>
        <w:t>（</w:t>
      </w:r>
      <w:r>
        <w:rPr>
          <w:rFonts w:hint="eastAsia"/>
        </w:rPr>
        <w:t>单位：万吨</w:t>
      </w:r>
      <w:r w:rsidR="00F14FBD">
        <w:rPr>
          <w:rFonts w:hint="eastAsia"/>
        </w:rPr>
        <w:t>）</w:t>
      </w:r>
      <w:r>
        <w:t xml:space="preserve">                                                      </w:t>
      </w:r>
    </w:p>
    <w:p w:rsidR="00833345" w:rsidRPr="00F14FBD" w:rsidRDefault="00326CBE" w:rsidP="00F14FBD">
      <w:pPr>
        <w:ind w:firstLineChars="200" w:firstLine="420"/>
      </w:pPr>
      <w:r w:rsidRPr="00F14FBD">
        <w:rPr>
          <w:rFonts w:hint="eastAsia"/>
        </w:rPr>
        <w:object w:dxaOrig="6195" w:dyaOrig="1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95.25pt" o:ole="">
            <v:imagedata r:id="rId13" o:title=""/>
          </v:shape>
          <o:OLEObject Type="Embed" ProgID="Picture.PicObj.1" ShapeID="_x0000_i1025" DrawAspect="Content" ObjectID="_1508941756" r:id="rId14"/>
        </w:object>
      </w:r>
      <w:r w:rsidRPr="00F14FBD">
        <w:rPr>
          <w:rFonts w:hint="eastAsia"/>
        </w:rPr>
        <w:t xml:space="preserve">  </w:t>
      </w:r>
    </w:p>
    <w:p w:rsidR="00833345" w:rsidRPr="00F14FBD" w:rsidRDefault="00833345" w:rsidP="00F14FBD">
      <w:pPr>
        <w:ind w:firstLineChars="200" w:firstLine="420"/>
      </w:pPr>
      <w:r>
        <w:rPr>
          <w:rFonts w:hint="eastAsia"/>
        </w:rPr>
        <w:t>数据来源：</w:t>
      </w:r>
      <w:r>
        <w:t>Wind</w:t>
      </w:r>
      <w:r>
        <w:rPr>
          <w:rFonts w:hint="eastAsia"/>
        </w:rPr>
        <w:t>资讯</w:t>
      </w:r>
      <w:r>
        <w:t xml:space="preserve"> </w:t>
      </w:r>
      <w:r>
        <w:rPr>
          <w:rFonts w:hint="eastAsia"/>
        </w:rPr>
        <w:t>宝城期货金融研究所</w:t>
      </w:r>
    </w:p>
    <w:p w:rsidR="00203534" w:rsidRPr="00203534" w:rsidRDefault="00E12151" w:rsidP="00F14FBD">
      <w:pPr>
        <w:ind w:firstLineChars="200" w:firstLine="420"/>
      </w:pPr>
      <w:r>
        <w:rPr>
          <w:rFonts w:hint="eastAsia"/>
          <w:noProof/>
        </w:rPr>
        <w:t>不仅如此，国外</w:t>
      </w:r>
      <w:r>
        <w:rPr>
          <w:rFonts w:hint="eastAsia"/>
          <w:noProof/>
        </w:rPr>
        <w:t>PE</w:t>
      </w:r>
      <w:r>
        <w:rPr>
          <w:rFonts w:hint="eastAsia"/>
          <w:noProof/>
        </w:rPr>
        <w:t>装置也面临较大的增产压力，</w:t>
      </w:r>
      <w:r>
        <w:rPr>
          <w:rFonts w:hint="eastAsia"/>
          <w:noProof/>
        </w:rPr>
        <w:t>2015</w:t>
      </w:r>
      <w:r>
        <w:rPr>
          <w:rFonts w:hint="eastAsia"/>
          <w:noProof/>
        </w:rPr>
        <w:t>年国外</w:t>
      </w:r>
      <w:r>
        <w:rPr>
          <w:rFonts w:hint="eastAsia"/>
          <w:noProof/>
        </w:rPr>
        <w:t>PE</w:t>
      </w:r>
      <w:r>
        <w:rPr>
          <w:rFonts w:hint="eastAsia"/>
          <w:noProof/>
        </w:rPr>
        <w:t>新产能增长</w:t>
      </w:r>
      <w:r>
        <w:rPr>
          <w:rFonts w:hint="eastAsia"/>
          <w:noProof/>
        </w:rPr>
        <w:t>550</w:t>
      </w:r>
      <w:r>
        <w:rPr>
          <w:rFonts w:hint="eastAsia"/>
          <w:noProof/>
        </w:rPr>
        <w:t>万吨，而后续</w:t>
      </w:r>
      <w:r>
        <w:rPr>
          <w:rFonts w:hint="eastAsia"/>
          <w:noProof/>
        </w:rPr>
        <w:t>2016</w:t>
      </w:r>
      <w:r>
        <w:rPr>
          <w:rFonts w:hint="eastAsia"/>
          <w:noProof/>
        </w:rPr>
        <w:t>年也面临伊朗</w:t>
      </w:r>
      <w:r>
        <w:rPr>
          <w:rFonts w:hint="eastAsia"/>
          <w:noProof/>
        </w:rPr>
        <w:t>90</w:t>
      </w:r>
      <w:r w:rsidR="001708DE">
        <w:rPr>
          <w:rFonts w:hint="eastAsia"/>
          <w:noProof/>
        </w:rPr>
        <w:t>万吨的增产压力。国内外齐增产能，将会进一步确定塑料市场的熊市格局。</w:t>
      </w:r>
    </w:p>
    <w:p w:rsidR="00095D57" w:rsidRDefault="0018375D" w:rsidP="00F14FBD">
      <w:pPr>
        <w:ind w:firstLineChars="200" w:firstLine="420"/>
        <w:rPr>
          <w:rFonts w:hint="eastAsia"/>
        </w:rPr>
      </w:pPr>
      <w:r>
        <w:rPr>
          <w:rFonts w:hint="eastAsia"/>
        </w:rPr>
        <w:t>整体来说，</w:t>
      </w:r>
      <w:r w:rsidR="00095D57">
        <w:rPr>
          <w:rFonts w:hint="eastAsia"/>
        </w:rPr>
        <w:t>上游原油低位运行，而塑料行业新产能投产压力较大，煤化工行业占比逐步增加，对于市场定价影响开始逐步显现，塑料行业垄断高利润难以为继，</w:t>
      </w:r>
      <w:r w:rsidR="00095D57">
        <w:rPr>
          <w:rFonts w:hint="eastAsia"/>
        </w:rPr>
        <w:t>LLDPE</w:t>
      </w:r>
      <w:r w:rsidR="00095D57">
        <w:rPr>
          <w:rFonts w:hint="eastAsia"/>
        </w:rPr>
        <w:t>市场转为熊市格局，后市以逢高抛空思路对待。</w:t>
      </w:r>
    </w:p>
    <w:p w:rsidR="00095D57" w:rsidRDefault="00095D57" w:rsidP="00F14FBD">
      <w:pPr>
        <w:ind w:firstLineChars="200" w:firstLine="422"/>
        <w:rPr>
          <w:rFonts w:hint="eastAsia"/>
          <w:b/>
        </w:rPr>
      </w:pPr>
      <w:r w:rsidRPr="00095D57">
        <w:rPr>
          <w:rFonts w:hint="eastAsia"/>
          <w:b/>
        </w:rPr>
        <w:t>交易计划：</w:t>
      </w:r>
    </w:p>
    <w:p w:rsidR="00095D57" w:rsidRDefault="00D0504C" w:rsidP="00F14FBD">
      <w:pPr>
        <w:ind w:firstLineChars="200" w:firstLine="422"/>
        <w:rPr>
          <w:rFonts w:hint="eastAsia"/>
          <w:b/>
        </w:rPr>
      </w:pPr>
      <w:r>
        <w:rPr>
          <w:rFonts w:hint="eastAsia"/>
          <w:b/>
        </w:rPr>
        <w:t>表</w:t>
      </w:r>
      <w:r>
        <w:rPr>
          <w:rFonts w:hint="eastAsia"/>
          <w:b/>
        </w:rPr>
        <w:t>2</w:t>
      </w:r>
      <w:r>
        <w:rPr>
          <w:rFonts w:hint="eastAsia"/>
          <w:b/>
        </w:rPr>
        <w:t>：交易计划表</w:t>
      </w: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0"/>
        <w:gridCol w:w="1166"/>
        <w:gridCol w:w="1064"/>
        <w:gridCol w:w="1166"/>
        <w:gridCol w:w="1494"/>
        <w:gridCol w:w="2058"/>
      </w:tblGrid>
      <w:tr w:rsidR="00D0504C" w:rsidTr="00D0504C">
        <w:trPr>
          <w:trHeight w:val="683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57" w:rsidRDefault="00095D57" w:rsidP="00D0504C">
            <w:pPr>
              <w:pStyle w:val="a7"/>
              <w:spacing w:line="3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操作合约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57" w:rsidRDefault="00095D57" w:rsidP="00D0504C">
            <w:pPr>
              <w:pStyle w:val="a7"/>
              <w:spacing w:line="34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l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1601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57" w:rsidRDefault="00095D57" w:rsidP="00AF4A70">
            <w:pPr>
              <w:pStyle w:val="a7"/>
              <w:spacing w:line="3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入场区间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57" w:rsidRDefault="00095D57" w:rsidP="00D0504C">
            <w:pPr>
              <w:pStyle w:val="a7"/>
              <w:spacing w:line="34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7</w:t>
            </w:r>
            <w:r w:rsidR="00A653AB">
              <w:rPr>
                <w:rFonts w:ascii="宋体" w:eastAsia="宋体" w:hAnsi="宋体" w:hint="eastAsia"/>
                <w:b w:val="0"/>
                <w:sz w:val="21"/>
                <w:szCs w:val="21"/>
              </w:rPr>
              <w:t>9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00-8</w:t>
            </w:r>
            <w:r w:rsidR="00A653AB">
              <w:rPr>
                <w:rFonts w:ascii="宋体" w:eastAsia="宋体" w:hAnsi="宋体" w:hint="eastAsia"/>
                <w:b w:val="0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57" w:rsidRDefault="00095D57" w:rsidP="00D0504C">
            <w:pPr>
              <w:pStyle w:val="a7"/>
              <w:spacing w:line="3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建议仓位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57" w:rsidRDefault="00095D57" w:rsidP="00F14FBD">
            <w:pPr>
              <w:pStyle w:val="a7"/>
              <w:spacing w:line="340" w:lineRule="atLeast"/>
              <w:ind w:firstLineChars="200" w:firstLine="420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0%</w:t>
            </w:r>
          </w:p>
        </w:tc>
      </w:tr>
      <w:tr w:rsidR="00D0504C" w:rsidTr="00D0504C">
        <w:trPr>
          <w:trHeight w:val="338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57" w:rsidRDefault="00095D57" w:rsidP="00D0504C">
            <w:pPr>
              <w:pStyle w:val="a7"/>
              <w:spacing w:line="3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预期目标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57" w:rsidRDefault="00095D57" w:rsidP="00D0504C">
            <w:pPr>
              <w:pStyle w:val="a7"/>
              <w:spacing w:line="34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7</w:t>
            </w:r>
            <w:r w:rsidR="00A653AB">
              <w:rPr>
                <w:rFonts w:ascii="宋体" w:eastAsia="宋体" w:hAnsi="宋体" w:hint="eastAsia"/>
                <w:b w:val="0"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00-7</w:t>
            </w:r>
            <w:r w:rsidR="00A653AB">
              <w:rPr>
                <w:rFonts w:ascii="宋体" w:eastAsia="宋体" w:hAnsi="宋体" w:hint="eastAsia"/>
                <w:b w:val="0"/>
                <w:sz w:val="21"/>
                <w:szCs w:val="21"/>
              </w:rPr>
              <w:t>7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57" w:rsidRDefault="00095D57" w:rsidP="00AF4A70">
            <w:pPr>
              <w:pStyle w:val="a7"/>
              <w:spacing w:line="3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止损区间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57" w:rsidRDefault="00A653AB" w:rsidP="00D0504C">
            <w:pPr>
              <w:pStyle w:val="a7"/>
              <w:spacing w:line="34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8200-8250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57" w:rsidRDefault="00095D57" w:rsidP="00D0504C">
            <w:pPr>
              <w:pStyle w:val="a7"/>
              <w:spacing w:line="3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风险收益比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57" w:rsidRDefault="00126808" w:rsidP="00F14FBD">
            <w:pPr>
              <w:pStyle w:val="a7"/>
              <w:spacing w:line="340" w:lineRule="atLeast"/>
              <w:ind w:firstLineChars="200" w:firstLine="420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2</w:t>
            </w:r>
            <w:r w:rsidR="00095D57">
              <w:rPr>
                <w:rFonts w:ascii="宋体" w:eastAsia="宋体" w:hAnsi="宋体" w:hint="eastAsia"/>
                <w:b w:val="0"/>
                <w:sz w:val="21"/>
                <w:szCs w:val="21"/>
              </w:rPr>
              <w:t>：1</w:t>
            </w:r>
          </w:p>
        </w:tc>
      </w:tr>
      <w:tr w:rsidR="00095D57" w:rsidTr="00D0504C">
        <w:trPr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57" w:rsidRDefault="00095D57" w:rsidP="00D0504C">
            <w:pPr>
              <w:pStyle w:val="a7"/>
              <w:spacing w:line="3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建仓计划</w:t>
            </w:r>
          </w:p>
        </w:tc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57" w:rsidRDefault="00126808" w:rsidP="00F14FBD">
            <w:pPr>
              <w:pStyle w:val="a7"/>
              <w:numPr>
                <w:ilvl w:val="0"/>
                <w:numId w:val="1"/>
              </w:numPr>
              <w:spacing w:line="340" w:lineRule="atLeast"/>
              <w:ind w:firstLineChars="200" w:firstLine="420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l</w:t>
            </w:r>
            <w:r w:rsidR="00095D57">
              <w:rPr>
                <w:rFonts w:ascii="宋体" w:eastAsia="宋体" w:hAnsi="宋体" w:hint="eastAsia"/>
                <w:b w:val="0"/>
                <w:sz w:val="21"/>
                <w:szCs w:val="21"/>
              </w:rPr>
              <w:t>1601期价反弹至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7900</w:t>
            </w:r>
            <w:r w:rsidR="00095D57">
              <w:rPr>
                <w:rFonts w:ascii="宋体" w:eastAsia="宋体" w:hAnsi="宋体" w:hint="eastAsia"/>
                <w:b w:val="0"/>
                <w:sz w:val="21"/>
                <w:szCs w:val="21"/>
              </w:rPr>
              <w:t>元/吨上方，则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1</w:t>
            </w:r>
            <w:r w:rsidR="00A653AB">
              <w:rPr>
                <w:rFonts w:ascii="宋体" w:eastAsia="宋体" w:hAnsi="宋体" w:hint="eastAsia"/>
                <w:b w:val="0"/>
                <w:sz w:val="21"/>
                <w:szCs w:val="21"/>
              </w:rPr>
              <w:t>5</w:t>
            </w:r>
            <w:r w:rsidR="00095D57">
              <w:rPr>
                <w:rFonts w:ascii="宋体" w:eastAsia="宋体" w:hAnsi="宋体" w:hint="eastAsia"/>
                <w:b w:val="0"/>
                <w:sz w:val="21"/>
                <w:szCs w:val="21"/>
              </w:rPr>
              <w:t>%仓位介入。</w:t>
            </w:r>
          </w:p>
          <w:p w:rsidR="00095D57" w:rsidRDefault="00A653AB" w:rsidP="00F14FBD">
            <w:pPr>
              <w:pStyle w:val="a7"/>
              <w:numPr>
                <w:ilvl w:val="0"/>
                <w:numId w:val="1"/>
              </w:numPr>
              <w:spacing w:line="340" w:lineRule="atLeast"/>
              <w:ind w:firstLineChars="200" w:firstLine="420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l</w:t>
            </w:r>
            <w:r w:rsidR="00095D57">
              <w:rPr>
                <w:rFonts w:ascii="宋体" w:eastAsia="宋体" w:hAnsi="宋体" w:hint="eastAsia"/>
                <w:b w:val="0"/>
                <w:sz w:val="21"/>
                <w:szCs w:val="21"/>
              </w:rPr>
              <w:t>1601期价上涨至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80</w:t>
            </w:r>
            <w:r w:rsidR="00095D57">
              <w:rPr>
                <w:rFonts w:ascii="宋体" w:eastAsia="宋体" w:hAnsi="宋体" w:hint="eastAsia"/>
                <w:b w:val="0"/>
                <w:sz w:val="21"/>
                <w:szCs w:val="21"/>
              </w:rPr>
              <w:t>00元/吨上方，则考虑在加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15</w:t>
            </w:r>
            <w:r w:rsidR="00095D57">
              <w:rPr>
                <w:rFonts w:ascii="宋体" w:eastAsia="宋体" w:hAnsi="宋体" w:hint="eastAsia"/>
                <w:b w:val="0"/>
                <w:sz w:val="21"/>
                <w:szCs w:val="21"/>
              </w:rPr>
              <w:t>%仓位。</w:t>
            </w:r>
          </w:p>
        </w:tc>
      </w:tr>
      <w:tr w:rsidR="00095D57" w:rsidTr="00D0504C">
        <w:trPr>
          <w:trHeight w:val="83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57" w:rsidRDefault="00095D57" w:rsidP="00D0504C">
            <w:pPr>
              <w:pStyle w:val="a7"/>
              <w:spacing w:line="3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平仓计划</w:t>
            </w:r>
          </w:p>
        </w:tc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57" w:rsidRDefault="00095D57" w:rsidP="00F14FBD">
            <w:pPr>
              <w:pStyle w:val="a7"/>
              <w:spacing w:line="340" w:lineRule="atLeast"/>
              <w:ind w:firstLineChars="200" w:firstLine="420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止盈：若</w:t>
            </w:r>
            <w:r w:rsidR="00A653AB">
              <w:rPr>
                <w:rFonts w:ascii="宋体" w:eastAsia="宋体" w:hAnsi="宋体" w:hint="eastAsia"/>
                <w:b w:val="0"/>
                <w:sz w:val="21"/>
                <w:szCs w:val="21"/>
              </w:rPr>
              <w:t>l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1601期价跌至</w:t>
            </w:r>
            <w:r w:rsidR="00A653AB">
              <w:rPr>
                <w:rFonts w:ascii="宋体" w:eastAsia="宋体" w:hAnsi="宋体" w:hint="eastAsia"/>
                <w:b w:val="0"/>
                <w:sz w:val="21"/>
                <w:szCs w:val="21"/>
              </w:rPr>
              <w:t>77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00元/吨，半仓止盈，剩余半仓动态止盈。</w:t>
            </w:r>
          </w:p>
          <w:p w:rsidR="00095D57" w:rsidRDefault="00095D57" w:rsidP="00F14FBD">
            <w:pPr>
              <w:pStyle w:val="a7"/>
              <w:spacing w:line="340" w:lineRule="atLeast"/>
              <w:ind w:firstLineChars="200" w:firstLine="420"/>
              <w:rPr>
                <w:rFonts w:ascii="宋体" w:eastAsia="宋体" w:hAnsi="宋体"/>
                <w:b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止损：若</w:t>
            </w:r>
            <w:r w:rsidR="00AF4A70">
              <w:rPr>
                <w:rFonts w:ascii="宋体" w:eastAsia="宋体" w:hAnsi="宋体" w:hint="eastAsia"/>
                <w:b w:val="0"/>
                <w:sz w:val="21"/>
                <w:szCs w:val="21"/>
              </w:rPr>
              <w:t>l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1601期价涨至至</w:t>
            </w:r>
            <w:r w:rsidR="00A653AB">
              <w:rPr>
                <w:rFonts w:ascii="宋体" w:eastAsia="宋体" w:hAnsi="宋体" w:hint="eastAsia"/>
                <w:b w:val="0"/>
                <w:sz w:val="21"/>
                <w:szCs w:val="21"/>
              </w:rPr>
              <w:t>82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00元/吨，则止损半仓，若</w:t>
            </w:r>
            <w:r w:rsidR="00A653AB">
              <w:rPr>
                <w:rFonts w:ascii="宋体" w:eastAsia="宋体" w:hAnsi="宋体" w:hint="eastAsia"/>
                <w:b w:val="0"/>
                <w:sz w:val="21"/>
                <w:szCs w:val="21"/>
              </w:rPr>
              <w:t>l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1601期价进一步反弹至</w:t>
            </w:r>
            <w:r w:rsidR="00A653AB">
              <w:rPr>
                <w:rFonts w:ascii="宋体" w:eastAsia="宋体" w:hAnsi="宋体" w:hint="eastAsia"/>
                <w:b w:val="0"/>
                <w:sz w:val="21"/>
                <w:szCs w:val="21"/>
              </w:rPr>
              <w:t>8250</w:t>
            </w:r>
            <w:r>
              <w:rPr>
                <w:rFonts w:ascii="宋体" w:eastAsia="宋体" w:hAnsi="宋体" w:hint="eastAsia"/>
                <w:b w:val="0"/>
                <w:sz w:val="21"/>
                <w:szCs w:val="21"/>
              </w:rPr>
              <w:t>元/吨，则全部止损。</w:t>
            </w:r>
          </w:p>
        </w:tc>
      </w:tr>
    </w:tbl>
    <w:p w:rsidR="00095D57" w:rsidRPr="00095D57" w:rsidRDefault="00095D57" w:rsidP="00F14FBD">
      <w:pPr>
        <w:ind w:firstLineChars="200" w:firstLine="422"/>
        <w:rPr>
          <w:rFonts w:hint="eastAsia"/>
          <w:b/>
        </w:rPr>
      </w:pPr>
    </w:p>
    <w:p w:rsidR="00095D57" w:rsidRPr="00AF4A70" w:rsidRDefault="00095D57" w:rsidP="00F14FBD">
      <w:pPr>
        <w:ind w:firstLineChars="200" w:firstLine="420"/>
      </w:pPr>
    </w:p>
    <w:sectPr w:rsidR="00095D57" w:rsidRPr="00AF4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F41" w:rsidRDefault="00FC5F41" w:rsidP="005D6729">
      <w:r>
        <w:separator/>
      </w:r>
    </w:p>
  </w:endnote>
  <w:endnote w:type="continuationSeparator" w:id="0">
    <w:p w:rsidR="00FC5F41" w:rsidRDefault="00FC5F41" w:rsidP="005D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F41" w:rsidRDefault="00FC5F41" w:rsidP="005D6729">
      <w:r>
        <w:separator/>
      </w:r>
    </w:p>
  </w:footnote>
  <w:footnote w:type="continuationSeparator" w:id="0">
    <w:p w:rsidR="00FC5F41" w:rsidRDefault="00FC5F41" w:rsidP="005D6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061D"/>
    <w:multiLevelType w:val="hybridMultilevel"/>
    <w:tmpl w:val="A4F4B118"/>
    <w:lvl w:ilvl="0" w:tplc="622CA30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4C"/>
    <w:rsid w:val="00016F8A"/>
    <w:rsid w:val="00095D57"/>
    <w:rsid w:val="000D002F"/>
    <w:rsid w:val="00126808"/>
    <w:rsid w:val="001637D8"/>
    <w:rsid w:val="001708DE"/>
    <w:rsid w:val="0018375D"/>
    <w:rsid w:val="00191011"/>
    <w:rsid w:val="001F3838"/>
    <w:rsid w:val="00203534"/>
    <w:rsid w:val="00227D55"/>
    <w:rsid w:val="00277FA1"/>
    <w:rsid w:val="002A2644"/>
    <w:rsid w:val="002D650E"/>
    <w:rsid w:val="00326CBE"/>
    <w:rsid w:val="003A49C3"/>
    <w:rsid w:val="003F4735"/>
    <w:rsid w:val="00480B13"/>
    <w:rsid w:val="004D3DE9"/>
    <w:rsid w:val="005D6729"/>
    <w:rsid w:val="005E0FD3"/>
    <w:rsid w:val="0064382E"/>
    <w:rsid w:val="007E7833"/>
    <w:rsid w:val="00833345"/>
    <w:rsid w:val="00860AC5"/>
    <w:rsid w:val="008841CF"/>
    <w:rsid w:val="009562A8"/>
    <w:rsid w:val="00991DEC"/>
    <w:rsid w:val="009A5513"/>
    <w:rsid w:val="00A30479"/>
    <w:rsid w:val="00A653AB"/>
    <w:rsid w:val="00AF4A70"/>
    <w:rsid w:val="00B57CBC"/>
    <w:rsid w:val="00BD16A9"/>
    <w:rsid w:val="00BF464B"/>
    <w:rsid w:val="00C10499"/>
    <w:rsid w:val="00C264D0"/>
    <w:rsid w:val="00C4590A"/>
    <w:rsid w:val="00D0504C"/>
    <w:rsid w:val="00D23C37"/>
    <w:rsid w:val="00E12151"/>
    <w:rsid w:val="00E36600"/>
    <w:rsid w:val="00E64803"/>
    <w:rsid w:val="00EC0A37"/>
    <w:rsid w:val="00F14FBD"/>
    <w:rsid w:val="00F40460"/>
    <w:rsid w:val="00FC3C4C"/>
    <w:rsid w:val="00FC5F41"/>
    <w:rsid w:val="00F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7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7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38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3838"/>
    <w:rPr>
      <w:sz w:val="18"/>
      <w:szCs w:val="18"/>
    </w:rPr>
  </w:style>
  <w:style w:type="paragraph" w:styleId="a6">
    <w:name w:val="caption"/>
    <w:basedOn w:val="a"/>
    <w:next w:val="a"/>
    <w:uiPriority w:val="99"/>
    <w:qFormat/>
    <w:rsid w:val="00833345"/>
    <w:pPr>
      <w:pBdr>
        <w:bottom w:val="single" w:sz="4" w:space="1" w:color="404040"/>
      </w:pBdr>
      <w:spacing w:before="120" w:after="120"/>
      <w:jc w:val="left"/>
    </w:pPr>
    <w:rPr>
      <w:rFonts w:ascii="黑体" w:eastAsia="黑体" w:hAnsi="黑体" w:cs="黑体"/>
      <w:b/>
      <w:bCs/>
      <w:color w:val="632423"/>
      <w:sz w:val="20"/>
      <w:szCs w:val="20"/>
    </w:rPr>
  </w:style>
  <w:style w:type="paragraph" w:customStyle="1" w:styleId="8">
    <w:name w:val="样式8"/>
    <w:basedOn w:val="a"/>
    <w:link w:val="8CharChar"/>
    <w:uiPriority w:val="99"/>
    <w:rsid w:val="00833345"/>
    <w:pPr>
      <w:widowControl/>
      <w:pBdr>
        <w:top w:val="single" w:sz="4" w:space="1" w:color="404040"/>
      </w:pBdr>
      <w:spacing w:after="120"/>
      <w:jc w:val="left"/>
    </w:pPr>
    <w:rPr>
      <w:rFonts w:ascii="华文细黑" w:eastAsia="华文细黑" w:hAnsi="华文细黑" w:cs="华文细黑"/>
      <w:color w:val="660018"/>
      <w:sz w:val="18"/>
      <w:szCs w:val="18"/>
    </w:rPr>
  </w:style>
  <w:style w:type="character" w:customStyle="1" w:styleId="8CharChar">
    <w:name w:val="样式8 Char Char"/>
    <w:link w:val="8"/>
    <w:uiPriority w:val="99"/>
    <w:locked/>
    <w:rsid w:val="00833345"/>
    <w:rPr>
      <w:rFonts w:ascii="华文细黑" w:eastAsia="华文细黑" w:hAnsi="华文细黑" w:cs="华文细黑"/>
      <w:color w:val="660018"/>
      <w:sz w:val="18"/>
      <w:szCs w:val="18"/>
    </w:rPr>
  </w:style>
  <w:style w:type="paragraph" w:customStyle="1" w:styleId="a7">
    <w:name w:val="报告标题"/>
    <w:basedOn w:val="a"/>
    <w:rsid w:val="00095D57"/>
    <w:rPr>
      <w:rFonts w:ascii="Times New Roman" w:eastAsia="楷体_GB2312" w:hAnsi="Times New Roman" w:cs="Times New Roman"/>
      <w:b/>
      <w:noProof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7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7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38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3838"/>
    <w:rPr>
      <w:sz w:val="18"/>
      <w:szCs w:val="18"/>
    </w:rPr>
  </w:style>
  <w:style w:type="paragraph" w:styleId="a6">
    <w:name w:val="caption"/>
    <w:basedOn w:val="a"/>
    <w:next w:val="a"/>
    <w:uiPriority w:val="99"/>
    <w:qFormat/>
    <w:rsid w:val="00833345"/>
    <w:pPr>
      <w:pBdr>
        <w:bottom w:val="single" w:sz="4" w:space="1" w:color="404040"/>
      </w:pBdr>
      <w:spacing w:before="120" w:after="120"/>
      <w:jc w:val="left"/>
    </w:pPr>
    <w:rPr>
      <w:rFonts w:ascii="黑体" w:eastAsia="黑体" w:hAnsi="黑体" w:cs="黑体"/>
      <w:b/>
      <w:bCs/>
      <w:color w:val="632423"/>
      <w:sz w:val="20"/>
      <w:szCs w:val="20"/>
    </w:rPr>
  </w:style>
  <w:style w:type="paragraph" w:customStyle="1" w:styleId="8">
    <w:name w:val="样式8"/>
    <w:basedOn w:val="a"/>
    <w:link w:val="8CharChar"/>
    <w:uiPriority w:val="99"/>
    <w:rsid w:val="00833345"/>
    <w:pPr>
      <w:widowControl/>
      <w:pBdr>
        <w:top w:val="single" w:sz="4" w:space="1" w:color="404040"/>
      </w:pBdr>
      <w:spacing w:after="120"/>
      <w:jc w:val="left"/>
    </w:pPr>
    <w:rPr>
      <w:rFonts w:ascii="华文细黑" w:eastAsia="华文细黑" w:hAnsi="华文细黑" w:cs="华文细黑"/>
      <w:color w:val="660018"/>
      <w:sz w:val="18"/>
      <w:szCs w:val="18"/>
    </w:rPr>
  </w:style>
  <w:style w:type="character" w:customStyle="1" w:styleId="8CharChar">
    <w:name w:val="样式8 Char Char"/>
    <w:link w:val="8"/>
    <w:uiPriority w:val="99"/>
    <w:locked/>
    <w:rsid w:val="00833345"/>
    <w:rPr>
      <w:rFonts w:ascii="华文细黑" w:eastAsia="华文细黑" w:hAnsi="华文细黑" w:cs="华文细黑"/>
      <w:color w:val="660018"/>
      <w:sz w:val="18"/>
      <w:szCs w:val="18"/>
    </w:rPr>
  </w:style>
  <w:style w:type="paragraph" w:customStyle="1" w:styleId="a7">
    <w:name w:val="报告标题"/>
    <w:basedOn w:val="a"/>
    <w:rsid w:val="00095D57"/>
    <w:rPr>
      <w:rFonts w:ascii="Times New Roman" w:eastAsia="楷体_GB2312" w:hAnsi="Times New Roman" w:cs="Times New Roman"/>
      <w:b/>
      <w:noProof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5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numbering.xml" Type="http://schemas.openxmlformats.org/officeDocument/2006/relationships/numbering"/>
<Relationship Id="rId10" Target="media/image3.png" Type="http://schemas.openxmlformats.org/officeDocument/2006/relationships/image"/>
<Relationship Id="rId11" Target="media/image4.png" Type="http://schemas.openxmlformats.org/officeDocument/2006/relationships/image"/>
<Relationship Id="rId12" Target="media/image5.png" Type="http://schemas.openxmlformats.org/officeDocument/2006/relationships/image"/>
<Relationship Id="rId13" Target="media/image6.png" Type="http://schemas.openxmlformats.org/officeDocument/2006/relationships/image"/>
<Relationship Id="rId14" Target="embeddings/oleObject1.bin" Type="http://schemas.openxmlformats.org/officeDocument/2006/relationships/oleObject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286</Words>
  <Characters>1635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2015-11-13T08:12:00Z</dcterms:created>
  <dc:creator>闫沙沙</dc:creator>
  <cp:lastModifiedBy>闫沙沙</cp:lastModifiedBy>
  <dcterms:modified xsi:type="dcterms:W3CDTF">2015-11-13T09:41:00Z</dcterms:modified>
  <cp:revision>4</cp:revision>
</cp:coreProperties>
</file>