
<file path=[Content_Types].xml><?xml version="1.0" encoding="utf-8"?>
<Types xmlns="http://schemas.openxmlformats.org/package/2006/content-types">
  <Default ContentType="image/x-emf" Extension="em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wordprocessingml.document.main+xml" PartName="/word/document.xml"/>
  <Override ContentType="application/vnd.openxmlformats-officedocument.drawingml.chartshapes+xml" PartName="/word/drawings/drawing1.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6EC" w:rsidRDefault="00970889" w:rsidP="00A406EC">
      <w:pPr>
        <w:widowControl/>
        <w:spacing w:before="156" w:line="360" w:lineRule="auto"/>
        <w:ind w:firstLineChars="200" w:firstLine="640"/>
        <w:jc w:val="center"/>
        <w:rPr>
          <w:rFonts w:ascii="华文新魏" w:eastAsia="华文新魏"/>
          <w:sz w:val="32"/>
          <w:szCs w:val="32"/>
        </w:rPr>
      </w:pPr>
      <w:r>
        <w:rPr>
          <w:rFonts w:ascii="华文新魏" w:eastAsia="华文新魏" w:hint="eastAsia"/>
          <w:sz w:val="32"/>
          <w:szCs w:val="32"/>
        </w:rPr>
        <w:t xml:space="preserve">60日线制压 </w:t>
      </w:r>
      <w:r w:rsidR="0057164D">
        <w:rPr>
          <w:rFonts w:ascii="华文新魏" w:eastAsia="华文新魏" w:hint="eastAsia"/>
          <w:sz w:val="32"/>
          <w:szCs w:val="32"/>
        </w:rPr>
        <w:t>连塑或</w:t>
      </w:r>
      <w:r>
        <w:rPr>
          <w:rFonts w:ascii="华文新魏" w:eastAsia="华文新魏" w:hint="eastAsia"/>
          <w:sz w:val="32"/>
          <w:szCs w:val="32"/>
        </w:rPr>
        <w:t>继续下行</w:t>
      </w:r>
    </w:p>
    <w:p w:rsidR="00A406EC" w:rsidRDefault="00A406EC" w:rsidP="00A406EC">
      <w:pPr>
        <w:spacing w:line="360" w:lineRule="auto"/>
        <w:ind w:firstLineChars="200" w:firstLine="480"/>
        <w:rPr>
          <w:rFonts w:ascii="Times New Roman" w:eastAsia="楷体_GB2312" w:hAnsi="Times New Roman"/>
          <w:sz w:val="24"/>
          <w:szCs w:val="24"/>
        </w:rPr>
      </w:pPr>
      <w:r w:rsidRPr="00DB1A64">
        <w:rPr>
          <w:rFonts w:ascii="Times New Roman" w:eastAsia="楷体_GB2312" w:hAnsi="Times New Roman" w:hint="eastAsia"/>
          <w:sz w:val="24"/>
          <w:szCs w:val="24"/>
        </w:rPr>
        <w:t>8</w:t>
      </w:r>
      <w:r w:rsidRPr="00DB1A64">
        <w:rPr>
          <w:rFonts w:ascii="Times New Roman" w:eastAsia="楷体_GB2312" w:hAnsi="Times New Roman" w:hint="eastAsia"/>
          <w:sz w:val="24"/>
          <w:szCs w:val="24"/>
        </w:rPr>
        <w:t>月</w:t>
      </w:r>
      <w:r w:rsidRPr="00DB1A64">
        <w:rPr>
          <w:rFonts w:ascii="Times New Roman" w:eastAsia="楷体_GB2312" w:hAnsi="Times New Roman" w:hint="eastAsia"/>
          <w:sz w:val="24"/>
          <w:szCs w:val="24"/>
        </w:rPr>
        <w:t>LLDPE</w:t>
      </w:r>
      <w:r>
        <w:rPr>
          <w:rFonts w:ascii="Times New Roman" w:eastAsia="楷体_GB2312" w:hAnsi="Times New Roman" w:hint="eastAsia"/>
          <w:sz w:val="24"/>
          <w:szCs w:val="24"/>
        </w:rPr>
        <w:t>呈现出</w:t>
      </w:r>
      <w:r w:rsidRPr="00DB1A64">
        <w:rPr>
          <w:rFonts w:ascii="Times New Roman" w:eastAsia="楷体_GB2312" w:hAnsi="Times New Roman" w:hint="eastAsia"/>
          <w:sz w:val="24"/>
          <w:szCs w:val="24"/>
        </w:rPr>
        <w:t>低位震荡走势。上半月</w:t>
      </w:r>
      <w:r>
        <w:rPr>
          <w:rFonts w:ascii="Times New Roman" w:eastAsia="楷体_GB2312" w:hAnsi="Times New Roman" w:hint="eastAsia"/>
          <w:sz w:val="24"/>
          <w:szCs w:val="24"/>
        </w:rPr>
        <w:t>超跌</w:t>
      </w:r>
      <w:r w:rsidRPr="00DB1A64">
        <w:rPr>
          <w:rFonts w:ascii="Times New Roman" w:eastAsia="楷体_GB2312" w:hAnsi="Times New Roman" w:hint="eastAsia"/>
          <w:sz w:val="24"/>
          <w:szCs w:val="24"/>
        </w:rPr>
        <w:t>反弹，但是</w:t>
      </w:r>
      <w:r w:rsidRPr="00DB1A64">
        <w:rPr>
          <w:rFonts w:ascii="Times New Roman" w:eastAsia="楷体_GB2312" w:hAnsi="Times New Roman" w:hint="eastAsia"/>
          <w:sz w:val="24"/>
          <w:szCs w:val="24"/>
        </w:rPr>
        <w:t>LLDPE</w:t>
      </w:r>
      <w:r w:rsidRPr="00DB1A64">
        <w:rPr>
          <w:rFonts w:ascii="Times New Roman" w:eastAsia="楷体_GB2312" w:hAnsi="Times New Roman" w:hint="eastAsia"/>
          <w:sz w:val="24"/>
          <w:szCs w:val="24"/>
        </w:rPr>
        <w:t>基本面偏弱，反弹空间有限。下半月国际原油继续下跌，</w:t>
      </w:r>
      <w:r>
        <w:rPr>
          <w:rFonts w:ascii="Times New Roman" w:eastAsia="楷体_GB2312" w:hAnsi="Times New Roman" w:hint="eastAsia"/>
          <w:sz w:val="24"/>
          <w:szCs w:val="24"/>
        </w:rPr>
        <w:t>WTI</w:t>
      </w:r>
      <w:r w:rsidRPr="00DB1A64">
        <w:rPr>
          <w:rFonts w:ascii="Times New Roman" w:eastAsia="楷体_GB2312" w:hAnsi="Times New Roman" w:hint="eastAsia"/>
          <w:sz w:val="24"/>
          <w:szCs w:val="24"/>
        </w:rPr>
        <w:t>原油最低下探至</w:t>
      </w:r>
      <w:r w:rsidRPr="00DB1A64">
        <w:rPr>
          <w:rFonts w:ascii="Times New Roman" w:eastAsia="楷体_GB2312" w:hAnsi="Times New Roman" w:hint="eastAsia"/>
          <w:sz w:val="24"/>
          <w:szCs w:val="24"/>
        </w:rPr>
        <w:t>37</w:t>
      </w:r>
      <w:r w:rsidRPr="00DB1A64">
        <w:rPr>
          <w:rFonts w:ascii="Times New Roman" w:eastAsia="楷体_GB2312" w:hAnsi="Times New Roman" w:hint="eastAsia"/>
          <w:sz w:val="24"/>
          <w:szCs w:val="24"/>
        </w:rPr>
        <w:t>美元</w:t>
      </w:r>
      <w:r w:rsidRPr="00DB1A64">
        <w:rPr>
          <w:rFonts w:ascii="Times New Roman" w:eastAsia="楷体_GB2312" w:hAnsi="Times New Roman" w:hint="eastAsia"/>
          <w:sz w:val="24"/>
          <w:szCs w:val="24"/>
        </w:rPr>
        <w:t>/</w:t>
      </w:r>
      <w:r w:rsidRPr="00DB1A64">
        <w:rPr>
          <w:rFonts w:ascii="Times New Roman" w:eastAsia="楷体_GB2312" w:hAnsi="Times New Roman" w:hint="eastAsia"/>
          <w:sz w:val="24"/>
          <w:szCs w:val="24"/>
        </w:rPr>
        <w:t>桶，创</w:t>
      </w:r>
      <w:r w:rsidRPr="00DB1A64">
        <w:rPr>
          <w:rFonts w:ascii="Times New Roman" w:eastAsia="楷体_GB2312" w:hAnsi="Times New Roman" w:hint="eastAsia"/>
          <w:sz w:val="24"/>
          <w:szCs w:val="24"/>
        </w:rPr>
        <w:t>6</w:t>
      </w:r>
      <w:r w:rsidRPr="00DB1A64">
        <w:rPr>
          <w:rFonts w:ascii="Times New Roman" w:eastAsia="楷体_GB2312" w:hAnsi="Times New Roman" w:hint="eastAsia"/>
          <w:sz w:val="24"/>
          <w:szCs w:val="24"/>
        </w:rPr>
        <w:t>年半来新低，同时下游农膜需求一直没有释放，</w:t>
      </w:r>
      <w:r w:rsidRPr="00DB1A64">
        <w:rPr>
          <w:rFonts w:ascii="Times New Roman" w:eastAsia="楷体_GB2312" w:hAnsi="Times New Roman" w:hint="eastAsia"/>
          <w:sz w:val="24"/>
          <w:szCs w:val="24"/>
        </w:rPr>
        <w:t>LLDPE</w:t>
      </w:r>
      <w:r w:rsidRPr="00DB1A64">
        <w:rPr>
          <w:rFonts w:ascii="Times New Roman" w:eastAsia="楷体_GB2312" w:hAnsi="Times New Roman" w:hint="eastAsia"/>
          <w:sz w:val="24"/>
          <w:szCs w:val="24"/>
        </w:rPr>
        <w:t>期价持续下跌，主力合约</w:t>
      </w:r>
      <w:r w:rsidRPr="00DB1A64">
        <w:rPr>
          <w:rFonts w:ascii="Times New Roman" w:eastAsia="楷体_GB2312" w:hAnsi="Times New Roman" w:hint="eastAsia"/>
          <w:sz w:val="24"/>
          <w:szCs w:val="24"/>
        </w:rPr>
        <w:t>1601</w:t>
      </w:r>
      <w:r w:rsidRPr="00DB1A64">
        <w:rPr>
          <w:rFonts w:ascii="Times New Roman" w:eastAsia="楷体_GB2312" w:hAnsi="Times New Roman" w:hint="eastAsia"/>
          <w:sz w:val="24"/>
          <w:szCs w:val="24"/>
        </w:rPr>
        <w:t>跌至</w:t>
      </w:r>
      <w:r w:rsidRPr="00DB1A64">
        <w:rPr>
          <w:rFonts w:ascii="Times New Roman" w:eastAsia="楷体_GB2312" w:hAnsi="Times New Roman" w:hint="eastAsia"/>
          <w:sz w:val="24"/>
          <w:szCs w:val="24"/>
        </w:rPr>
        <w:t>8000</w:t>
      </w:r>
      <w:r w:rsidRPr="00DB1A64">
        <w:rPr>
          <w:rFonts w:ascii="Times New Roman" w:eastAsia="楷体_GB2312" w:hAnsi="Times New Roman" w:hint="eastAsia"/>
          <w:sz w:val="24"/>
          <w:szCs w:val="24"/>
        </w:rPr>
        <w:t>关口附近，创</w:t>
      </w:r>
      <w:r w:rsidRPr="00DB1A64">
        <w:rPr>
          <w:rFonts w:ascii="Times New Roman" w:eastAsia="楷体_GB2312" w:hAnsi="Times New Roman" w:hint="eastAsia"/>
          <w:sz w:val="24"/>
          <w:szCs w:val="24"/>
        </w:rPr>
        <w:t>6</w:t>
      </w:r>
      <w:r w:rsidRPr="00DB1A64">
        <w:rPr>
          <w:rFonts w:ascii="Times New Roman" w:eastAsia="楷体_GB2312" w:hAnsi="Times New Roman" w:hint="eastAsia"/>
          <w:sz w:val="24"/>
          <w:szCs w:val="24"/>
        </w:rPr>
        <w:t>个月新低。</w:t>
      </w:r>
      <w:r w:rsidRPr="00DB1A64">
        <w:rPr>
          <w:rFonts w:ascii="Times New Roman" w:eastAsia="楷体_GB2312" w:hAnsi="Times New Roman" w:hint="eastAsia"/>
          <w:sz w:val="24"/>
          <w:szCs w:val="24"/>
        </w:rPr>
        <w:t>8</w:t>
      </w:r>
      <w:r w:rsidRPr="00DB1A64">
        <w:rPr>
          <w:rFonts w:ascii="Times New Roman" w:eastAsia="楷体_GB2312" w:hAnsi="Times New Roman" w:hint="eastAsia"/>
          <w:sz w:val="24"/>
          <w:szCs w:val="24"/>
        </w:rPr>
        <w:t>月底</w:t>
      </w:r>
      <w:r>
        <w:rPr>
          <w:rFonts w:ascii="Times New Roman" w:eastAsia="楷体_GB2312" w:hAnsi="Times New Roman" w:hint="eastAsia"/>
          <w:sz w:val="24"/>
          <w:szCs w:val="24"/>
        </w:rPr>
        <w:t>受</w:t>
      </w:r>
      <w:r w:rsidRPr="00DB1A64">
        <w:rPr>
          <w:rFonts w:ascii="Times New Roman" w:eastAsia="楷体_GB2312" w:hAnsi="Times New Roman" w:hint="eastAsia"/>
          <w:sz w:val="24"/>
          <w:szCs w:val="24"/>
        </w:rPr>
        <w:t>原油快速反弹带动，</w:t>
      </w:r>
      <w:r w:rsidRPr="00DB1A64">
        <w:rPr>
          <w:rFonts w:ascii="Times New Roman" w:eastAsia="楷体_GB2312" w:hAnsi="Times New Roman" w:hint="eastAsia"/>
          <w:sz w:val="24"/>
          <w:szCs w:val="24"/>
        </w:rPr>
        <w:t>LLDPE</w:t>
      </w:r>
      <w:r w:rsidRPr="00DB1A64">
        <w:rPr>
          <w:rFonts w:ascii="Times New Roman" w:eastAsia="楷体_GB2312" w:hAnsi="Times New Roman" w:hint="eastAsia"/>
          <w:sz w:val="24"/>
          <w:szCs w:val="24"/>
        </w:rPr>
        <w:t>快速反弹。</w:t>
      </w:r>
    </w:p>
    <w:p w:rsidR="00A406EC" w:rsidRDefault="00A406EC" w:rsidP="00A406EC">
      <w:pPr>
        <w:spacing w:line="360" w:lineRule="auto"/>
        <w:ind w:firstLineChars="200" w:firstLine="480"/>
        <w:jc w:val="center"/>
        <w:rPr>
          <w:rFonts w:ascii="Times New Roman" w:eastAsia="楷体_GB2312" w:hAnsi="Times New Roman"/>
          <w:sz w:val="24"/>
          <w:szCs w:val="24"/>
        </w:rPr>
      </w:pPr>
      <w:r>
        <w:rPr>
          <w:rFonts w:ascii="Times New Roman" w:eastAsia="楷体_GB2312" w:hAnsi="Times New Roman" w:hint="eastAsia"/>
          <w:noProof/>
          <w:sz w:val="24"/>
          <w:szCs w:val="24"/>
        </w:rPr>
        <w:drawing>
          <wp:inline distT="0" distB="0" distL="0" distR="0">
            <wp:extent cx="4871720" cy="3818255"/>
            <wp:effectExtent l="1905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71720" cy="3818255"/>
                    </a:xfrm>
                    <a:prstGeom prst="rect">
                      <a:avLst/>
                    </a:prstGeom>
                    <a:noFill/>
                    <a:ln w="9525">
                      <a:noFill/>
                      <a:miter lim="800000"/>
                      <a:headEnd/>
                      <a:tailEnd/>
                    </a:ln>
                  </pic:spPr>
                </pic:pic>
              </a:graphicData>
            </a:graphic>
          </wp:inline>
        </w:drawing>
      </w:r>
    </w:p>
    <w:p w:rsidR="00A406EC" w:rsidRDefault="00A406EC" w:rsidP="00A406EC">
      <w:pPr>
        <w:spacing w:line="360" w:lineRule="auto"/>
        <w:ind w:firstLineChars="200" w:firstLine="562"/>
        <w:rPr>
          <w:rFonts w:eastAsia="楷体_GB2312"/>
          <w:b/>
          <w:sz w:val="28"/>
          <w:szCs w:val="28"/>
        </w:rPr>
      </w:pPr>
      <w:r>
        <w:rPr>
          <w:rFonts w:eastAsia="楷体_GB2312" w:hint="eastAsia"/>
          <w:b/>
          <w:sz w:val="28"/>
          <w:szCs w:val="28"/>
        </w:rPr>
        <w:t>大宗商品需求不足，政策刺激效果有待观察</w:t>
      </w:r>
    </w:p>
    <w:p w:rsidR="00A406EC" w:rsidRDefault="00A406EC" w:rsidP="00A406EC">
      <w:pPr>
        <w:spacing w:line="360" w:lineRule="auto"/>
        <w:ind w:firstLineChars="200" w:firstLine="480"/>
        <w:jc w:val="left"/>
        <w:rPr>
          <w:rFonts w:ascii="Times New Roman" w:eastAsia="楷体_GB2312" w:hAnsi="Times New Roman"/>
          <w:sz w:val="24"/>
          <w:szCs w:val="24"/>
        </w:rPr>
      </w:pPr>
      <w:bookmarkStart w:id="0" w:name="_Toc217723920"/>
      <w:r w:rsidRPr="00E50242">
        <w:rPr>
          <w:rFonts w:ascii="Times New Roman" w:eastAsia="楷体_GB2312" w:hAnsi="Times New Roman" w:hint="eastAsia"/>
          <w:sz w:val="24"/>
          <w:szCs w:val="24"/>
        </w:rPr>
        <w:t>经过上半年连续的“降息降准”以及财政政策稳增长，中国第二季度</w:t>
      </w:r>
      <w:r w:rsidRPr="00E50242">
        <w:rPr>
          <w:rFonts w:ascii="Times New Roman" w:eastAsia="楷体_GB2312" w:hAnsi="Times New Roman" w:hint="eastAsia"/>
          <w:sz w:val="24"/>
          <w:szCs w:val="24"/>
        </w:rPr>
        <w:t>GDP</w:t>
      </w:r>
      <w:r w:rsidRPr="00E50242">
        <w:rPr>
          <w:rFonts w:ascii="Times New Roman" w:eastAsia="楷体_GB2312" w:hAnsi="Times New Roman" w:hint="eastAsia"/>
          <w:sz w:val="24"/>
          <w:szCs w:val="24"/>
        </w:rPr>
        <w:t>仍维持在</w:t>
      </w:r>
      <w:r w:rsidRPr="00E50242">
        <w:rPr>
          <w:rFonts w:ascii="Times New Roman" w:eastAsia="楷体_GB2312" w:hAnsi="Times New Roman" w:hint="eastAsia"/>
          <w:sz w:val="24"/>
          <w:szCs w:val="24"/>
        </w:rPr>
        <w:t>7%</w:t>
      </w:r>
      <w:r w:rsidRPr="00E50242">
        <w:rPr>
          <w:rFonts w:ascii="Times New Roman" w:eastAsia="楷体_GB2312" w:hAnsi="Times New Roman" w:hint="eastAsia"/>
          <w:sz w:val="24"/>
          <w:szCs w:val="24"/>
        </w:rPr>
        <w:t>。但从最新的细项数据来看，消费、制造业、固定资产投资等仍在持续回落，稳增长任务仍然艰巨，市场对于中国需求不足的担忧给</w:t>
      </w:r>
      <w:r>
        <w:rPr>
          <w:rFonts w:ascii="Times New Roman" w:eastAsia="楷体_GB2312" w:hAnsi="Times New Roman" w:hint="eastAsia"/>
          <w:sz w:val="24"/>
          <w:szCs w:val="24"/>
        </w:rPr>
        <w:t>大宗商品</w:t>
      </w:r>
      <w:r w:rsidRPr="00E50242">
        <w:rPr>
          <w:rFonts w:ascii="Times New Roman" w:eastAsia="楷体_GB2312" w:hAnsi="Times New Roman" w:hint="eastAsia"/>
          <w:sz w:val="24"/>
          <w:szCs w:val="24"/>
        </w:rPr>
        <w:t>以压力。</w:t>
      </w:r>
      <w:r w:rsidRPr="00E50242">
        <w:rPr>
          <w:rFonts w:ascii="Times New Roman" w:eastAsia="楷体_GB2312" w:hAnsi="Times New Roman" w:hint="eastAsia"/>
          <w:sz w:val="24"/>
          <w:szCs w:val="24"/>
        </w:rPr>
        <w:t xml:space="preserve"> </w:t>
      </w:r>
    </w:p>
    <w:p w:rsidR="00A406EC" w:rsidRDefault="00A406EC" w:rsidP="00A406EC">
      <w:pPr>
        <w:spacing w:line="360" w:lineRule="auto"/>
        <w:ind w:firstLineChars="200" w:firstLine="480"/>
        <w:jc w:val="left"/>
        <w:rPr>
          <w:rFonts w:ascii="Times New Roman" w:eastAsia="楷体_GB2312" w:hAnsi="Times New Roman"/>
          <w:sz w:val="24"/>
          <w:szCs w:val="24"/>
        </w:rPr>
      </w:pPr>
      <w:r w:rsidRPr="00E50242">
        <w:rPr>
          <w:rFonts w:ascii="Times New Roman" w:eastAsia="楷体_GB2312" w:hAnsi="Times New Roman" w:hint="eastAsia"/>
          <w:sz w:val="24"/>
          <w:szCs w:val="24"/>
        </w:rPr>
        <w:t>具体数据来看，中国</w:t>
      </w:r>
      <w:r w:rsidRPr="00E50242">
        <w:rPr>
          <w:rFonts w:ascii="Times New Roman" w:eastAsia="楷体_GB2312" w:hAnsi="Times New Roman" w:hint="eastAsia"/>
          <w:sz w:val="24"/>
          <w:szCs w:val="24"/>
        </w:rPr>
        <w:t>8</w:t>
      </w:r>
      <w:r w:rsidRPr="00E50242">
        <w:rPr>
          <w:rFonts w:ascii="Times New Roman" w:eastAsia="楷体_GB2312" w:hAnsi="Times New Roman" w:hint="eastAsia"/>
          <w:sz w:val="24"/>
          <w:szCs w:val="24"/>
        </w:rPr>
        <w:t>月财新制造业</w:t>
      </w:r>
      <w:r w:rsidRPr="00E50242">
        <w:rPr>
          <w:rFonts w:ascii="Times New Roman" w:eastAsia="楷体_GB2312" w:hAnsi="Times New Roman" w:hint="eastAsia"/>
          <w:sz w:val="24"/>
          <w:szCs w:val="24"/>
        </w:rPr>
        <w:t>PMI</w:t>
      </w:r>
      <w:r w:rsidRPr="00E50242">
        <w:rPr>
          <w:rFonts w:ascii="Times New Roman" w:eastAsia="楷体_GB2312" w:hAnsi="Times New Roman" w:hint="eastAsia"/>
          <w:sz w:val="24"/>
          <w:szCs w:val="24"/>
        </w:rPr>
        <w:t>初值</w:t>
      </w:r>
      <w:r w:rsidRPr="00E50242">
        <w:rPr>
          <w:rFonts w:ascii="Times New Roman" w:eastAsia="楷体_GB2312" w:hAnsi="Times New Roman" w:hint="eastAsia"/>
          <w:sz w:val="24"/>
          <w:szCs w:val="24"/>
        </w:rPr>
        <w:t>47.1</w:t>
      </w:r>
      <w:r w:rsidRPr="00E50242">
        <w:rPr>
          <w:rFonts w:ascii="Times New Roman" w:eastAsia="楷体_GB2312" w:hAnsi="Times New Roman" w:hint="eastAsia"/>
          <w:sz w:val="24"/>
          <w:szCs w:val="24"/>
        </w:rPr>
        <w:t>，创</w:t>
      </w:r>
      <w:r w:rsidRPr="00E50242">
        <w:rPr>
          <w:rFonts w:ascii="Times New Roman" w:eastAsia="楷体_GB2312" w:hAnsi="Times New Roman" w:hint="eastAsia"/>
          <w:sz w:val="24"/>
          <w:szCs w:val="24"/>
        </w:rPr>
        <w:t>09</w:t>
      </w:r>
      <w:r w:rsidRPr="00E50242">
        <w:rPr>
          <w:rFonts w:ascii="Times New Roman" w:eastAsia="楷体_GB2312" w:hAnsi="Times New Roman" w:hint="eastAsia"/>
          <w:sz w:val="24"/>
          <w:szCs w:val="24"/>
        </w:rPr>
        <w:t>年</w:t>
      </w:r>
      <w:r w:rsidRPr="00E50242">
        <w:rPr>
          <w:rFonts w:ascii="Times New Roman" w:eastAsia="楷体_GB2312" w:hAnsi="Times New Roman" w:hint="eastAsia"/>
          <w:sz w:val="24"/>
          <w:szCs w:val="24"/>
        </w:rPr>
        <w:t>3</w:t>
      </w:r>
      <w:r w:rsidRPr="00E50242">
        <w:rPr>
          <w:rFonts w:ascii="Times New Roman" w:eastAsia="楷体_GB2312" w:hAnsi="Times New Roman" w:hint="eastAsia"/>
          <w:sz w:val="24"/>
          <w:szCs w:val="24"/>
        </w:rPr>
        <w:t>月来最低，低于预期的</w:t>
      </w:r>
      <w:r w:rsidRPr="00E50242">
        <w:rPr>
          <w:rFonts w:ascii="Times New Roman" w:eastAsia="楷体_GB2312" w:hAnsi="Times New Roman" w:hint="eastAsia"/>
          <w:sz w:val="24"/>
          <w:szCs w:val="24"/>
        </w:rPr>
        <w:t>48.2</w:t>
      </w:r>
      <w:r w:rsidRPr="00E50242">
        <w:rPr>
          <w:rFonts w:ascii="Times New Roman" w:eastAsia="楷体_GB2312" w:hAnsi="Times New Roman" w:hint="eastAsia"/>
          <w:sz w:val="24"/>
          <w:szCs w:val="24"/>
        </w:rPr>
        <w:t>以及前值的</w:t>
      </w:r>
      <w:r w:rsidRPr="00E50242">
        <w:rPr>
          <w:rFonts w:ascii="Times New Roman" w:eastAsia="楷体_GB2312" w:hAnsi="Times New Roman" w:hint="eastAsia"/>
          <w:sz w:val="24"/>
          <w:szCs w:val="24"/>
        </w:rPr>
        <w:t>47.8</w:t>
      </w:r>
      <w:r w:rsidRPr="00E50242">
        <w:rPr>
          <w:rFonts w:ascii="Times New Roman" w:eastAsia="楷体_GB2312" w:hAnsi="Times New Roman" w:hint="eastAsia"/>
          <w:sz w:val="24"/>
          <w:szCs w:val="24"/>
        </w:rPr>
        <w:t>。为连续第六个月低于</w:t>
      </w:r>
      <w:r w:rsidRPr="00E50242">
        <w:rPr>
          <w:rFonts w:ascii="Times New Roman" w:eastAsia="楷体_GB2312" w:hAnsi="Times New Roman" w:hint="eastAsia"/>
          <w:sz w:val="24"/>
          <w:szCs w:val="24"/>
        </w:rPr>
        <w:t>50.0</w:t>
      </w:r>
      <w:r w:rsidRPr="00E50242">
        <w:rPr>
          <w:rFonts w:ascii="Times New Roman" w:eastAsia="楷体_GB2312" w:hAnsi="Times New Roman" w:hint="eastAsia"/>
          <w:sz w:val="24"/>
          <w:szCs w:val="24"/>
        </w:rPr>
        <w:t>的临界值，显示中国制造业运行进一步放缓。制造业</w:t>
      </w:r>
      <w:r w:rsidRPr="00E50242">
        <w:rPr>
          <w:rFonts w:ascii="Times New Roman" w:eastAsia="楷体_GB2312" w:hAnsi="Times New Roman" w:hint="eastAsia"/>
          <w:sz w:val="24"/>
          <w:szCs w:val="24"/>
        </w:rPr>
        <w:t>PMI</w:t>
      </w:r>
      <w:r w:rsidRPr="00E50242">
        <w:rPr>
          <w:rFonts w:ascii="Times New Roman" w:eastAsia="楷体_GB2312" w:hAnsi="Times New Roman" w:hint="eastAsia"/>
          <w:sz w:val="24"/>
          <w:szCs w:val="24"/>
        </w:rPr>
        <w:t>为</w:t>
      </w:r>
      <w:r w:rsidRPr="00E50242">
        <w:rPr>
          <w:rFonts w:ascii="Times New Roman" w:eastAsia="楷体_GB2312" w:hAnsi="Times New Roman" w:hint="eastAsia"/>
          <w:sz w:val="24"/>
          <w:szCs w:val="24"/>
        </w:rPr>
        <w:t>49.7%</w:t>
      </w:r>
      <w:r w:rsidRPr="00E50242">
        <w:rPr>
          <w:rFonts w:ascii="Times New Roman" w:eastAsia="楷体_GB2312" w:hAnsi="Times New Roman" w:hint="eastAsia"/>
          <w:sz w:val="24"/>
          <w:szCs w:val="24"/>
        </w:rPr>
        <w:t>，比上月回落</w:t>
      </w:r>
      <w:r w:rsidRPr="00E50242">
        <w:rPr>
          <w:rFonts w:ascii="Times New Roman" w:eastAsia="楷体_GB2312" w:hAnsi="Times New Roman" w:hint="eastAsia"/>
          <w:sz w:val="24"/>
          <w:szCs w:val="24"/>
        </w:rPr>
        <w:t>0.3</w:t>
      </w:r>
      <w:r w:rsidRPr="00E50242">
        <w:rPr>
          <w:rFonts w:ascii="Times New Roman" w:eastAsia="楷体_GB2312" w:hAnsi="Times New Roman" w:hint="eastAsia"/>
          <w:sz w:val="24"/>
          <w:szCs w:val="24"/>
        </w:rPr>
        <w:t>个百分点，降至临界点下方。今年前</w:t>
      </w:r>
      <w:r w:rsidRPr="00E50242">
        <w:rPr>
          <w:rFonts w:ascii="Times New Roman" w:eastAsia="楷体_GB2312" w:hAnsi="Times New Roman" w:hint="eastAsia"/>
          <w:sz w:val="24"/>
          <w:szCs w:val="24"/>
        </w:rPr>
        <w:t>7</w:t>
      </w:r>
      <w:r w:rsidRPr="00E50242">
        <w:rPr>
          <w:rFonts w:ascii="Times New Roman" w:eastAsia="楷体_GB2312" w:hAnsi="Times New Roman" w:hint="eastAsia"/>
          <w:sz w:val="24"/>
          <w:szCs w:val="24"/>
        </w:rPr>
        <w:t>个月，全国规模以上工业企业实现利润总额</w:t>
      </w:r>
      <w:r w:rsidRPr="00E50242">
        <w:rPr>
          <w:rFonts w:ascii="Times New Roman" w:eastAsia="楷体_GB2312" w:hAnsi="Times New Roman" w:hint="eastAsia"/>
          <w:sz w:val="24"/>
          <w:szCs w:val="24"/>
        </w:rPr>
        <w:t>33173.1</w:t>
      </w:r>
      <w:r w:rsidRPr="00E50242">
        <w:rPr>
          <w:rFonts w:ascii="Times New Roman" w:eastAsia="楷体_GB2312" w:hAnsi="Times New Roman" w:hint="eastAsia"/>
          <w:sz w:val="24"/>
          <w:szCs w:val="24"/>
        </w:rPr>
        <w:t>亿</w:t>
      </w:r>
      <w:r w:rsidRPr="00E50242">
        <w:rPr>
          <w:rFonts w:ascii="Times New Roman" w:eastAsia="楷体_GB2312" w:hAnsi="Times New Roman" w:hint="eastAsia"/>
          <w:sz w:val="24"/>
          <w:szCs w:val="24"/>
        </w:rPr>
        <w:lastRenderedPageBreak/>
        <w:t>元，同比下降</w:t>
      </w:r>
      <w:r w:rsidRPr="00E50242">
        <w:rPr>
          <w:rFonts w:ascii="Times New Roman" w:eastAsia="楷体_GB2312" w:hAnsi="Times New Roman" w:hint="eastAsia"/>
          <w:sz w:val="24"/>
          <w:szCs w:val="24"/>
        </w:rPr>
        <w:t>1%</w:t>
      </w:r>
      <w:r w:rsidRPr="00E50242">
        <w:rPr>
          <w:rFonts w:ascii="Times New Roman" w:eastAsia="楷体_GB2312" w:hAnsi="Times New Roman" w:hint="eastAsia"/>
          <w:sz w:val="24"/>
          <w:szCs w:val="24"/>
        </w:rPr>
        <w:t>，降幅比上半年扩大</w:t>
      </w:r>
      <w:r w:rsidRPr="00E50242">
        <w:rPr>
          <w:rFonts w:ascii="Times New Roman" w:eastAsia="楷体_GB2312" w:hAnsi="Times New Roman" w:hint="eastAsia"/>
          <w:sz w:val="24"/>
          <w:szCs w:val="24"/>
        </w:rPr>
        <w:t>0.3</w:t>
      </w:r>
      <w:r w:rsidRPr="00E50242">
        <w:rPr>
          <w:rFonts w:ascii="Times New Roman" w:eastAsia="楷体_GB2312" w:hAnsi="Times New Roman" w:hint="eastAsia"/>
          <w:sz w:val="24"/>
          <w:szCs w:val="24"/>
        </w:rPr>
        <w:t>个百分点。</w:t>
      </w:r>
      <w:r w:rsidRPr="00E50242">
        <w:rPr>
          <w:rFonts w:ascii="Times New Roman" w:eastAsia="楷体_GB2312" w:hAnsi="Times New Roman" w:hint="eastAsia"/>
          <w:sz w:val="24"/>
          <w:szCs w:val="24"/>
        </w:rPr>
        <w:t>7</w:t>
      </w:r>
      <w:r w:rsidRPr="00E50242">
        <w:rPr>
          <w:rFonts w:ascii="Times New Roman" w:eastAsia="楷体_GB2312" w:hAnsi="Times New Roman" w:hint="eastAsia"/>
          <w:sz w:val="24"/>
          <w:szCs w:val="24"/>
        </w:rPr>
        <w:t>月规模以上工业企业实现利润总额</w:t>
      </w:r>
      <w:r w:rsidRPr="00E50242">
        <w:rPr>
          <w:rFonts w:ascii="Times New Roman" w:eastAsia="楷体_GB2312" w:hAnsi="Times New Roman" w:hint="eastAsia"/>
          <w:sz w:val="24"/>
          <w:szCs w:val="24"/>
        </w:rPr>
        <w:t>4715.6</w:t>
      </w:r>
      <w:r w:rsidRPr="00E50242">
        <w:rPr>
          <w:rFonts w:ascii="Times New Roman" w:eastAsia="楷体_GB2312" w:hAnsi="Times New Roman" w:hint="eastAsia"/>
          <w:sz w:val="24"/>
          <w:szCs w:val="24"/>
        </w:rPr>
        <w:t>亿元，同比下降</w:t>
      </w:r>
      <w:r w:rsidRPr="00E50242">
        <w:rPr>
          <w:rFonts w:ascii="Times New Roman" w:eastAsia="楷体_GB2312" w:hAnsi="Times New Roman" w:hint="eastAsia"/>
          <w:sz w:val="24"/>
          <w:szCs w:val="24"/>
        </w:rPr>
        <w:t>2.9%</w:t>
      </w:r>
      <w:r w:rsidRPr="00E50242">
        <w:rPr>
          <w:rFonts w:ascii="Times New Roman" w:eastAsia="楷体_GB2312" w:hAnsi="Times New Roman" w:hint="eastAsia"/>
          <w:sz w:val="24"/>
          <w:szCs w:val="24"/>
        </w:rPr>
        <w:t>，降幅比</w:t>
      </w:r>
      <w:r w:rsidRPr="00E50242">
        <w:rPr>
          <w:rFonts w:ascii="Times New Roman" w:eastAsia="楷体_GB2312" w:hAnsi="Times New Roman" w:hint="eastAsia"/>
          <w:sz w:val="24"/>
          <w:szCs w:val="24"/>
        </w:rPr>
        <w:t>6</w:t>
      </w:r>
      <w:r w:rsidRPr="00E50242">
        <w:rPr>
          <w:rFonts w:ascii="Times New Roman" w:eastAsia="楷体_GB2312" w:hAnsi="Times New Roman" w:hint="eastAsia"/>
          <w:sz w:val="24"/>
          <w:szCs w:val="24"/>
        </w:rPr>
        <w:t>月份扩大</w:t>
      </w:r>
      <w:r w:rsidRPr="00E50242">
        <w:rPr>
          <w:rFonts w:ascii="Times New Roman" w:eastAsia="楷体_GB2312" w:hAnsi="Times New Roman" w:hint="eastAsia"/>
          <w:sz w:val="24"/>
          <w:szCs w:val="24"/>
        </w:rPr>
        <w:t>2.6</w:t>
      </w:r>
      <w:r w:rsidRPr="00E50242">
        <w:rPr>
          <w:rFonts w:ascii="Times New Roman" w:eastAsia="楷体_GB2312" w:hAnsi="Times New Roman" w:hint="eastAsia"/>
          <w:sz w:val="24"/>
          <w:szCs w:val="24"/>
        </w:rPr>
        <w:t>个百分点。</w:t>
      </w:r>
      <w:r w:rsidRPr="00E50242">
        <w:rPr>
          <w:rFonts w:ascii="Times New Roman" w:eastAsia="楷体_GB2312" w:hAnsi="Times New Roman" w:hint="eastAsia"/>
          <w:sz w:val="24"/>
          <w:szCs w:val="24"/>
        </w:rPr>
        <w:t>2015</w:t>
      </w:r>
      <w:r w:rsidRPr="00E50242">
        <w:rPr>
          <w:rFonts w:ascii="Times New Roman" w:eastAsia="楷体_GB2312" w:hAnsi="Times New Roman" w:hint="eastAsia"/>
          <w:sz w:val="24"/>
          <w:szCs w:val="24"/>
        </w:rPr>
        <w:t>年</w:t>
      </w:r>
      <w:r w:rsidRPr="00E50242">
        <w:rPr>
          <w:rFonts w:ascii="Times New Roman" w:eastAsia="楷体_GB2312" w:hAnsi="Times New Roman" w:hint="eastAsia"/>
          <w:sz w:val="24"/>
          <w:szCs w:val="24"/>
        </w:rPr>
        <w:t>7</w:t>
      </w:r>
      <w:r w:rsidRPr="00E50242">
        <w:rPr>
          <w:rFonts w:ascii="Times New Roman" w:eastAsia="楷体_GB2312" w:hAnsi="Times New Roman" w:hint="eastAsia"/>
          <w:sz w:val="24"/>
          <w:szCs w:val="24"/>
        </w:rPr>
        <w:t>月份，社会消费品零售总额</w:t>
      </w:r>
      <w:r w:rsidRPr="00E50242">
        <w:rPr>
          <w:rFonts w:ascii="Times New Roman" w:eastAsia="楷体_GB2312" w:hAnsi="Times New Roman" w:hint="eastAsia"/>
          <w:sz w:val="24"/>
          <w:szCs w:val="24"/>
        </w:rPr>
        <w:t>24339</w:t>
      </w:r>
      <w:r w:rsidRPr="00E50242">
        <w:rPr>
          <w:rFonts w:ascii="Times New Roman" w:eastAsia="楷体_GB2312" w:hAnsi="Times New Roman" w:hint="eastAsia"/>
          <w:sz w:val="24"/>
          <w:szCs w:val="24"/>
        </w:rPr>
        <w:t>亿元，同比名义增长</w:t>
      </w:r>
      <w:r w:rsidRPr="00E50242">
        <w:rPr>
          <w:rFonts w:ascii="Times New Roman" w:eastAsia="楷体_GB2312" w:hAnsi="Times New Roman" w:hint="eastAsia"/>
          <w:sz w:val="24"/>
          <w:szCs w:val="24"/>
        </w:rPr>
        <w:t>10.5%</w:t>
      </w:r>
      <w:r w:rsidRPr="00E50242">
        <w:rPr>
          <w:rFonts w:ascii="Times New Roman" w:eastAsia="楷体_GB2312" w:hAnsi="Times New Roman" w:hint="eastAsia"/>
          <w:sz w:val="24"/>
          <w:szCs w:val="24"/>
        </w:rPr>
        <w:t>，从</w:t>
      </w:r>
      <w:r w:rsidRPr="00E50242">
        <w:rPr>
          <w:rFonts w:ascii="Times New Roman" w:eastAsia="楷体_GB2312" w:hAnsi="Times New Roman" w:hint="eastAsia"/>
          <w:sz w:val="24"/>
          <w:szCs w:val="24"/>
        </w:rPr>
        <w:t>6</w:t>
      </w:r>
      <w:r w:rsidRPr="00E50242">
        <w:rPr>
          <w:rFonts w:ascii="Times New Roman" w:eastAsia="楷体_GB2312" w:hAnsi="Times New Roman" w:hint="eastAsia"/>
          <w:sz w:val="24"/>
          <w:szCs w:val="24"/>
        </w:rPr>
        <w:t>月的</w:t>
      </w:r>
      <w:r w:rsidRPr="00E50242">
        <w:rPr>
          <w:rFonts w:ascii="Times New Roman" w:eastAsia="楷体_GB2312" w:hAnsi="Times New Roman" w:hint="eastAsia"/>
          <w:sz w:val="24"/>
          <w:szCs w:val="24"/>
        </w:rPr>
        <w:t>10.6%</w:t>
      </w:r>
      <w:r w:rsidRPr="00E50242">
        <w:rPr>
          <w:rFonts w:ascii="Times New Roman" w:eastAsia="楷体_GB2312" w:hAnsi="Times New Roman" w:hint="eastAsia"/>
          <w:sz w:val="24"/>
          <w:szCs w:val="24"/>
        </w:rPr>
        <w:t>略有回落。今年前</w:t>
      </w:r>
      <w:r w:rsidRPr="00E50242">
        <w:rPr>
          <w:rFonts w:ascii="Times New Roman" w:eastAsia="楷体_GB2312" w:hAnsi="Times New Roman" w:hint="eastAsia"/>
          <w:sz w:val="24"/>
          <w:szCs w:val="24"/>
        </w:rPr>
        <w:t>7</w:t>
      </w:r>
      <w:r w:rsidRPr="00E50242">
        <w:rPr>
          <w:rFonts w:ascii="Times New Roman" w:eastAsia="楷体_GB2312" w:hAnsi="Times New Roman" w:hint="eastAsia"/>
          <w:sz w:val="24"/>
          <w:szCs w:val="24"/>
        </w:rPr>
        <w:t>个月，全国固定资产投资</w:t>
      </w:r>
      <w:r w:rsidRPr="00E50242">
        <w:rPr>
          <w:rFonts w:ascii="Times New Roman" w:eastAsia="楷体_GB2312" w:hAnsi="Times New Roman" w:hint="eastAsia"/>
          <w:sz w:val="24"/>
          <w:szCs w:val="24"/>
        </w:rPr>
        <w:t>288469</w:t>
      </w:r>
      <w:r w:rsidRPr="00E50242">
        <w:rPr>
          <w:rFonts w:ascii="Times New Roman" w:eastAsia="楷体_GB2312" w:hAnsi="Times New Roman" w:hint="eastAsia"/>
          <w:sz w:val="24"/>
          <w:szCs w:val="24"/>
        </w:rPr>
        <w:t>亿元，同比名义增长</w:t>
      </w:r>
      <w:r w:rsidRPr="00E50242">
        <w:rPr>
          <w:rFonts w:ascii="Times New Roman" w:eastAsia="楷体_GB2312" w:hAnsi="Times New Roman" w:hint="eastAsia"/>
          <w:sz w:val="24"/>
          <w:szCs w:val="24"/>
        </w:rPr>
        <w:t>11.2%</w:t>
      </w:r>
      <w:r w:rsidRPr="00E50242">
        <w:rPr>
          <w:rFonts w:ascii="Times New Roman" w:eastAsia="楷体_GB2312" w:hAnsi="Times New Roman" w:hint="eastAsia"/>
          <w:sz w:val="24"/>
          <w:szCs w:val="24"/>
        </w:rPr>
        <w:t>，增速比上半年回落</w:t>
      </w:r>
      <w:r w:rsidRPr="00E50242">
        <w:rPr>
          <w:rFonts w:ascii="Times New Roman" w:eastAsia="楷体_GB2312" w:hAnsi="Times New Roman" w:hint="eastAsia"/>
          <w:sz w:val="24"/>
          <w:szCs w:val="24"/>
        </w:rPr>
        <w:t>0.2</w:t>
      </w:r>
      <w:r w:rsidRPr="00E50242">
        <w:rPr>
          <w:rFonts w:ascii="Times New Roman" w:eastAsia="楷体_GB2312" w:hAnsi="Times New Roman" w:hint="eastAsia"/>
          <w:sz w:val="24"/>
          <w:szCs w:val="24"/>
        </w:rPr>
        <w:t>个百分点。前</w:t>
      </w:r>
      <w:r w:rsidRPr="00E50242">
        <w:rPr>
          <w:rFonts w:ascii="Times New Roman" w:eastAsia="楷体_GB2312" w:hAnsi="Times New Roman" w:hint="eastAsia"/>
          <w:sz w:val="24"/>
          <w:szCs w:val="24"/>
        </w:rPr>
        <w:t>7</w:t>
      </w:r>
      <w:r w:rsidRPr="00E50242">
        <w:rPr>
          <w:rFonts w:ascii="Times New Roman" w:eastAsia="楷体_GB2312" w:hAnsi="Times New Roman" w:hint="eastAsia"/>
          <w:sz w:val="24"/>
          <w:szCs w:val="24"/>
        </w:rPr>
        <w:t>个月全国房地产开发投资</w:t>
      </w:r>
      <w:r w:rsidRPr="00E50242">
        <w:rPr>
          <w:rFonts w:ascii="Times New Roman" w:eastAsia="楷体_GB2312" w:hAnsi="Times New Roman" w:hint="eastAsia"/>
          <w:sz w:val="24"/>
          <w:szCs w:val="24"/>
        </w:rPr>
        <w:t>52562</w:t>
      </w:r>
      <w:r w:rsidRPr="00E50242">
        <w:rPr>
          <w:rFonts w:ascii="Times New Roman" w:eastAsia="楷体_GB2312" w:hAnsi="Times New Roman" w:hint="eastAsia"/>
          <w:sz w:val="24"/>
          <w:szCs w:val="24"/>
        </w:rPr>
        <w:t>亿元，同比名义增长</w:t>
      </w:r>
      <w:r w:rsidRPr="00E50242">
        <w:rPr>
          <w:rFonts w:ascii="Times New Roman" w:eastAsia="楷体_GB2312" w:hAnsi="Times New Roman" w:hint="eastAsia"/>
          <w:sz w:val="24"/>
          <w:szCs w:val="24"/>
        </w:rPr>
        <w:t>4.3%</w:t>
      </w:r>
      <w:r w:rsidRPr="00E50242">
        <w:rPr>
          <w:rFonts w:ascii="Times New Roman" w:eastAsia="楷体_GB2312" w:hAnsi="Times New Roman" w:hint="eastAsia"/>
          <w:sz w:val="24"/>
          <w:szCs w:val="24"/>
        </w:rPr>
        <w:t>，增速比</w:t>
      </w:r>
      <w:r w:rsidRPr="00E50242">
        <w:rPr>
          <w:rFonts w:ascii="Times New Roman" w:eastAsia="楷体_GB2312" w:hAnsi="Times New Roman" w:hint="eastAsia"/>
          <w:sz w:val="24"/>
          <w:szCs w:val="24"/>
        </w:rPr>
        <w:t>1-6</w:t>
      </w:r>
      <w:r w:rsidRPr="00E50242">
        <w:rPr>
          <w:rFonts w:ascii="Times New Roman" w:eastAsia="楷体_GB2312" w:hAnsi="Times New Roman" w:hint="eastAsia"/>
          <w:sz w:val="24"/>
          <w:szCs w:val="24"/>
        </w:rPr>
        <w:t>月份回落</w:t>
      </w:r>
      <w:r w:rsidRPr="00E50242">
        <w:rPr>
          <w:rFonts w:ascii="Times New Roman" w:eastAsia="楷体_GB2312" w:hAnsi="Times New Roman" w:hint="eastAsia"/>
          <w:sz w:val="24"/>
          <w:szCs w:val="24"/>
        </w:rPr>
        <w:t>0.3</w:t>
      </w:r>
      <w:r w:rsidRPr="00E50242">
        <w:rPr>
          <w:rFonts w:ascii="Times New Roman" w:eastAsia="楷体_GB2312" w:hAnsi="Times New Roman" w:hint="eastAsia"/>
          <w:sz w:val="24"/>
          <w:szCs w:val="24"/>
        </w:rPr>
        <w:t>个百分点。</w:t>
      </w:r>
      <w:r w:rsidRPr="00E50242">
        <w:rPr>
          <w:rFonts w:ascii="Times New Roman" w:eastAsia="楷体_GB2312" w:hAnsi="Times New Roman" w:hint="eastAsia"/>
          <w:sz w:val="24"/>
          <w:szCs w:val="24"/>
        </w:rPr>
        <w:t>2015</w:t>
      </w:r>
      <w:r w:rsidRPr="00E50242">
        <w:rPr>
          <w:rFonts w:ascii="Times New Roman" w:eastAsia="楷体_GB2312" w:hAnsi="Times New Roman" w:hint="eastAsia"/>
          <w:sz w:val="24"/>
          <w:szCs w:val="24"/>
        </w:rPr>
        <w:t>年</w:t>
      </w:r>
      <w:r w:rsidRPr="00E50242">
        <w:rPr>
          <w:rFonts w:ascii="Times New Roman" w:eastAsia="楷体_GB2312" w:hAnsi="Times New Roman" w:hint="eastAsia"/>
          <w:sz w:val="24"/>
          <w:szCs w:val="24"/>
        </w:rPr>
        <w:t>7</w:t>
      </w:r>
      <w:r w:rsidRPr="00E50242">
        <w:rPr>
          <w:rFonts w:ascii="Times New Roman" w:eastAsia="楷体_GB2312" w:hAnsi="Times New Roman" w:hint="eastAsia"/>
          <w:sz w:val="24"/>
          <w:szCs w:val="24"/>
        </w:rPr>
        <w:t>月份，规模以上工业增加值同比实际增长</w:t>
      </w:r>
      <w:r w:rsidRPr="00E50242">
        <w:rPr>
          <w:rFonts w:ascii="Times New Roman" w:eastAsia="楷体_GB2312" w:hAnsi="Times New Roman" w:hint="eastAsia"/>
          <w:sz w:val="24"/>
          <w:szCs w:val="24"/>
        </w:rPr>
        <w:t>6.0%</w:t>
      </w:r>
      <w:r w:rsidRPr="00E50242">
        <w:rPr>
          <w:rFonts w:ascii="Times New Roman" w:eastAsia="楷体_GB2312" w:hAnsi="Times New Roman" w:hint="eastAsia"/>
          <w:sz w:val="24"/>
          <w:szCs w:val="24"/>
        </w:rPr>
        <w:t>，比</w:t>
      </w:r>
      <w:r w:rsidRPr="00E50242">
        <w:rPr>
          <w:rFonts w:ascii="Times New Roman" w:eastAsia="楷体_GB2312" w:hAnsi="Times New Roman" w:hint="eastAsia"/>
          <w:sz w:val="24"/>
          <w:szCs w:val="24"/>
        </w:rPr>
        <w:t>6</w:t>
      </w:r>
      <w:r w:rsidRPr="00E50242">
        <w:rPr>
          <w:rFonts w:ascii="Times New Roman" w:eastAsia="楷体_GB2312" w:hAnsi="Times New Roman" w:hint="eastAsia"/>
          <w:sz w:val="24"/>
          <w:szCs w:val="24"/>
        </w:rPr>
        <w:t>月份回落</w:t>
      </w:r>
      <w:r w:rsidRPr="00E50242">
        <w:rPr>
          <w:rFonts w:ascii="Times New Roman" w:eastAsia="楷体_GB2312" w:hAnsi="Times New Roman" w:hint="eastAsia"/>
          <w:sz w:val="24"/>
          <w:szCs w:val="24"/>
        </w:rPr>
        <w:t>0.8</w:t>
      </w:r>
      <w:r w:rsidRPr="00E50242">
        <w:rPr>
          <w:rFonts w:ascii="Times New Roman" w:eastAsia="楷体_GB2312" w:hAnsi="Times New Roman" w:hint="eastAsia"/>
          <w:sz w:val="24"/>
          <w:szCs w:val="24"/>
        </w:rPr>
        <w:t>个百分点。</w:t>
      </w:r>
    </w:p>
    <w:p w:rsidR="00A406EC" w:rsidRDefault="00A406EC" w:rsidP="00A406EC">
      <w:pPr>
        <w:spacing w:line="360" w:lineRule="auto"/>
        <w:ind w:firstLineChars="200" w:firstLine="480"/>
        <w:jc w:val="left"/>
        <w:rPr>
          <w:rFonts w:ascii="Times New Roman" w:eastAsia="楷体_GB2312" w:hAnsi="Times New Roman"/>
          <w:sz w:val="24"/>
          <w:szCs w:val="24"/>
        </w:rPr>
      </w:pPr>
      <w:r w:rsidRPr="00E50242">
        <w:rPr>
          <w:rFonts w:ascii="Times New Roman" w:eastAsia="楷体_GB2312" w:hAnsi="Times New Roman" w:hint="eastAsia"/>
          <w:sz w:val="24"/>
          <w:szCs w:val="24"/>
        </w:rPr>
        <w:t>中国</w:t>
      </w:r>
      <w:r w:rsidRPr="00E50242">
        <w:rPr>
          <w:rFonts w:ascii="Times New Roman" w:eastAsia="楷体_GB2312" w:hAnsi="Times New Roman" w:hint="eastAsia"/>
          <w:sz w:val="24"/>
          <w:szCs w:val="24"/>
        </w:rPr>
        <w:t>CPI</w:t>
      </w:r>
      <w:r w:rsidRPr="00E50242">
        <w:rPr>
          <w:rFonts w:ascii="Times New Roman" w:eastAsia="楷体_GB2312" w:hAnsi="Times New Roman" w:hint="eastAsia"/>
          <w:sz w:val="24"/>
          <w:szCs w:val="24"/>
        </w:rPr>
        <w:t>超预期，但</w:t>
      </w:r>
      <w:r w:rsidRPr="00E50242">
        <w:rPr>
          <w:rFonts w:ascii="Times New Roman" w:eastAsia="楷体_GB2312" w:hAnsi="Times New Roman" w:hint="eastAsia"/>
          <w:sz w:val="24"/>
          <w:szCs w:val="24"/>
        </w:rPr>
        <w:t>PPI</w:t>
      </w:r>
      <w:r w:rsidRPr="00E50242">
        <w:rPr>
          <w:rFonts w:ascii="Times New Roman" w:eastAsia="楷体_GB2312" w:hAnsi="Times New Roman" w:hint="eastAsia"/>
          <w:sz w:val="24"/>
          <w:szCs w:val="24"/>
        </w:rPr>
        <w:t>持续下行，且降幅超预期，显示需求放缓的压力还是比较大。中国</w:t>
      </w:r>
      <w:r w:rsidRPr="00E50242">
        <w:rPr>
          <w:rFonts w:ascii="Times New Roman" w:eastAsia="楷体_GB2312" w:hAnsi="Times New Roman" w:hint="eastAsia"/>
          <w:sz w:val="24"/>
          <w:szCs w:val="24"/>
        </w:rPr>
        <w:t>7</w:t>
      </w:r>
      <w:r w:rsidRPr="00E50242">
        <w:rPr>
          <w:rFonts w:ascii="Times New Roman" w:eastAsia="楷体_GB2312" w:hAnsi="Times New Roman" w:hint="eastAsia"/>
          <w:sz w:val="24"/>
          <w:szCs w:val="24"/>
        </w:rPr>
        <w:t>月</w:t>
      </w:r>
      <w:r w:rsidRPr="00E50242">
        <w:rPr>
          <w:rFonts w:ascii="Times New Roman" w:eastAsia="楷体_GB2312" w:hAnsi="Times New Roman" w:hint="eastAsia"/>
          <w:sz w:val="24"/>
          <w:szCs w:val="24"/>
        </w:rPr>
        <w:t>M2</w:t>
      </w:r>
      <w:r w:rsidRPr="00E50242">
        <w:rPr>
          <w:rFonts w:ascii="Times New Roman" w:eastAsia="楷体_GB2312" w:hAnsi="Times New Roman" w:hint="eastAsia"/>
          <w:sz w:val="24"/>
          <w:szCs w:val="24"/>
        </w:rPr>
        <w:t>货币供应同比</w:t>
      </w:r>
      <w:r w:rsidRPr="00E50242">
        <w:rPr>
          <w:rFonts w:ascii="Times New Roman" w:eastAsia="楷体_GB2312" w:hAnsi="Times New Roman" w:hint="eastAsia"/>
          <w:sz w:val="24"/>
          <w:szCs w:val="24"/>
        </w:rPr>
        <w:t>13.3%</w:t>
      </w:r>
      <w:r w:rsidRPr="00E50242">
        <w:rPr>
          <w:rFonts w:ascii="Times New Roman" w:eastAsia="楷体_GB2312" w:hAnsi="Times New Roman" w:hint="eastAsia"/>
          <w:sz w:val="24"/>
          <w:szCs w:val="24"/>
        </w:rPr>
        <w:t>，预期</w:t>
      </w:r>
      <w:r w:rsidRPr="00E50242">
        <w:rPr>
          <w:rFonts w:ascii="Times New Roman" w:eastAsia="楷体_GB2312" w:hAnsi="Times New Roman" w:hint="eastAsia"/>
          <w:sz w:val="24"/>
          <w:szCs w:val="24"/>
        </w:rPr>
        <w:t>11.7%</w:t>
      </w:r>
      <w:r w:rsidRPr="00E50242">
        <w:rPr>
          <w:rFonts w:ascii="Times New Roman" w:eastAsia="楷体_GB2312" w:hAnsi="Times New Roman" w:hint="eastAsia"/>
          <w:sz w:val="24"/>
          <w:szCs w:val="24"/>
        </w:rPr>
        <w:t>，前值</w:t>
      </w:r>
      <w:r w:rsidRPr="00E50242">
        <w:rPr>
          <w:rFonts w:ascii="Times New Roman" w:eastAsia="楷体_GB2312" w:hAnsi="Times New Roman" w:hint="eastAsia"/>
          <w:sz w:val="24"/>
          <w:szCs w:val="24"/>
        </w:rPr>
        <w:t>11.8%</w:t>
      </w:r>
      <w:r w:rsidRPr="00E50242">
        <w:rPr>
          <w:rFonts w:ascii="Times New Roman" w:eastAsia="楷体_GB2312" w:hAnsi="Times New Roman" w:hint="eastAsia"/>
          <w:sz w:val="24"/>
          <w:szCs w:val="24"/>
        </w:rPr>
        <w:t>。中国</w:t>
      </w:r>
      <w:r w:rsidRPr="00E50242">
        <w:rPr>
          <w:rFonts w:ascii="Times New Roman" w:eastAsia="楷体_GB2312" w:hAnsi="Times New Roman" w:hint="eastAsia"/>
          <w:sz w:val="24"/>
          <w:szCs w:val="24"/>
        </w:rPr>
        <w:t>7</w:t>
      </w:r>
      <w:r w:rsidRPr="00E50242">
        <w:rPr>
          <w:rFonts w:ascii="Times New Roman" w:eastAsia="楷体_GB2312" w:hAnsi="Times New Roman" w:hint="eastAsia"/>
          <w:sz w:val="24"/>
          <w:szCs w:val="24"/>
        </w:rPr>
        <w:t>月社会融资规模</w:t>
      </w:r>
      <w:r w:rsidRPr="00E50242">
        <w:rPr>
          <w:rFonts w:ascii="Times New Roman" w:eastAsia="楷体_GB2312" w:hAnsi="Times New Roman" w:hint="eastAsia"/>
          <w:sz w:val="24"/>
          <w:szCs w:val="24"/>
        </w:rPr>
        <w:t>7188</w:t>
      </w:r>
      <w:r w:rsidRPr="00E50242">
        <w:rPr>
          <w:rFonts w:ascii="Times New Roman" w:eastAsia="楷体_GB2312" w:hAnsi="Times New Roman" w:hint="eastAsia"/>
          <w:sz w:val="24"/>
          <w:szCs w:val="24"/>
        </w:rPr>
        <w:t>亿元，预期</w:t>
      </w:r>
      <w:r w:rsidRPr="00E50242">
        <w:rPr>
          <w:rFonts w:ascii="Times New Roman" w:eastAsia="楷体_GB2312" w:hAnsi="Times New Roman" w:hint="eastAsia"/>
          <w:sz w:val="24"/>
          <w:szCs w:val="24"/>
        </w:rPr>
        <w:t>10067</w:t>
      </w:r>
      <w:r w:rsidRPr="00E50242">
        <w:rPr>
          <w:rFonts w:ascii="Times New Roman" w:eastAsia="楷体_GB2312" w:hAnsi="Times New Roman" w:hint="eastAsia"/>
          <w:sz w:val="24"/>
          <w:szCs w:val="24"/>
        </w:rPr>
        <w:t>亿元，前值</w:t>
      </w:r>
      <w:r w:rsidRPr="00E50242">
        <w:rPr>
          <w:rFonts w:ascii="Times New Roman" w:eastAsia="楷体_GB2312" w:hAnsi="Times New Roman" w:hint="eastAsia"/>
          <w:sz w:val="24"/>
          <w:szCs w:val="24"/>
        </w:rPr>
        <w:t>18581</w:t>
      </w:r>
      <w:r w:rsidRPr="00E50242">
        <w:rPr>
          <w:rFonts w:ascii="Times New Roman" w:eastAsia="楷体_GB2312" w:hAnsi="Times New Roman" w:hint="eastAsia"/>
          <w:sz w:val="24"/>
          <w:szCs w:val="24"/>
        </w:rPr>
        <w:t>亿元。中国</w:t>
      </w:r>
      <w:r w:rsidRPr="00E50242">
        <w:rPr>
          <w:rFonts w:ascii="Times New Roman" w:eastAsia="楷体_GB2312" w:hAnsi="Times New Roman" w:hint="eastAsia"/>
          <w:sz w:val="24"/>
          <w:szCs w:val="24"/>
        </w:rPr>
        <w:t>7</w:t>
      </w:r>
      <w:r w:rsidRPr="00E50242">
        <w:rPr>
          <w:rFonts w:ascii="Times New Roman" w:eastAsia="楷体_GB2312" w:hAnsi="Times New Roman" w:hint="eastAsia"/>
          <w:sz w:val="24"/>
          <w:szCs w:val="24"/>
        </w:rPr>
        <w:t>月新增人民币贷款</w:t>
      </w:r>
      <w:r w:rsidRPr="00E50242">
        <w:rPr>
          <w:rFonts w:ascii="Times New Roman" w:eastAsia="楷体_GB2312" w:hAnsi="Times New Roman" w:hint="eastAsia"/>
          <w:sz w:val="24"/>
          <w:szCs w:val="24"/>
        </w:rPr>
        <w:t>1.48</w:t>
      </w:r>
      <w:r w:rsidRPr="00E50242">
        <w:rPr>
          <w:rFonts w:ascii="Times New Roman" w:eastAsia="楷体_GB2312" w:hAnsi="Times New Roman" w:hint="eastAsia"/>
          <w:sz w:val="24"/>
          <w:szCs w:val="24"/>
        </w:rPr>
        <w:t>万亿元，预期</w:t>
      </w:r>
      <w:r w:rsidRPr="00E50242">
        <w:rPr>
          <w:rFonts w:ascii="Times New Roman" w:eastAsia="楷体_GB2312" w:hAnsi="Times New Roman" w:hint="eastAsia"/>
          <w:sz w:val="24"/>
          <w:szCs w:val="24"/>
        </w:rPr>
        <w:t>7500</w:t>
      </w:r>
      <w:r w:rsidRPr="00E50242">
        <w:rPr>
          <w:rFonts w:ascii="Times New Roman" w:eastAsia="楷体_GB2312" w:hAnsi="Times New Roman" w:hint="eastAsia"/>
          <w:sz w:val="24"/>
          <w:szCs w:val="24"/>
        </w:rPr>
        <w:t>亿元，前值</w:t>
      </w:r>
      <w:r w:rsidRPr="00E50242">
        <w:rPr>
          <w:rFonts w:ascii="Times New Roman" w:eastAsia="楷体_GB2312" w:hAnsi="Times New Roman" w:hint="eastAsia"/>
          <w:sz w:val="24"/>
          <w:szCs w:val="24"/>
        </w:rPr>
        <w:t>12791</w:t>
      </w:r>
      <w:r w:rsidRPr="00E50242">
        <w:rPr>
          <w:rFonts w:ascii="Times New Roman" w:eastAsia="楷体_GB2312" w:hAnsi="Times New Roman" w:hint="eastAsia"/>
          <w:sz w:val="24"/>
          <w:szCs w:val="24"/>
        </w:rPr>
        <w:t>亿元。</w:t>
      </w:r>
      <w:r w:rsidRPr="00E50242">
        <w:rPr>
          <w:rFonts w:ascii="Times New Roman" w:eastAsia="楷体_GB2312" w:hAnsi="Times New Roman" w:hint="eastAsia"/>
          <w:sz w:val="24"/>
          <w:szCs w:val="24"/>
        </w:rPr>
        <w:t>M2</w:t>
      </w:r>
      <w:r w:rsidRPr="00E50242">
        <w:rPr>
          <w:rFonts w:ascii="Times New Roman" w:eastAsia="楷体_GB2312" w:hAnsi="Times New Roman" w:hint="eastAsia"/>
          <w:sz w:val="24"/>
          <w:szCs w:val="24"/>
        </w:rPr>
        <w:t>货币供应量和新增人民币贷款都明显好于预期，主要是由于资本市场的大幅波动导致非银行金融机构贷款增加。</w:t>
      </w:r>
    </w:p>
    <w:p w:rsidR="00A406EC" w:rsidRDefault="00A406EC" w:rsidP="00A406EC">
      <w:pPr>
        <w:spacing w:line="360" w:lineRule="auto"/>
        <w:ind w:firstLineChars="200" w:firstLine="480"/>
        <w:jc w:val="left"/>
        <w:rPr>
          <w:rFonts w:ascii="Times New Roman" w:eastAsia="楷体_GB2312" w:hAnsi="Times New Roman"/>
          <w:sz w:val="24"/>
          <w:szCs w:val="24"/>
        </w:rPr>
      </w:pPr>
      <w:r w:rsidRPr="00E50242">
        <w:rPr>
          <w:rFonts w:ascii="Times New Roman" w:eastAsia="楷体_GB2312" w:hAnsi="Times New Roman" w:hint="eastAsia"/>
          <w:sz w:val="24"/>
          <w:szCs w:val="24"/>
        </w:rPr>
        <w:t>下半年以来，经济下行的压力有增无减，中国在货币和财政政策上陆续推出措施。中国央行</w:t>
      </w:r>
      <w:r w:rsidRPr="00E50242">
        <w:rPr>
          <w:rFonts w:ascii="Times New Roman" w:eastAsia="楷体_GB2312" w:hAnsi="Times New Roman" w:hint="eastAsia"/>
          <w:sz w:val="24"/>
          <w:szCs w:val="24"/>
        </w:rPr>
        <w:t>8</w:t>
      </w:r>
      <w:r w:rsidRPr="00E50242">
        <w:rPr>
          <w:rFonts w:ascii="Times New Roman" w:eastAsia="楷体_GB2312" w:hAnsi="Times New Roman" w:hint="eastAsia"/>
          <w:sz w:val="24"/>
          <w:szCs w:val="24"/>
        </w:rPr>
        <w:t>月</w:t>
      </w:r>
      <w:r w:rsidRPr="00E50242">
        <w:rPr>
          <w:rFonts w:ascii="Times New Roman" w:eastAsia="楷体_GB2312" w:hAnsi="Times New Roman" w:hint="eastAsia"/>
          <w:sz w:val="24"/>
          <w:szCs w:val="24"/>
        </w:rPr>
        <w:t>26</w:t>
      </w:r>
      <w:r w:rsidRPr="00E50242">
        <w:rPr>
          <w:rFonts w:ascii="Times New Roman" w:eastAsia="楷体_GB2312" w:hAnsi="Times New Roman" w:hint="eastAsia"/>
          <w:sz w:val="24"/>
          <w:szCs w:val="24"/>
        </w:rPr>
        <w:t>日宣布降准降息，以降低企业融资成本，保持银行体系流动性合理充裕，引导货币信贷平稳适度增长。并额外降低县域农村商业银行、农村合作银行、农村信用社和村镇银行等农村金融机构准备金率</w:t>
      </w:r>
      <w:r w:rsidRPr="00E50242">
        <w:rPr>
          <w:rFonts w:ascii="Times New Roman" w:eastAsia="楷体_GB2312" w:hAnsi="Times New Roman" w:hint="eastAsia"/>
          <w:sz w:val="24"/>
          <w:szCs w:val="24"/>
        </w:rPr>
        <w:t>0.5</w:t>
      </w:r>
      <w:r w:rsidRPr="00E50242">
        <w:rPr>
          <w:rFonts w:ascii="Times New Roman" w:eastAsia="楷体_GB2312" w:hAnsi="Times New Roman" w:hint="eastAsia"/>
          <w:sz w:val="24"/>
          <w:szCs w:val="24"/>
        </w:rPr>
        <w:t>个百分点。额外下调金融租赁公司和汽车金融公司准备金率</w:t>
      </w:r>
      <w:r w:rsidRPr="00E50242">
        <w:rPr>
          <w:rFonts w:ascii="Times New Roman" w:eastAsia="楷体_GB2312" w:hAnsi="Times New Roman" w:hint="eastAsia"/>
          <w:sz w:val="24"/>
          <w:szCs w:val="24"/>
        </w:rPr>
        <w:t>3</w:t>
      </w:r>
      <w:r w:rsidRPr="00E50242">
        <w:rPr>
          <w:rFonts w:ascii="Times New Roman" w:eastAsia="楷体_GB2312" w:hAnsi="Times New Roman" w:hint="eastAsia"/>
          <w:sz w:val="24"/>
          <w:szCs w:val="24"/>
        </w:rPr>
        <w:t>个百分点，鼓励其发挥好扩大消费的作用。</w:t>
      </w:r>
      <w:r w:rsidRPr="00E50242">
        <w:rPr>
          <w:rFonts w:ascii="Times New Roman" w:eastAsia="楷体_GB2312" w:hAnsi="Times New Roman" w:hint="eastAsia"/>
          <w:sz w:val="24"/>
          <w:szCs w:val="24"/>
        </w:rPr>
        <w:t>8</w:t>
      </w:r>
      <w:r w:rsidRPr="00E50242">
        <w:rPr>
          <w:rFonts w:ascii="Times New Roman" w:eastAsia="楷体_GB2312" w:hAnsi="Times New Roman" w:hint="eastAsia"/>
          <w:sz w:val="24"/>
          <w:szCs w:val="24"/>
        </w:rPr>
        <w:t>月份以来，央行累计开展逆回购操作投放流动性</w:t>
      </w:r>
      <w:r w:rsidRPr="00E50242">
        <w:rPr>
          <w:rFonts w:ascii="Times New Roman" w:eastAsia="楷体_GB2312" w:hAnsi="Times New Roman" w:hint="eastAsia"/>
          <w:sz w:val="24"/>
          <w:szCs w:val="24"/>
        </w:rPr>
        <w:t>7150</w:t>
      </w:r>
      <w:r w:rsidRPr="00E50242">
        <w:rPr>
          <w:rFonts w:ascii="Times New Roman" w:eastAsia="楷体_GB2312" w:hAnsi="Times New Roman" w:hint="eastAsia"/>
          <w:sz w:val="24"/>
          <w:szCs w:val="24"/>
        </w:rPr>
        <w:t>亿元，开展中央国库现金管理商业银行定期存款操作投放流动性</w:t>
      </w:r>
      <w:r w:rsidRPr="00E50242">
        <w:rPr>
          <w:rFonts w:ascii="Times New Roman" w:eastAsia="楷体_GB2312" w:hAnsi="Times New Roman" w:hint="eastAsia"/>
          <w:sz w:val="24"/>
          <w:szCs w:val="24"/>
        </w:rPr>
        <w:t>600</w:t>
      </w:r>
      <w:r w:rsidRPr="00E50242">
        <w:rPr>
          <w:rFonts w:ascii="Times New Roman" w:eastAsia="楷体_GB2312" w:hAnsi="Times New Roman" w:hint="eastAsia"/>
          <w:sz w:val="24"/>
          <w:szCs w:val="24"/>
        </w:rPr>
        <w:t>亿元。今年以来央行还三次下调</w:t>
      </w:r>
      <w:r w:rsidRPr="00E50242">
        <w:rPr>
          <w:rFonts w:ascii="Times New Roman" w:eastAsia="楷体_GB2312" w:hAnsi="Times New Roman" w:hint="eastAsia"/>
          <w:sz w:val="24"/>
          <w:szCs w:val="24"/>
        </w:rPr>
        <w:t>PSL</w:t>
      </w:r>
      <w:r w:rsidRPr="00E50242">
        <w:rPr>
          <w:rFonts w:ascii="Times New Roman" w:eastAsia="楷体_GB2312" w:hAnsi="Times New Roman" w:hint="eastAsia"/>
          <w:sz w:val="24"/>
          <w:szCs w:val="24"/>
        </w:rPr>
        <w:t>资金利率，以加大对棚户区改造的支持力度，促进降低融资成本。除了货币政策，基建项目审批速度也明显加快。</w:t>
      </w:r>
      <w:r w:rsidRPr="00E50242">
        <w:rPr>
          <w:rFonts w:ascii="Times New Roman" w:eastAsia="楷体_GB2312" w:hAnsi="Times New Roman" w:hint="eastAsia"/>
          <w:sz w:val="24"/>
          <w:szCs w:val="24"/>
        </w:rPr>
        <w:t>8</w:t>
      </w:r>
      <w:r w:rsidRPr="00E50242">
        <w:rPr>
          <w:rFonts w:ascii="Times New Roman" w:eastAsia="楷体_GB2312" w:hAnsi="Times New Roman" w:hint="eastAsia"/>
          <w:sz w:val="24"/>
          <w:szCs w:val="24"/>
        </w:rPr>
        <w:t>月</w:t>
      </w:r>
      <w:r w:rsidRPr="00E50242">
        <w:rPr>
          <w:rFonts w:ascii="Times New Roman" w:eastAsia="楷体_GB2312" w:hAnsi="Times New Roman" w:hint="eastAsia"/>
          <w:sz w:val="24"/>
          <w:szCs w:val="24"/>
        </w:rPr>
        <w:t>11</w:t>
      </w:r>
      <w:r w:rsidRPr="00E50242">
        <w:rPr>
          <w:rFonts w:ascii="Times New Roman" w:eastAsia="楷体_GB2312" w:hAnsi="Times New Roman" w:hint="eastAsia"/>
          <w:sz w:val="24"/>
          <w:szCs w:val="24"/>
        </w:rPr>
        <w:t>日消息，国家发改委推出城市轨道交通、现代物流、新兴产业、增强制造业核心竞争力等</w:t>
      </w:r>
      <w:r w:rsidRPr="00E50242">
        <w:rPr>
          <w:rFonts w:ascii="Times New Roman" w:eastAsia="楷体_GB2312" w:hAnsi="Times New Roman" w:hint="eastAsia"/>
          <w:sz w:val="24"/>
          <w:szCs w:val="24"/>
        </w:rPr>
        <w:t>4</w:t>
      </w:r>
      <w:r w:rsidRPr="00E50242">
        <w:rPr>
          <w:rFonts w:ascii="Times New Roman" w:eastAsia="楷体_GB2312" w:hAnsi="Times New Roman" w:hint="eastAsia"/>
          <w:sz w:val="24"/>
          <w:szCs w:val="24"/>
        </w:rPr>
        <w:t>个新的重大工程包，财政部要求收回中央各部门和各级地方政府存量资金统筹用于稳增长急需领域，中央层面稳投资迹象明显。与之相对，地方政府稳投资的步伐同样在加快。</w:t>
      </w:r>
      <w:r w:rsidRPr="00E50242">
        <w:rPr>
          <w:rFonts w:ascii="Times New Roman" w:eastAsia="楷体_GB2312" w:hAnsi="Times New Roman" w:hint="eastAsia"/>
          <w:sz w:val="24"/>
          <w:szCs w:val="24"/>
        </w:rPr>
        <w:t>9</w:t>
      </w:r>
      <w:r w:rsidRPr="00E50242">
        <w:rPr>
          <w:rFonts w:ascii="Times New Roman" w:eastAsia="楷体_GB2312" w:hAnsi="Times New Roman" w:hint="eastAsia"/>
          <w:sz w:val="24"/>
          <w:szCs w:val="24"/>
        </w:rPr>
        <w:t>月</w:t>
      </w:r>
      <w:r w:rsidRPr="00E50242">
        <w:rPr>
          <w:rFonts w:ascii="Times New Roman" w:eastAsia="楷体_GB2312" w:hAnsi="Times New Roman" w:hint="eastAsia"/>
          <w:sz w:val="24"/>
          <w:szCs w:val="24"/>
        </w:rPr>
        <w:t>6</w:t>
      </w:r>
      <w:r w:rsidRPr="00E50242">
        <w:rPr>
          <w:rFonts w:ascii="Times New Roman" w:eastAsia="楷体_GB2312" w:hAnsi="Times New Roman" w:hint="eastAsia"/>
          <w:sz w:val="24"/>
          <w:szCs w:val="24"/>
        </w:rPr>
        <w:t>日消息，财政部的第二批</w:t>
      </w:r>
      <w:r w:rsidRPr="00E50242">
        <w:rPr>
          <w:rFonts w:ascii="Times New Roman" w:eastAsia="楷体_GB2312" w:hAnsi="Times New Roman" w:hint="eastAsia"/>
          <w:sz w:val="24"/>
          <w:szCs w:val="24"/>
        </w:rPr>
        <w:t>PPP</w:t>
      </w:r>
      <w:r w:rsidRPr="00E50242">
        <w:rPr>
          <w:rFonts w:ascii="Times New Roman" w:eastAsia="楷体_GB2312" w:hAnsi="Times New Roman" w:hint="eastAsia"/>
          <w:sz w:val="24"/>
          <w:szCs w:val="24"/>
        </w:rPr>
        <w:t>示范项目已经评审完毕，并将会于近期公布。对于第二批示范项目，财政部将会实施以奖代补的形势进行奖励。总体来看，近期中国货币政策和财政政策落实开始加快，</w:t>
      </w:r>
      <w:r>
        <w:rPr>
          <w:rFonts w:ascii="Times New Roman" w:eastAsia="楷体_GB2312" w:hAnsi="Times New Roman" w:hint="eastAsia"/>
          <w:sz w:val="24"/>
          <w:szCs w:val="24"/>
        </w:rPr>
        <w:t>但</w:t>
      </w:r>
      <w:r w:rsidRPr="00E50242">
        <w:rPr>
          <w:rFonts w:ascii="Times New Roman" w:eastAsia="楷体_GB2312" w:hAnsi="Times New Roman" w:hint="eastAsia"/>
          <w:sz w:val="24"/>
          <w:szCs w:val="24"/>
        </w:rPr>
        <w:t>政策后续效果</w:t>
      </w:r>
      <w:r>
        <w:rPr>
          <w:rFonts w:ascii="Times New Roman" w:eastAsia="楷体_GB2312" w:hAnsi="Times New Roman" w:hint="eastAsia"/>
          <w:sz w:val="24"/>
          <w:szCs w:val="24"/>
        </w:rPr>
        <w:t>仍需继续观察</w:t>
      </w:r>
      <w:r w:rsidRPr="00E50242">
        <w:rPr>
          <w:rFonts w:ascii="Times New Roman" w:eastAsia="楷体_GB2312" w:hAnsi="Times New Roman" w:hint="eastAsia"/>
          <w:sz w:val="24"/>
          <w:szCs w:val="24"/>
        </w:rPr>
        <w:t>。</w:t>
      </w:r>
    </w:p>
    <w:p w:rsidR="00A406EC" w:rsidRDefault="00A406EC" w:rsidP="00A406EC">
      <w:pPr>
        <w:spacing w:line="360" w:lineRule="auto"/>
        <w:ind w:firstLineChars="200" w:firstLine="562"/>
        <w:jc w:val="left"/>
        <w:rPr>
          <w:rFonts w:eastAsia="楷体_GB2312"/>
          <w:b/>
          <w:sz w:val="28"/>
          <w:szCs w:val="28"/>
        </w:rPr>
      </w:pPr>
      <w:r>
        <w:rPr>
          <w:rFonts w:eastAsia="楷体_GB2312" w:hint="eastAsia"/>
          <w:b/>
          <w:sz w:val="28"/>
          <w:szCs w:val="28"/>
        </w:rPr>
        <w:lastRenderedPageBreak/>
        <w:t>需求淡季来临，原油延续低位震荡</w:t>
      </w:r>
    </w:p>
    <w:p w:rsidR="00A406EC" w:rsidRDefault="00A406EC" w:rsidP="00A406EC">
      <w:pPr>
        <w:adjustRightInd w:val="0"/>
        <w:snapToGrid w:val="0"/>
        <w:spacing w:line="360" w:lineRule="auto"/>
        <w:ind w:firstLineChars="200" w:firstLine="480"/>
        <w:rPr>
          <w:rFonts w:ascii="Times New Roman" w:eastAsia="楷体_GB2312" w:hAnsi="Times New Roman"/>
          <w:sz w:val="24"/>
          <w:szCs w:val="24"/>
        </w:rPr>
      </w:pPr>
      <w:r w:rsidRPr="00784EBB">
        <w:rPr>
          <w:rFonts w:ascii="Times New Roman" w:eastAsia="楷体_GB2312" w:hAnsi="Times New Roman" w:hint="eastAsia"/>
          <w:sz w:val="24"/>
          <w:szCs w:val="24"/>
        </w:rPr>
        <w:t>美国能源信息署数据显示，截止</w:t>
      </w:r>
      <w:r w:rsidRPr="00784EBB">
        <w:rPr>
          <w:rFonts w:ascii="Times New Roman" w:eastAsia="楷体_GB2312" w:hAnsi="Times New Roman" w:hint="eastAsia"/>
          <w:sz w:val="24"/>
          <w:szCs w:val="24"/>
        </w:rPr>
        <w:t>8</w:t>
      </w:r>
      <w:r w:rsidRPr="00784EBB">
        <w:rPr>
          <w:rFonts w:ascii="Times New Roman" w:eastAsia="楷体_GB2312" w:hAnsi="Times New Roman" w:hint="eastAsia"/>
          <w:sz w:val="24"/>
          <w:szCs w:val="24"/>
        </w:rPr>
        <w:t>月</w:t>
      </w:r>
      <w:r w:rsidRPr="00784EBB">
        <w:rPr>
          <w:rFonts w:ascii="Times New Roman" w:eastAsia="楷体_GB2312" w:hAnsi="Times New Roman" w:hint="eastAsia"/>
          <w:sz w:val="24"/>
          <w:szCs w:val="24"/>
        </w:rPr>
        <w:t>28</w:t>
      </w:r>
      <w:r w:rsidRPr="00784EBB">
        <w:rPr>
          <w:rFonts w:ascii="Times New Roman" w:eastAsia="楷体_GB2312" w:hAnsi="Times New Roman" w:hint="eastAsia"/>
          <w:sz w:val="24"/>
          <w:szCs w:val="24"/>
        </w:rPr>
        <w:t>日当周，美国原油库存量</w:t>
      </w:r>
      <w:r w:rsidRPr="00784EBB">
        <w:rPr>
          <w:rFonts w:ascii="Times New Roman" w:eastAsia="楷体_GB2312" w:hAnsi="Times New Roman" w:hint="eastAsia"/>
          <w:sz w:val="24"/>
          <w:szCs w:val="24"/>
        </w:rPr>
        <w:t>4.5543</w:t>
      </w:r>
      <w:r w:rsidRPr="00784EBB">
        <w:rPr>
          <w:rFonts w:ascii="Times New Roman" w:eastAsia="楷体_GB2312" w:hAnsi="Times New Roman" w:hint="eastAsia"/>
          <w:sz w:val="24"/>
          <w:szCs w:val="24"/>
        </w:rPr>
        <w:t>亿桶，比前一周增长</w:t>
      </w:r>
      <w:r w:rsidRPr="00784EBB">
        <w:rPr>
          <w:rFonts w:ascii="Times New Roman" w:eastAsia="楷体_GB2312" w:hAnsi="Times New Roman" w:hint="eastAsia"/>
          <w:sz w:val="24"/>
          <w:szCs w:val="24"/>
        </w:rPr>
        <w:t>467</w:t>
      </w:r>
      <w:r w:rsidRPr="00784EBB">
        <w:rPr>
          <w:rFonts w:ascii="Times New Roman" w:eastAsia="楷体_GB2312" w:hAnsi="Times New Roman" w:hint="eastAsia"/>
          <w:sz w:val="24"/>
          <w:szCs w:val="24"/>
        </w:rPr>
        <w:t>万桶；美国汽油库存总量</w:t>
      </w:r>
      <w:r w:rsidRPr="00784EBB">
        <w:rPr>
          <w:rFonts w:ascii="Times New Roman" w:eastAsia="楷体_GB2312" w:hAnsi="Times New Roman" w:hint="eastAsia"/>
          <w:sz w:val="24"/>
          <w:szCs w:val="24"/>
        </w:rPr>
        <w:t>2.1416</w:t>
      </w:r>
      <w:r w:rsidRPr="00784EBB">
        <w:rPr>
          <w:rFonts w:ascii="Times New Roman" w:eastAsia="楷体_GB2312" w:hAnsi="Times New Roman" w:hint="eastAsia"/>
          <w:sz w:val="24"/>
          <w:szCs w:val="24"/>
        </w:rPr>
        <w:t>亿桶，比前一周下降</w:t>
      </w:r>
      <w:r w:rsidRPr="00784EBB">
        <w:rPr>
          <w:rFonts w:ascii="Times New Roman" w:eastAsia="楷体_GB2312" w:hAnsi="Times New Roman" w:hint="eastAsia"/>
          <w:sz w:val="24"/>
          <w:szCs w:val="24"/>
        </w:rPr>
        <w:t>27</w:t>
      </w:r>
      <w:r w:rsidRPr="00784EBB">
        <w:rPr>
          <w:rFonts w:ascii="Times New Roman" w:eastAsia="楷体_GB2312" w:hAnsi="Times New Roman" w:hint="eastAsia"/>
          <w:sz w:val="24"/>
          <w:szCs w:val="24"/>
        </w:rPr>
        <w:t>万桶。原油库存比去年同期高</w:t>
      </w:r>
      <w:r w:rsidRPr="00784EBB">
        <w:rPr>
          <w:rFonts w:ascii="Times New Roman" w:eastAsia="楷体_GB2312" w:hAnsi="Times New Roman" w:hint="eastAsia"/>
          <w:sz w:val="24"/>
          <w:szCs w:val="24"/>
        </w:rPr>
        <w:t>26.7%</w:t>
      </w:r>
      <w:r w:rsidRPr="00784EBB">
        <w:rPr>
          <w:rFonts w:ascii="Times New Roman" w:eastAsia="楷体_GB2312" w:hAnsi="Times New Roman" w:hint="eastAsia"/>
          <w:sz w:val="24"/>
          <w:szCs w:val="24"/>
        </w:rPr>
        <w:t>；汽油库存比去年同期高</w:t>
      </w:r>
      <w:r w:rsidRPr="00784EBB">
        <w:rPr>
          <w:rFonts w:ascii="Times New Roman" w:eastAsia="楷体_GB2312" w:hAnsi="Times New Roman" w:hint="eastAsia"/>
          <w:sz w:val="24"/>
          <w:szCs w:val="24"/>
        </w:rPr>
        <w:t>2%</w:t>
      </w:r>
      <w:r w:rsidRPr="00784EBB">
        <w:rPr>
          <w:rFonts w:ascii="Times New Roman" w:eastAsia="楷体_GB2312" w:hAnsi="Times New Roman" w:hint="eastAsia"/>
          <w:sz w:val="24"/>
          <w:szCs w:val="24"/>
        </w:rPr>
        <w:t>，原油库存较前期已有明显的降低，但</w:t>
      </w:r>
      <w:r>
        <w:rPr>
          <w:rFonts w:ascii="Times New Roman" w:eastAsia="楷体_GB2312" w:hAnsi="Times New Roman" w:hint="eastAsia"/>
          <w:sz w:val="24"/>
          <w:szCs w:val="24"/>
        </w:rPr>
        <w:t>仍</w:t>
      </w:r>
      <w:r w:rsidRPr="00784EBB">
        <w:rPr>
          <w:rFonts w:ascii="Times New Roman" w:eastAsia="楷体_GB2312" w:hAnsi="Times New Roman" w:hint="eastAsia"/>
          <w:sz w:val="24"/>
          <w:szCs w:val="24"/>
        </w:rPr>
        <w:t>在过去</w:t>
      </w:r>
      <w:r w:rsidRPr="00784EBB">
        <w:rPr>
          <w:rFonts w:ascii="Times New Roman" w:eastAsia="楷体_GB2312" w:hAnsi="Times New Roman" w:hint="eastAsia"/>
          <w:sz w:val="24"/>
          <w:szCs w:val="24"/>
        </w:rPr>
        <w:t xml:space="preserve">80 </w:t>
      </w:r>
      <w:r w:rsidRPr="00784EBB">
        <w:rPr>
          <w:rFonts w:ascii="Times New Roman" w:eastAsia="楷体_GB2312" w:hAnsi="Times New Roman" w:hint="eastAsia"/>
          <w:sz w:val="24"/>
          <w:szCs w:val="24"/>
        </w:rPr>
        <w:t>年来同期最高水平，炼油厂开工率</w:t>
      </w:r>
      <w:r w:rsidRPr="00784EBB">
        <w:rPr>
          <w:rFonts w:ascii="Times New Roman" w:eastAsia="楷体_GB2312" w:hAnsi="Times New Roman" w:hint="eastAsia"/>
          <w:sz w:val="24"/>
          <w:szCs w:val="24"/>
        </w:rPr>
        <w:t>92.8%</w:t>
      </w:r>
      <w:r w:rsidRPr="00784EBB">
        <w:rPr>
          <w:rFonts w:ascii="Times New Roman" w:eastAsia="楷体_GB2312" w:hAnsi="Times New Roman" w:hint="eastAsia"/>
          <w:sz w:val="24"/>
          <w:szCs w:val="24"/>
        </w:rPr>
        <w:t>，比前一周下降</w:t>
      </w:r>
      <w:r w:rsidRPr="00784EBB">
        <w:rPr>
          <w:rFonts w:ascii="Times New Roman" w:eastAsia="楷体_GB2312" w:hAnsi="Times New Roman" w:hint="eastAsia"/>
          <w:sz w:val="24"/>
          <w:szCs w:val="24"/>
        </w:rPr>
        <w:t>1.7</w:t>
      </w:r>
      <w:r w:rsidRPr="00784EBB">
        <w:rPr>
          <w:rFonts w:ascii="Times New Roman" w:eastAsia="楷体_GB2312" w:hAnsi="Times New Roman" w:hint="eastAsia"/>
          <w:sz w:val="24"/>
          <w:szCs w:val="24"/>
        </w:rPr>
        <w:t>个百分点。随着原油的下跌，管理基金的原油持仓发生重大变化，净多头持仓明显上涨，数据显示，截至</w:t>
      </w:r>
      <w:r w:rsidRPr="00784EBB">
        <w:rPr>
          <w:rFonts w:ascii="Times New Roman" w:eastAsia="楷体_GB2312" w:hAnsi="Times New Roman" w:hint="eastAsia"/>
          <w:sz w:val="24"/>
          <w:szCs w:val="24"/>
        </w:rPr>
        <w:t>9</w:t>
      </w:r>
      <w:r w:rsidRPr="00784EBB">
        <w:rPr>
          <w:rFonts w:ascii="Times New Roman" w:eastAsia="楷体_GB2312" w:hAnsi="Times New Roman" w:hint="eastAsia"/>
          <w:sz w:val="24"/>
          <w:szCs w:val="24"/>
        </w:rPr>
        <w:t>月</w:t>
      </w:r>
      <w:r w:rsidRPr="00784EBB">
        <w:rPr>
          <w:rFonts w:ascii="Times New Roman" w:eastAsia="楷体_GB2312" w:hAnsi="Times New Roman" w:hint="eastAsia"/>
          <w:sz w:val="24"/>
          <w:szCs w:val="24"/>
        </w:rPr>
        <w:t>1</w:t>
      </w:r>
      <w:r w:rsidRPr="00784EBB">
        <w:rPr>
          <w:rFonts w:ascii="Times New Roman" w:eastAsia="楷体_GB2312" w:hAnsi="Times New Roman" w:hint="eastAsia"/>
          <w:sz w:val="24"/>
          <w:szCs w:val="24"/>
        </w:rPr>
        <w:t>日当周，纽约商品交易所</w:t>
      </w:r>
      <w:r w:rsidRPr="00784EBB">
        <w:rPr>
          <w:rFonts w:ascii="Times New Roman" w:eastAsia="楷体_GB2312" w:hAnsi="Times New Roman" w:hint="eastAsia"/>
          <w:sz w:val="24"/>
          <w:szCs w:val="24"/>
        </w:rPr>
        <w:t>(NYMEX)</w:t>
      </w:r>
      <w:r w:rsidRPr="00784EBB">
        <w:rPr>
          <w:rFonts w:ascii="Times New Roman" w:eastAsia="楷体_GB2312" w:hAnsi="Times New Roman" w:hint="eastAsia"/>
          <w:sz w:val="24"/>
          <w:szCs w:val="24"/>
        </w:rPr>
        <w:t>原油及伦敦洲际交易所</w:t>
      </w:r>
      <w:r w:rsidRPr="00784EBB">
        <w:rPr>
          <w:rFonts w:ascii="Times New Roman" w:eastAsia="楷体_GB2312" w:hAnsi="Times New Roman" w:hint="eastAsia"/>
          <w:sz w:val="24"/>
          <w:szCs w:val="24"/>
        </w:rPr>
        <w:t xml:space="preserve">(ICE)WTI </w:t>
      </w:r>
      <w:r w:rsidRPr="00784EBB">
        <w:rPr>
          <w:rFonts w:ascii="Times New Roman" w:eastAsia="楷体_GB2312" w:hAnsi="Times New Roman" w:hint="eastAsia"/>
          <w:sz w:val="24"/>
          <w:szCs w:val="24"/>
        </w:rPr>
        <w:t>原油期货与期权净多头共增加</w:t>
      </w:r>
      <w:r w:rsidRPr="00784EBB">
        <w:rPr>
          <w:rFonts w:ascii="Times New Roman" w:eastAsia="楷体_GB2312" w:hAnsi="Times New Roman" w:hint="eastAsia"/>
          <w:sz w:val="24"/>
          <w:szCs w:val="24"/>
        </w:rPr>
        <w:t>14768</w:t>
      </w:r>
      <w:r w:rsidRPr="00784EBB">
        <w:rPr>
          <w:rFonts w:ascii="Times New Roman" w:eastAsia="楷体_GB2312" w:hAnsi="Times New Roman" w:hint="eastAsia"/>
          <w:sz w:val="24"/>
          <w:szCs w:val="24"/>
        </w:rPr>
        <w:t>手至</w:t>
      </w:r>
      <w:r w:rsidRPr="00784EBB">
        <w:rPr>
          <w:rFonts w:ascii="Times New Roman" w:eastAsia="楷体_GB2312" w:hAnsi="Times New Roman" w:hint="eastAsia"/>
          <w:sz w:val="24"/>
          <w:szCs w:val="24"/>
        </w:rPr>
        <w:t>116377</w:t>
      </w:r>
      <w:r w:rsidRPr="00784EBB">
        <w:rPr>
          <w:rFonts w:ascii="Times New Roman" w:eastAsia="楷体_GB2312" w:hAnsi="Times New Roman" w:hint="eastAsia"/>
          <w:sz w:val="24"/>
          <w:szCs w:val="24"/>
        </w:rPr>
        <w:t>手。</w:t>
      </w:r>
    </w:p>
    <w:p w:rsidR="00A406EC" w:rsidRDefault="00A406EC" w:rsidP="00A406EC">
      <w:pPr>
        <w:adjustRightInd w:val="0"/>
        <w:snapToGrid w:val="0"/>
        <w:spacing w:line="360" w:lineRule="auto"/>
        <w:ind w:firstLineChars="200" w:firstLine="480"/>
        <w:rPr>
          <w:rFonts w:ascii="Times New Roman" w:eastAsia="楷体_GB2312" w:hAnsi="Times New Roman"/>
          <w:sz w:val="24"/>
          <w:szCs w:val="24"/>
        </w:rPr>
      </w:pPr>
      <w:r w:rsidRPr="00784EBB">
        <w:rPr>
          <w:rFonts w:ascii="Times New Roman" w:eastAsia="楷体_GB2312" w:hAnsi="Times New Roman" w:hint="eastAsia"/>
          <w:sz w:val="24"/>
          <w:szCs w:val="24"/>
        </w:rPr>
        <w:t>产量方面，石油输出国组织</w:t>
      </w:r>
      <w:r w:rsidRPr="00784EBB">
        <w:rPr>
          <w:rFonts w:ascii="Times New Roman" w:eastAsia="楷体_GB2312" w:hAnsi="Times New Roman" w:hint="eastAsia"/>
          <w:sz w:val="24"/>
          <w:szCs w:val="24"/>
        </w:rPr>
        <w:t>(OPEC)8</w:t>
      </w:r>
      <w:r w:rsidRPr="00784EBB">
        <w:rPr>
          <w:rFonts w:ascii="Times New Roman" w:eastAsia="楷体_GB2312" w:hAnsi="Times New Roman" w:hint="eastAsia"/>
          <w:sz w:val="24"/>
          <w:szCs w:val="24"/>
        </w:rPr>
        <w:t>月的原油产量下降约</w:t>
      </w:r>
      <w:r w:rsidRPr="00784EBB">
        <w:rPr>
          <w:rFonts w:ascii="Times New Roman" w:eastAsia="楷体_GB2312" w:hAnsi="Times New Roman" w:hint="eastAsia"/>
          <w:sz w:val="24"/>
          <w:szCs w:val="24"/>
        </w:rPr>
        <w:t>22</w:t>
      </w:r>
      <w:r w:rsidRPr="00784EBB">
        <w:rPr>
          <w:rFonts w:ascii="Times New Roman" w:eastAsia="楷体_GB2312" w:hAnsi="Times New Roman" w:hint="eastAsia"/>
          <w:sz w:val="24"/>
          <w:szCs w:val="24"/>
        </w:rPr>
        <w:t>万桶</w:t>
      </w:r>
      <w:r w:rsidRPr="00784EBB">
        <w:rPr>
          <w:rFonts w:ascii="Times New Roman" w:eastAsia="楷体_GB2312" w:hAnsi="Times New Roman" w:hint="eastAsia"/>
          <w:sz w:val="24"/>
          <w:szCs w:val="24"/>
        </w:rPr>
        <w:t>/</w:t>
      </w:r>
      <w:r w:rsidRPr="00784EBB">
        <w:rPr>
          <w:rFonts w:ascii="Times New Roman" w:eastAsia="楷体_GB2312" w:hAnsi="Times New Roman" w:hint="eastAsia"/>
          <w:sz w:val="24"/>
          <w:szCs w:val="24"/>
        </w:rPr>
        <w:t>日，主要是因因伊拉克南方原油装载量下降且北方的管道原油运输量也下降。美国石油产量峰值在今年</w:t>
      </w:r>
      <w:r w:rsidRPr="00784EBB">
        <w:rPr>
          <w:rFonts w:ascii="Times New Roman" w:eastAsia="楷体_GB2312" w:hAnsi="Times New Roman" w:hint="eastAsia"/>
          <w:sz w:val="24"/>
          <w:szCs w:val="24"/>
        </w:rPr>
        <w:t xml:space="preserve">4 </w:t>
      </w:r>
      <w:r w:rsidRPr="00784EBB">
        <w:rPr>
          <w:rFonts w:ascii="Times New Roman" w:eastAsia="楷体_GB2312" w:hAnsi="Times New Roman" w:hint="eastAsia"/>
          <w:sz w:val="24"/>
          <w:szCs w:val="24"/>
        </w:rPr>
        <w:t>月份，产量达到</w:t>
      </w:r>
      <w:r w:rsidRPr="00784EBB">
        <w:rPr>
          <w:rFonts w:ascii="Times New Roman" w:eastAsia="楷体_GB2312" w:hAnsi="Times New Roman" w:hint="eastAsia"/>
          <w:sz w:val="24"/>
          <w:szCs w:val="24"/>
        </w:rPr>
        <w:t>960</w:t>
      </w:r>
      <w:r w:rsidRPr="00784EBB">
        <w:rPr>
          <w:rFonts w:ascii="Times New Roman" w:eastAsia="楷体_GB2312" w:hAnsi="Times New Roman" w:hint="eastAsia"/>
          <w:sz w:val="24"/>
          <w:szCs w:val="24"/>
        </w:rPr>
        <w:t>万桶</w:t>
      </w:r>
      <w:r w:rsidRPr="00784EBB">
        <w:rPr>
          <w:rFonts w:ascii="Times New Roman" w:eastAsia="楷体_GB2312" w:hAnsi="Times New Roman" w:hint="eastAsia"/>
          <w:sz w:val="24"/>
          <w:szCs w:val="24"/>
        </w:rPr>
        <w:t>/</w:t>
      </w:r>
      <w:r w:rsidRPr="00784EBB">
        <w:rPr>
          <w:rFonts w:ascii="Times New Roman" w:eastAsia="楷体_GB2312" w:hAnsi="Times New Roman" w:hint="eastAsia"/>
          <w:sz w:val="24"/>
          <w:szCs w:val="24"/>
        </w:rPr>
        <w:t>天，随后产量逐渐下降，但美国在线钻井连续六周增加。油田服务机构贝克休斯公布的数据显示，截止</w:t>
      </w:r>
      <w:r w:rsidRPr="00784EBB">
        <w:rPr>
          <w:rFonts w:ascii="Times New Roman" w:eastAsia="楷体_GB2312" w:hAnsi="Times New Roman" w:hint="eastAsia"/>
          <w:sz w:val="24"/>
          <w:szCs w:val="24"/>
        </w:rPr>
        <w:t>8</w:t>
      </w:r>
      <w:r w:rsidRPr="00784EBB">
        <w:rPr>
          <w:rFonts w:ascii="Times New Roman" w:eastAsia="楷体_GB2312" w:hAnsi="Times New Roman" w:hint="eastAsia"/>
          <w:sz w:val="24"/>
          <w:szCs w:val="24"/>
        </w:rPr>
        <w:t>月</w:t>
      </w:r>
      <w:r w:rsidRPr="00784EBB">
        <w:rPr>
          <w:rFonts w:ascii="Times New Roman" w:eastAsia="楷体_GB2312" w:hAnsi="Times New Roman" w:hint="eastAsia"/>
          <w:sz w:val="24"/>
          <w:szCs w:val="24"/>
        </w:rPr>
        <w:t>28</w:t>
      </w:r>
      <w:r w:rsidRPr="00784EBB">
        <w:rPr>
          <w:rFonts w:ascii="Times New Roman" w:eastAsia="楷体_GB2312" w:hAnsi="Times New Roman" w:hint="eastAsia"/>
          <w:sz w:val="24"/>
          <w:szCs w:val="24"/>
        </w:rPr>
        <w:t>日的一周，美国在线钻探油井数量</w:t>
      </w:r>
      <w:r w:rsidRPr="00784EBB">
        <w:rPr>
          <w:rFonts w:ascii="Times New Roman" w:eastAsia="楷体_GB2312" w:hAnsi="Times New Roman" w:hint="eastAsia"/>
          <w:sz w:val="24"/>
          <w:szCs w:val="24"/>
        </w:rPr>
        <w:t xml:space="preserve">675 </w:t>
      </w:r>
      <w:r w:rsidRPr="00784EBB">
        <w:rPr>
          <w:rFonts w:ascii="Times New Roman" w:eastAsia="楷体_GB2312" w:hAnsi="Times New Roman" w:hint="eastAsia"/>
          <w:sz w:val="24"/>
          <w:szCs w:val="24"/>
        </w:rPr>
        <w:t>座，比前周增加</w:t>
      </w:r>
      <w:r w:rsidRPr="00784EBB">
        <w:rPr>
          <w:rFonts w:ascii="Times New Roman" w:eastAsia="楷体_GB2312" w:hAnsi="Times New Roman" w:hint="eastAsia"/>
          <w:sz w:val="24"/>
          <w:szCs w:val="24"/>
        </w:rPr>
        <w:t>1</w:t>
      </w:r>
      <w:r w:rsidRPr="00784EBB">
        <w:rPr>
          <w:rFonts w:ascii="Times New Roman" w:eastAsia="楷体_GB2312" w:hAnsi="Times New Roman" w:hint="eastAsia"/>
          <w:sz w:val="24"/>
          <w:szCs w:val="24"/>
        </w:rPr>
        <w:t>座。</w:t>
      </w:r>
    </w:p>
    <w:p w:rsidR="00A406EC" w:rsidRDefault="00A406EC" w:rsidP="00A406EC">
      <w:pPr>
        <w:adjustRightInd w:val="0"/>
        <w:snapToGrid w:val="0"/>
        <w:spacing w:line="360" w:lineRule="auto"/>
        <w:ind w:firstLineChars="200" w:firstLine="480"/>
        <w:rPr>
          <w:rFonts w:ascii="Times New Roman" w:eastAsia="楷体_GB2312" w:hAnsi="Times New Roman"/>
          <w:sz w:val="24"/>
          <w:szCs w:val="24"/>
        </w:rPr>
      </w:pPr>
      <w:r w:rsidRPr="00784EBB">
        <w:rPr>
          <w:rFonts w:ascii="Times New Roman" w:eastAsia="楷体_GB2312" w:hAnsi="Times New Roman" w:hint="eastAsia"/>
          <w:sz w:val="24"/>
          <w:szCs w:val="24"/>
        </w:rPr>
        <w:t>8</w:t>
      </w:r>
      <w:r w:rsidRPr="00784EBB">
        <w:rPr>
          <w:rFonts w:ascii="Times New Roman" w:eastAsia="楷体_GB2312" w:hAnsi="Times New Roman" w:hint="eastAsia"/>
          <w:sz w:val="24"/>
          <w:szCs w:val="24"/>
        </w:rPr>
        <w:t>月原油大幅下跌，创出</w:t>
      </w:r>
      <w:r w:rsidRPr="00784EBB">
        <w:rPr>
          <w:rFonts w:ascii="Times New Roman" w:eastAsia="楷体_GB2312" w:hAnsi="Times New Roman" w:hint="eastAsia"/>
          <w:sz w:val="24"/>
          <w:szCs w:val="24"/>
        </w:rPr>
        <w:t>6</w:t>
      </w:r>
      <w:r w:rsidRPr="00784EBB">
        <w:rPr>
          <w:rFonts w:ascii="Times New Roman" w:eastAsia="楷体_GB2312" w:hAnsi="Times New Roman" w:hint="eastAsia"/>
          <w:sz w:val="24"/>
          <w:szCs w:val="24"/>
        </w:rPr>
        <w:t>年半来的新低，但是在跌破</w:t>
      </w:r>
      <w:r w:rsidRPr="00784EBB">
        <w:rPr>
          <w:rFonts w:ascii="Times New Roman" w:eastAsia="楷体_GB2312" w:hAnsi="Times New Roman" w:hint="eastAsia"/>
          <w:sz w:val="24"/>
          <w:szCs w:val="24"/>
        </w:rPr>
        <w:t>40</w:t>
      </w:r>
      <w:r w:rsidRPr="00784EBB">
        <w:rPr>
          <w:rFonts w:ascii="Times New Roman" w:eastAsia="楷体_GB2312" w:hAnsi="Times New Roman" w:hint="eastAsia"/>
          <w:sz w:val="24"/>
          <w:szCs w:val="24"/>
        </w:rPr>
        <w:t>美元</w:t>
      </w:r>
      <w:r w:rsidRPr="00784EBB">
        <w:rPr>
          <w:rFonts w:ascii="Times New Roman" w:eastAsia="楷体_GB2312" w:hAnsi="Times New Roman" w:hint="eastAsia"/>
          <w:sz w:val="24"/>
          <w:szCs w:val="24"/>
        </w:rPr>
        <w:t>/</w:t>
      </w:r>
      <w:r w:rsidRPr="00784EBB">
        <w:rPr>
          <w:rFonts w:ascii="Times New Roman" w:eastAsia="楷体_GB2312" w:hAnsi="Times New Roman" w:hint="eastAsia"/>
          <w:sz w:val="24"/>
          <w:szCs w:val="24"/>
        </w:rPr>
        <w:t>桶后快速反弹。当前原油基本面仍旧偏弱，</w:t>
      </w:r>
      <w:r w:rsidRPr="00784EBB">
        <w:rPr>
          <w:rFonts w:ascii="Times New Roman" w:eastAsia="楷体_GB2312" w:hAnsi="Times New Roman" w:hint="eastAsia"/>
          <w:sz w:val="24"/>
          <w:szCs w:val="24"/>
        </w:rPr>
        <w:t xml:space="preserve">OPEC </w:t>
      </w:r>
      <w:r w:rsidRPr="00784EBB">
        <w:rPr>
          <w:rFonts w:ascii="Times New Roman" w:eastAsia="楷体_GB2312" w:hAnsi="Times New Roman" w:hint="eastAsia"/>
          <w:sz w:val="24"/>
          <w:szCs w:val="24"/>
        </w:rPr>
        <w:t>未就减产达成一致，产量有可能继续增加，美国原油产量见顶后缓慢下滑，夏季驾车高峰过去后，炼厂开工率将下滑，原油需求将减少。</w:t>
      </w:r>
    </w:p>
    <w:p w:rsidR="00A406EC" w:rsidRPr="00764FFC" w:rsidRDefault="00A406EC" w:rsidP="00A406EC">
      <w:pPr>
        <w:pStyle w:val="Default"/>
        <w:snapToGrid w:val="0"/>
        <w:spacing w:line="360" w:lineRule="auto"/>
        <w:ind w:firstLineChars="200" w:firstLine="480"/>
        <w:rPr>
          <w:rFonts w:eastAsia="楷体_GB2312"/>
          <w:color w:val="auto"/>
          <w:kern w:val="2"/>
        </w:rPr>
      </w:pPr>
      <w:r w:rsidRPr="00764FFC">
        <w:rPr>
          <w:rFonts w:eastAsia="楷体_GB2312" w:hint="eastAsia"/>
          <w:color w:val="auto"/>
          <w:kern w:val="2"/>
        </w:rPr>
        <w:t>亚洲乙烯继续大幅下滑，价格跌至</w:t>
      </w:r>
      <w:r w:rsidRPr="00764FFC">
        <w:rPr>
          <w:rFonts w:eastAsia="楷体_GB2312"/>
          <w:color w:val="auto"/>
          <w:kern w:val="2"/>
        </w:rPr>
        <w:t>5</w:t>
      </w:r>
      <w:r w:rsidRPr="00764FFC">
        <w:rPr>
          <w:rFonts w:eastAsia="楷体_GB2312" w:hint="eastAsia"/>
          <w:color w:val="auto"/>
          <w:kern w:val="2"/>
        </w:rPr>
        <w:t>年以来新低。伴随乙烯不断探底，亚洲部分生产企业意向</w:t>
      </w:r>
      <w:r w:rsidRPr="00764FFC">
        <w:rPr>
          <w:rFonts w:eastAsia="楷体_GB2312"/>
          <w:color w:val="auto"/>
          <w:kern w:val="2"/>
        </w:rPr>
        <w:t>10</w:t>
      </w:r>
      <w:r w:rsidRPr="00764FFC">
        <w:rPr>
          <w:rFonts w:eastAsia="楷体_GB2312" w:hint="eastAsia"/>
          <w:color w:val="auto"/>
          <w:kern w:val="2"/>
        </w:rPr>
        <w:t>月份以后装置检修，后期支撑将逐渐增强。乙烯暴跌压制市场心态，加之国内石化企业降价，国内</w:t>
      </w:r>
      <w:r w:rsidRPr="00764FFC">
        <w:rPr>
          <w:rFonts w:eastAsia="楷体_GB2312"/>
          <w:color w:val="auto"/>
          <w:kern w:val="2"/>
        </w:rPr>
        <w:t>PE</w:t>
      </w:r>
      <w:r w:rsidRPr="00764FFC">
        <w:rPr>
          <w:rFonts w:eastAsia="楷体_GB2312" w:hint="eastAsia"/>
          <w:color w:val="auto"/>
          <w:kern w:val="2"/>
        </w:rPr>
        <w:t>现货跌多涨少，下滑趋势明显</w:t>
      </w:r>
    </w:p>
    <w:p w:rsidR="00A406EC" w:rsidRDefault="00A406EC" w:rsidP="00A406EC">
      <w:pPr>
        <w:spacing w:line="360" w:lineRule="auto"/>
        <w:ind w:firstLineChars="200" w:firstLine="562"/>
        <w:jc w:val="left"/>
        <w:rPr>
          <w:rFonts w:eastAsia="楷体_GB2312"/>
          <w:b/>
          <w:sz w:val="28"/>
          <w:szCs w:val="28"/>
        </w:rPr>
      </w:pPr>
      <w:r w:rsidRPr="00F8448B">
        <w:rPr>
          <w:rFonts w:eastAsia="楷体_GB2312" w:hint="eastAsia"/>
          <w:b/>
          <w:sz w:val="28"/>
          <w:szCs w:val="28"/>
        </w:rPr>
        <w:t>LLDPE</w:t>
      </w:r>
      <w:r w:rsidRPr="00F8448B">
        <w:rPr>
          <w:rFonts w:eastAsia="楷体_GB2312" w:hint="eastAsia"/>
          <w:b/>
          <w:sz w:val="28"/>
          <w:szCs w:val="28"/>
        </w:rPr>
        <w:t>供给增幅较大</w:t>
      </w:r>
    </w:p>
    <w:p w:rsidR="00A406EC" w:rsidRPr="00F328A9" w:rsidRDefault="00A406EC" w:rsidP="00A406EC">
      <w:pPr>
        <w:autoSpaceDE w:val="0"/>
        <w:autoSpaceDN w:val="0"/>
        <w:adjustRightInd w:val="0"/>
        <w:spacing w:line="360" w:lineRule="auto"/>
        <w:ind w:firstLineChars="200" w:firstLine="480"/>
        <w:jc w:val="left"/>
        <w:rPr>
          <w:rFonts w:ascii="Times New Roman" w:eastAsia="楷体_GB2312" w:hAnsi="Times New Roman"/>
          <w:sz w:val="24"/>
          <w:szCs w:val="24"/>
        </w:rPr>
      </w:pPr>
      <w:r w:rsidRPr="00F328A9">
        <w:rPr>
          <w:rFonts w:ascii="Times New Roman" w:eastAsia="楷体_GB2312" w:hAnsi="Times New Roman"/>
          <w:sz w:val="24"/>
          <w:szCs w:val="24"/>
        </w:rPr>
        <w:t>2015</w:t>
      </w:r>
      <w:r w:rsidRPr="00F328A9">
        <w:rPr>
          <w:rFonts w:ascii="Times New Roman" w:eastAsia="楷体_GB2312" w:hAnsi="Times New Roman" w:hint="eastAsia"/>
          <w:sz w:val="24"/>
          <w:szCs w:val="24"/>
        </w:rPr>
        <w:t>年</w:t>
      </w:r>
      <w:r w:rsidRPr="00F328A9">
        <w:rPr>
          <w:rFonts w:ascii="Times New Roman" w:eastAsia="楷体_GB2312" w:hAnsi="Times New Roman"/>
          <w:sz w:val="24"/>
          <w:szCs w:val="24"/>
        </w:rPr>
        <w:t>7</w:t>
      </w:r>
      <w:r w:rsidRPr="00F328A9">
        <w:rPr>
          <w:rFonts w:ascii="Times New Roman" w:eastAsia="楷体_GB2312" w:hAnsi="Times New Roman" w:hint="eastAsia"/>
          <w:sz w:val="24"/>
          <w:szCs w:val="24"/>
        </w:rPr>
        <w:t>月国内</w:t>
      </w:r>
      <w:r w:rsidRPr="00F328A9">
        <w:rPr>
          <w:rFonts w:ascii="Times New Roman" w:eastAsia="楷体_GB2312" w:hAnsi="Times New Roman"/>
          <w:sz w:val="24"/>
          <w:szCs w:val="24"/>
        </w:rPr>
        <w:t>PE</w:t>
      </w:r>
      <w:r w:rsidRPr="00F328A9">
        <w:rPr>
          <w:rFonts w:ascii="Times New Roman" w:eastAsia="楷体_GB2312" w:hAnsi="Times New Roman" w:hint="eastAsia"/>
          <w:sz w:val="24"/>
          <w:szCs w:val="24"/>
        </w:rPr>
        <w:t>产量约</w:t>
      </w:r>
      <w:r w:rsidRPr="00F328A9">
        <w:rPr>
          <w:rFonts w:ascii="Times New Roman" w:eastAsia="楷体_GB2312" w:hAnsi="Times New Roman"/>
          <w:sz w:val="24"/>
          <w:szCs w:val="24"/>
        </w:rPr>
        <w:t>110.62</w:t>
      </w:r>
      <w:r w:rsidRPr="00F328A9">
        <w:rPr>
          <w:rFonts w:ascii="Times New Roman" w:eastAsia="楷体_GB2312" w:hAnsi="Times New Roman" w:hint="eastAsia"/>
          <w:sz w:val="24"/>
          <w:szCs w:val="24"/>
        </w:rPr>
        <w:t>万吨，环比增加</w:t>
      </w:r>
      <w:r w:rsidRPr="00F328A9">
        <w:rPr>
          <w:rFonts w:ascii="Times New Roman" w:eastAsia="楷体_GB2312" w:hAnsi="Times New Roman"/>
          <w:sz w:val="24"/>
          <w:szCs w:val="24"/>
        </w:rPr>
        <w:t>2.25%</w:t>
      </w:r>
      <w:r w:rsidRPr="00F328A9">
        <w:rPr>
          <w:rFonts w:ascii="Times New Roman" w:eastAsia="楷体_GB2312" w:hAnsi="Times New Roman" w:hint="eastAsia"/>
          <w:sz w:val="24"/>
          <w:szCs w:val="24"/>
        </w:rPr>
        <w:t>，其中</w:t>
      </w:r>
      <w:r w:rsidRPr="00F328A9">
        <w:rPr>
          <w:rFonts w:ascii="Times New Roman" w:eastAsia="楷体_GB2312" w:hAnsi="Times New Roman"/>
          <w:sz w:val="24"/>
          <w:szCs w:val="24"/>
        </w:rPr>
        <w:t>LLDPE</w:t>
      </w:r>
      <w:r w:rsidRPr="00F328A9">
        <w:rPr>
          <w:rFonts w:ascii="Times New Roman" w:eastAsia="楷体_GB2312" w:hAnsi="Times New Roman" w:hint="eastAsia"/>
          <w:sz w:val="24"/>
          <w:szCs w:val="24"/>
        </w:rPr>
        <w:t>产量</w:t>
      </w:r>
      <w:r w:rsidRPr="00F328A9">
        <w:rPr>
          <w:rFonts w:ascii="Times New Roman" w:eastAsia="楷体_GB2312" w:hAnsi="Times New Roman"/>
          <w:sz w:val="24"/>
          <w:szCs w:val="24"/>
        </w:rPr>
        <w:t>49.23</w:t>
      </w:r>
      <w:r w:rsidRPr="00F328A9">
        <w:rPr>
          <w:rFonts w:ascii="Times New Roman" w:eastAsia="楷体_GB2312" w:hAnsi="Times New Roman" w:hint="eastAsia"/>
          <w:sz w:val="24"/>
          <w:szCs w:val="24"/>
        </w:rPr>
        <w:t>万吨，</w:t>
      </w:r>
      <w:r w:rsidRPr="00F328A9">
        <w:rPr>
          <w:rFonts w:ascii="Times New Roman" w:eastAsia="楷体_GB2312" w:hAnsi="Times New Roman"/>
          <w:sz w:val="24"/>
          <w:szCs w:val="24"/>
        </w:rPr>
        <w:t>LDPE</w:t>
      </w:r>
      <w:r w:rsidRPr="00F328A9">
        <w:rPr>
          <w:rFonts w:ascii="Times New Roman" w:eastAsia="楷体_GB2312" w:hAnsi="Times New Roman" w:hint="eastAsia"/>
          <w:sz w:val="24"/>
          <w:szCs w:val="24"/>
        </w:rPr>
        <w:t>产量</w:t>
      </w:r>
      <w:r w:rsidRPr="00F328A9">
        <w:rPr>
          <w:rFonts w:ascii="Times New Roman" w:eastAsia="楷体_GB2312" w:hAnsi="Times New Roman"/>
          <w:sz w:val="24"/>
          <w:szCs w:val="24"/>
        </w:rPr>
        <w:t>15.96</w:t>
      </w:r>
      <w:r w:rsidRPr="00F328A9">
        <w:rPr>
          <w:rFonts w:ascii="Times New Roman" w:eastAsia="楷体_GB2312" w:hAnsi="Times New Roman" w:hint="eastAsia"/>
          <w:sz w:val="24"/>
          <w:szCs w:val="24"/>
        </w:rPr>
        <w:t>万吨，</w:t>
      </w:r>
      <w:r w:rsidRPr="00F328A9">
        <w:rPr>
          <w:rFonts w:ascii="Times New Roman" w:eastAsia="楷体_GB2312" w:hAnsi="Times New Roman"/>
          <w:sz w:val="24"/>
          <w:szCs w:val="24"/>
        </w:rPr>
        <w:t>HDPE</w:t>
      </w:r>
      <w:r w:rsidRPr="00F328A9">
        <w:rPr>
          <w:rFonts w:ascii="Times New Roman" w:eastAsia="楷体_GB2312" w:hAnsi="Times New Roman" w:hint="eastAsia"/>
          <w:sz w:val="24"/>
          <w:szCs w:val="24"/>
        </w:rPr>
        <w:t>产量</w:t>
      </w:r>
      <w:r w:rsidRPr="00F328A9">
        <w:rPr>
          <w:rFonts w:ascii="Times New Roman" w:eastAsia="楷体_GB2312" w:hAnsi="Times New Roman"/>
          <w:sz w:val="24"/>
          <w:szCs w:val="24"/>
        </w:rPr>
        <w:t>45.43</w:t>
      </w:r>
      <w:r w:rsidRPr="00F328A9">
        <w:rPr>
          <w:rFonts w:ascii="Times New Roman" w:eastAsia="楷体_GB2312" w:hAnsi="Times New Roman" w:hint="eastAsia"/>
          <w:sz w:val="24"/>
          <w:szCs w:val="24"/>
        </w:rPr>
        <w:t>万吨。</w:t>
      </w:r>
      <w:r w:rsidRPr="00493B07">
        <w:rPr>
          <w:rFonts w:ascii="Times New Roman" w:eastAsia="楷体_GB2312" w:hAnsi="Times New Roman" w:hint="eastAsia"/>
          <w:sz w:val="24"/>
          <w:szCs w:val="24"/>
        </w:rPr>
        <w:t>今年前</w:t>
      </w:r>
      <w:r w:rsidRPr="00493B07">
        <w:rPr>
          <w:rFonts w:ascii="Times New Roman" w:eastAsia="楷体_GB2312" w:hAnsi="Times New Roman" w:hint="eastAsia"/>
          <w:sz w:val="24"/>
          <w:szCs w:val="24"/>
        </w:rPr>
        <w:t>7</w:t>
      </w:r>
      <w:r w:rsidRPr="00493B07">
        <w:rPr>
          <w:rFonts w:ascii="Times New Roman" w:eastAsia="楷体_GB2312" w:hAnsi="Times New Roman" w:hint="eastAsia"/>
          <w:sz w:val="24"/>
          <w:szCs w:val="24"/>
        </w:rPr>
        <w:t>个月国内</w:t>
      </w:r>
      <w:r w:rsidRPr="00493B07">
        <w:rPr>
          <w:rFonts w:ascii="Times New Roman" w:eastAsia="楷体_GB2312" w:hAnsi="Times New Roman" w:hint="eastAsia"/>
          <w:sz w:val="24"/>
          <w:szCs w:val="24"/>
        </w:rPr>
        <w:t>LLDPE</w:t>
      </w:r>
      <w:r w:rsidRPr="00493B07">
        <w:rPr>
          <w:rFonts w:ascii="Times New Roman" w:eastAsia="楷体_GB2312" w:hAnsi="Times New Roman" w:hint="eastAsia"/>
          <w:sz w:val="24"/>
          <w:szCs w:val="24"/>
        </w:rPr>
        <w:t>供应量在</w:t>
      </w:r>
      <w:r w:rsidRPr="00493B07">
        <w:rPr>
          <w:rFonts w:ascii="Times New Roman" w:eastAsia="楷体_GB2312" w:hAnsi="Times New Roman" w:hint="eastAsia"/>
          <w:sz w:val="24"/>
          <w:szCs w:val="24"/>
        </w:rPr>
        <w:t>454.45</w:t>
      </w:r>
      <w:r w:rsidRPr="00493B07">
        <w:rPr>
          <w:rFonts w:ascii="Times New Roman" w:eastAsia="楷体_GB2312" w:hAnsi="Times New Roman" w:hint="eastAsia"/>
          <w:sz w:val="24"/>
          <w:szCs w:val="24"/>
        </w:rPr>
        <w:t>万吨，同比去年</w:t>
      </w:r>
      <w:r w:rsidRPr="00493B07">
        <w:rPr>
          <w:rFonts w:ascii="Times New Roman" w:eastAsia="楷体_GB2312" w:hAnsi="Times New Roman" w:hint="eastAsia"/>
          <w:sz w:val="24"/>
          <w:szCs w:val="24"/>
        </w:rPr>
        <w:t>404.24</w:t>
      </w:r>
      <w:r w:rsidRPr="00493B07">
        <w:rPr>
          <w:rFonts w:ascii="Times New Roman" w:eastAsia="楷体_GB2312" w:hAnsi="Times New Roman" w:hint="eastAsia"/>
          <w:sz w:val="24"/>
          <w:szCs w:val="24"/>
        </w:rPr>
        <w:t>万吨增长了</w:t>
      </w:r>
      <w:r w:rsidRPr="00493B07">
        <w:rPr>
          <w:rFonts w:ascii="Times New Roman" w:eastAsia="楷体_GB2312" w:hAnsi="Times New Roman" w:hint="eastAsia"/>
          <w:sz w:val="24"/>
          <w:szCs w:val="24"/>
        </w:rPr>
        <w:t>12.4%</w:t>
      </w:r>
      <w:r w:rsidRPr="00493B07">
        <w:rPr>
          <w:rFonts w:ascii="Times New Roman" w:eastAsia="楷体_GB2312" w:hAnsi="Times New Roman" w:hint="eastAsia"/>
          <w:sz w:val="24"/>
          <w:szCs w:val="24"/>
        </w:rPr>
        <w:t>。增长幅度是近三年来的最高涨幅，塑料供应扩张的速度</w:t>
      </w:r>
      <w:r>
        <w:rPr>
          <w:rFonts w:ascii="Times New Roman" w:eastAsia="楷体_GB2312" w:hAnsi="Times New Roman" w:hint="eastAsia"/>
          <w:sz w:val="24"/>
          <w:szCs w:val="24"/>
        </w:rPr>
        <w:t>较</w:t>
      </w:r>
      <w:r w:rsidRPr="00493B07">
        <w:rPr>
          <w:rFonts w:ascii="Times New Roman" w:eastAsia="楷体_GB2312" w:hAnsi="Times New Roman" w:hint="eastAsia"/>
          <w:sz w:val="24"/>
          <w:szCs w:val="24"/>
        </w:rPr>
        <w:t>快。</w:t>
      </w:r>
      <w:r w:rsidRPr="00F328A9">
        <w:rPr>
          <w:rFonts w:ascii="Times New Roman" w:eastAsia="楷体_GB2312" w:hAnsi="Times New Roman"/>
          <w:sz w:val="24"/>
          <w:szCs w:val="24"/>
        </w:rPr>
        <w:t xml:space="preserve"> </w:t>
      </w:r>
    </w:p>
    <w:p w:rsidR="00A406EC" w:rsidRDefault="00A406EC" w:rsidP="00A406EC">
      <w:pPr>
        <w:spacing w:line="360" w:lineRule="auto"/>
        <w:ind w:firstLineChars="200" w:firstLine="480"/>
        <w:rPr>
          <w:rFonts w:ascii="Times New Roman" w:eastAsia="楷体_GB2312" w:hAnsi="Times New Roman"/>
          <w:sz w:val="24"/>
          <w:szCs w:val="24"/>
        </w:rPr>
      </w:pPr>
      <w:r w:rsidRPr="00493B07">
        <w:rPr>
          <w:rFonts w:ascii="Times New Roman" w:eastAsia="楷体_GB2312" w:hAnsi="Times New Roman" w:hint="eastAsia"/>
          <w:sz w:val="24"/>
          <w:szCs w:val="24"/>
        </w:rPr>
        <w:t>2015</w:t>
      </w:r>
      <w:r w:rsidRPr="00493B07">
        <w:rPr>
          <w:rFonts w:ascii="Times New Roman" w:eastAsia="楷体_GB2312" w:hAnsi="Times New Roman" w:hint="eastAsia"/>
          <w:sz w:val="24"/>
          <w:szCs w:val="24"/>
        </w:rPr>
        <w:t>年上半年，我国</w:t>
      </w:r>
      <w:r w:rsidRPr="00493B07">
        <w:rPr>
          <w:rFonts w:ascii="Times New Roman" w:eastAsia="楷体_GB2312" w:hAnsi="Times New Roman" w:hint="eastAsia"/>
          <w:sz w:val="24"/>
          <w:szCs w:val="24"/>
        </w:rPr>
        <w:t>PE</w:t>
      </w:r>
      <w:r w:rsidRPr="00493B07">
        <w:rPr>
          <w:rFonts w:ascii="Times New Roman" w:eastAsia="楷体_GB2312" w:hAnsi="Times New Roman" w:hint="eastAsia"/>
          <w:sz w:val="24"/>
          <w:szCs w:val="24"/>
        </w:rPr>
        <w:t>石化装置由于检修较多，</w:t>
      </w:r>
      <w:hyperlink r:id="rId7" w:tgtFrame="_blank" w:history="1">
        <w:r w:rsidRPr="00493B07">
          <w:rPr>
            <w:rFonts w:ascii="Times New Roman" w:eastAsia="楷体_GB2312" w:hAnsi="Times New Roman" w:hint="eastAsia"/>
            <w:sz w:val="24"/>
            <w:szCs w:val="24"/>
          </w:rPr>
          <w:t>塑料</w:t>
        </w:r>
      </w:hyperlink>
      <w:r w:rsidRPr="00493B07">
        <w:rPr>
          <w:rFonts w:ascii="Times New Roman" w:eastAsia="楷体_GB2312" w:hAnsi="Times New Roman" w:hint="eastAsia"/>
          <w:sz w:val="24"/>
          <w:szCs w:val="24"/>
        </w:rPr>
        <w:t>的市场供应量也相应减少，特别是在</w:t>
      </w:r>
      <w:r w:rsidRPr="00493B07">
        <w:rPr>
          <w:rFonts w:ascii="Times New Roman" w:eastAsia="楷体_GB2312" w:hAnsi="Times New Roman" w:hint="eastAsia"/>
          <w:sz w:val="24"/>
          <w:szCs w:val="24"/>
        </w:rPr>
        <w:t>4-5</w:t>
      </w:r>
      <w:r w:rsidRPr="00493B07">
        <w:rPr>
          <w:rFonts w:ascii="Times New Roman" w:eastAsia="楷体_GB2312" w:hAnsi="Times New Roman" w:hint="eastAsia"/>
          <w:sz w:val="24"/>
          <w:szCs w:val="24"/>
        </w:rPr>
        <w:t>月之间，</w:t>
      </w:r>
      <w:r w:rsidRPr="00493B07">
        <w:rPr>
          <w:rFonts w:ascii="Times New Roman" w:eastAsia="楷体_GB2312" w:hAnsi="Times New Roman" w:hint="eastAsia"/>
          <w:sz w:val="24"/>
          <w:szCs w:val="24"/>
        </w:rPr>
        <w:t>PE</w:t>
      </w:r>
      <w:r w:rsidRPr="00493B07">
        <w:rPr>
          <w:rFonts w:ascii="Times New Roman" w:eastAsia="楷体_GB2312" w:hAnsi="Times New Roman" w:hint="eastAsia"/>
          <w:sz w:val="24"/>
          <w:szCs w:val="24"/>
        </w:rPr>
        <w:t>装置检修进入高峰，进入三季度后，检修装置陆续重启，</w:t>
      </w:r>
      <w:r w:rsidRPr="00493B07">
        <w:rPr>
          <w:rFonts w:ascii="Times New Roman" w:eastAsia="楷体_GB2312" w:hAnsi="Times New Roman" w:hint="eastAsia"/>
          <w:sz w:val="24"/>
          <w:szCs w:val="24"/>
        </w:rPr>
        <w:t>PE</w:t>
      </w:r>
      <w:r w:rsidRPr="00493B07">
        <w:rPr>
          <w:rFonts w:ascii="Times New Roman" w:eastAsia="楷体_GB2312" w:hAnsi="Times New Roman" w:hint="eastAsia"/>
          <w:sz w:val="24"/>
          <w:szCs w:val="24"/>
        </w:rPr>
        <w:t>供给增加。</w:t>
      </w:r>
    </w:p>
    <w:p w:rsidR="00A406EC" w:rsidRPr="002F4057" w:rsidRDefault="00A406EC" w:rsidP="00A406EC">
      <w:pPr>
        <w:widowControl/>
        <w:jc w:val="center"/>
        <w:rPr>
          <w:rFonts w:ascii="宋体" w:hAnsi="宋体" w:cs="宋体"/>
          <w:kern w:val="0"/>
          <w:sz w:val="24"/>
          <w:szCs w:val="24"/>
        </w:rPr>
      </w:pPr>
      <w:r>
        <w:rPr>
          <w:rFonts w:ascii="宋体" w:hAnsi="宋体" w:cs="宋体"/>
          <w:noProof/>
          <w:kern w:val="0"/>
          <w:sz w:val="24"/>
          <w:szCs w:val="24"/>
        </w:rPr>
        <w:lastRenderedPageBreak/>
        <w:drawing>
          <wp:inline distT="0" distB="0" distL="0" distR="0">
            <wp:extent cx="3606165" cy="2063115"/>
            <wp:effectExtent l="19050" t="0" r="0" b="0"/>
            <wp:docPr id="2" name="图片 2" descr="ZIA`9S}~%DJZ`WY8_5KK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A`9S}~%DJZ`WY8_5KK_05"/>
                    <pic:cNvPicPr>
                      <a:picLocks noChangeAspect="1" noChangeArrowheads="1"/>
                    </pic:cNvPicPr>
                  </pic:nvPicPr>
                  <pic:blipFill>
                    <a:blip r:embed="rId8" cstate="print"/>
                    <a:srcRect/>
                    <a:stretch>
                      <a:fillRect/>
                    </a:stretch>
                  </pic:blipFill>
                  <pic:spPr bwMode="auto">
                    <a:xfrm>
                      <a:off x="0" y="0"/>
                      <a:ext cx="3606165" cy="2063115"/>
                    </a:xfrm>
                    <a:prstGeom prst="rect">
                      <a:avLst/>
                    </a:prstGeom>
                    <a:noFill/>
                    <a:ln w="9525">
                      <a:noFill/>
                      <a:miter lim="800000"/>
                      <a:headEnd/>
                      <a:tailEnd/>
                    </a:ln>
                  </pic:spPr>
                </pic:pic>
              </a:graphicData>
            </a:graphic>
          </wp:inline>
        </w:drawing>
      </w:r>
    </w:p>
    <w:p w:rsidR="00A406EC" w:rsidRPr="00493B07" w:rsidRDefault="00A406EC" w:rsidP="00A406EC">
      <w:pPr>
        <w:spacing w:line="360" w:lineRule="auto"/>
        <w:ind w:firstLineChars="200" w:firstLine="480"/>
        <w:rPr>
          <w:rFonts w:ascii="Times New Roman" w:eastAsia="楷体_GB2312" w:hAnsi="Times New Roman"/>
          <w:sz w:val="24"/>
          <w:szCs w:val="24"/>
        </w:rPr>
      </w:pPr>
    </w:p>
    <w:p w:rsidR="00A406EC" w:rsidRPr="002F4057" w:rsidRDefault="00A406EC" w:rsidP="00A406EC">
      <w:pPr>
        <w:spacing w:line="360" w:lineRule="auto"/>
        <w:ind w:firstLineChars="200" w:firstLine="480"/>
        <w:rPr>
          <w:rFonts w:ascii="Times New Roman" w:eastAsia="楷体_GB2312" w:hAnsi="Times New Roman"/>
          <w:sz w:val="24"/>
          <w:szCs w:val="24"/>
        </w:rPr>
      </w:pPr>
      <w:r w:rsidRPr="002F4057">
        <w:rPr>
          <w:rFonts w:ascii="Times New Roman" w:eastAsia="楷体_GB2312" w:hAnsi="Times New Roman" w:hint="eastAsia"/>
          <w:sz w:val="24"/>
          <w:szCs w:val="24"/>
        </w:rPr>
        <w:t>PE</w:t>
      </w:r>
      <w:r w:rsidRPr="002F4057">
        <w:rPr>
          <w:rFonts w:ascii="Times New Roman" w:eastAsia="楷体_GB2312" w:hAnsi="Times New Roman" w:hint="eastAsia"/>
          <w:sz w:val="24"/>
          <w:szCs w:val="24"/>
        </w:rPr>
        <w:t>社会库存总量有所下降</w:t>
      </w:r>
      <w:r>
        <w:rPr>
          <w:rFonts w:ascii="Times New Roman" w:eastAsia="楷体_GB2312" w:hAnsi="Times New Roman" w:hint="eastAsia"/>
          <w:sz w:val="24"/>
          <w:szCs w:val="24"/>
        </w:rPr>
        <w:t>。</w:t>
      </w:r>
      <w:r w:rsidRPr="002F4057">
        <w:rPr>
          <w:rFonts w:ascii="Times New Roman" w:eastAsia="楷体_GB2312" w:hAnsi="Times New Roman" w:hint="eastAsia"/>
          <w:sz w:val="24"/>
          <w:szCs w:val="24"/>
        </w:rPr>
        <w:t>从石化方面来看，各地区石化库存均有不同程度的下降</w:t>
      </w:r>
      <w:r>
        <w:rPr>
          <w:rFonts w:ascii="Times New Roman" w:eastAsia="楷体_GB2312" w:hAnsi="Times New Roman" w:hint="eastAsia"/>
          <w:sz w:val="24"/>
          <w:szCs w:val="24"/>
        </w:rPr>
        <w:t>。</w:t>
      </w:r>
    </w:p>
    <w:p w:rsidR="00A406EC" w:rsidRDefault="00A406EC" w:rsidP="00A406EC">
      <w:pPr>
        <w:spacing w:line="360" w:lineRule="auto"/>
        <w:ind w:firstLineChars="200" w:firstLine="562"/>
        <w:rPr>
          <w:rFonts w:eastAsia="楷体_GB2312"/>
          <w:b/>
          <w:sz w:val="28"/>
          <w:szCs w:val="28"/>
        </w:rPr>
      </w:pPr>
      <w:r>
        <w:rPr>
          <w:rFonts w:eastAsia="楷体_GB2312" w:hint="eastAsia"/>
          <w:b/>
          <w:sz w:val="28"/>
          <w:szCs w:val="28"/>
        </w:rPr>
        <w:t>下游制品产量增速放缓，市场以按需采购为主</w:t>
      </w:r>
    </w:p>
    <w:p w:rsidR="00A406EC" w:rsidRDefault="00A406EC" w:rsidP="00A406EC">
      <w:pPr>
        <w:spacing w:line="360" w:lineRule="auto"/>
        <w:ind w:firstLineChars="200" w:firstLine="562"/>
        <w:jc w:val="center"/>
        <w:rPr>
          <w:rFonts w:eastAsia="楷体_GB2312"/>
          <w:b/>
          <w:sz w:val="28"/>
          <w:szCs w:val="28"/>
        </w:rPr>
      </w:pPr>
      <w:r>
        <w:rPr>
          <w:rFonts w:eastAsia="楷体_GB2312"/>
          <w:b/>
          <w:noProof/>
          <w:sz w:val="28"/>
          <w:szCs w:val="28"/>
        </w:rPr>
        <w:drawing>
          <wp:inline distT="0" distB="0" distL="0" distR="0">
            <wp:extent cx="3679825" cy="2019300"/>
            <wp:effectExtent l="0" t="0" r="0" b="0"/>
            <wp:docPr id="3"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bookmarkEnd w:id="0"/>
    <w:p w:rsidR="00A406EC" w:rsidRDefault="00A406EC" w:rsidP="00A406EC">
      <w:pPr>
        <w:spacing w:line="360" w:lineRule="auto"/>
        <w:ind w:firstLineChars="200" w:firstLine="480"/>
        <w:jc w:val="center"/>
        <w:rPr>
          <w:rFonts w:eastAsia="楷体_GB2312"/>
          <w:noProof/>
          <w:sz w:val="24"/>
          <w:szCs w:val="24"/>
        </w:rPr>
      </w:pPr>
      <w:r>
        <w:rPr>
          <w:rFonts w:eastAsia="楷体_GB2312"/>
          <w:noProof/>
          <w:sz w:val="24"/>
          <w:szCs w:val="24"/>
        </w:rPr>
        <w:drawing>
          <wp:inline distT="0" distB="0" distL="0" distR="0">
            <wp:extent cx="3342595" cy="1912208"/>
            <wp:effectExtent l="8893" t="4222" r="6392" b="0"/>
            <wp:docPr id="4" name="图表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406EC" w:rsidRDefault="00A406EC" w:rsidP="00A406EC">
      <w:pPr>
        <w:spacing w:line="360" w:lineRule="auto"/>
        <w:ind w:firstLineChars="200" w:firstLine="480"/>
        <w:jc w:val="center"/>
        <w:rPr>
          <w:rFonts w:eastAsia="楷体_GB2312"/>
          <w:noProof/>
          <w:sz w:val="24"/>
          <w:szCs w:val="24"/>
        </w:rPr>
      </w:pPr>
    </w:p>
    <w:p w:rsidR="00A406EC" w:rsidRDefault="00A406EC" w:rsidP="00A406EC">
      <w:pPr>
        <w:spacing w:line="360" w:lineRule="auto"/>
        <w:ind w:firstLineChars="200" w:firstLine="480"/>
        <w:jc w:val="center"/>
        <w:rPr>
          <w:rFonts w:eastAsia="楷体_GB2312"/>
          <w:noProof/>
          <w:sz w:val="24"/>
          <w:szCs w:val="24"/>
        </w:rPr>
      </w:pPr>
      <w:r>
        <w:rPr>
          <w:rFonts w:eastAsia="楷体_GB2312"/>
          <w:noProof/>
          <w:sz w:val="24"/>
          <w:szCs w:val="24"/>
        </w:rPr>
        <w:lastRenderedPageBreak/>
        <w:drawing>
          <wp:inline distT="0" distB="0" distL="0" distR="0">
            <wp:extent cx="3657868" cy="1758779"/>
            <wp:effectExtent l="9176" t="3981" r="5161" b="0"/>
            <wp:docPr id="5" name="图表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406EC" w:rsidRDefault="00A406EC" w:rsidP="00A406EC">
      <w:pPr>
        <w:spacing w:line="360" w:lineRule="auto"/>
        <w:ind w:firstLineChars="200" w:firstLine="480"/>
        <w:jc w:val="center"/>
        <w:rPr>
          <w:rFonts w:eastAsia="楷体_GB2312"/>
          <w:noProof/>
          <w:sz w:val="24"/>
          <w:szCs w:val="24"/>
        </w:rPr>
      </w:pPr>
    </w:p>
    <w:p w:rsidR="00A406EC" w:rsidRDefault="00A406EC" w:rsidP="00A406EC">
      <w:pPr>
        <w:spacing w:line="360" w:lineRule="auto"/>
        <w:ind w:firstLineChars="200" w:firstLine="480"/>
        <w:rPr>
          <w:rFonts w:eastAsia="楷体_GB2312"/>
          <w:sz w:val="24"/>
          <w:szCs w:val="24"/>
        </w:rPr>
      </w:pPr>
      <w:r w:rsidRPr="00121EE6">
        <w:rPr>
          <w:rFonts w:eastAsia="楷体_GB2312" w:hint="eastAsia"/>
          <w:sz w:val="24"/>
          <w:szCs w:val="24"/>
        </w:rPr>
        <w:t>2015</w:t>
      </w:r>
      <w:r w:rsidRPr="00121EE6">
        <w:rPr>
          <w:rFonts w:eastAsia="楷体_GB2312" w:hint="eastAsia"/>
          <w:sz w:val="24"/>
          <w:szCs w:val="24"/>
        </w:rPr>
        <w:t>年</w:t>
      </w:r>
      <w:r w:rsidRPr="00121EE6">
        <w:rPr>
          <w:rFonts w:eastAsia="楷体_GB2312" w:hint="eastAsia"/>
          <w:sz w:val="24"/>
          <w:szCs w:val="24"/>
        </w:rPr>
        <w:t>7</w:t>
      </w:r>
      <w:r w:rsidRPr="00121EE6">
        <w:rPr>
          <w:rFonts w:eastAsia="楷体_GB2312" w:hint="eastAsia"/>
          <w:sz w:val="24"/>
          <w:szCs w:val="24"/>
        </w:rPr>
        <w:t>月份国内的塑料制品总产量在</w:t>
      </w:r>
      <w:r w:rsidRPr="00121EE6">
        <w:rPr>
          <w:rFonts w:eastAsia="楷体_GB2312" w:hint="eastAsia"/>
          <w:sz w:val="24"/>
          <w:szCs w:val="24"/>
        </w:rPr>
        <w:t xml:space="preserve">663.9 </w:t>
      </w:r>
      <w:r w:rsidRPr="00121EE6">
        <w:rPr>
          <w:rFonts w:eastAsia="楷体_GB2312" w:hint="eastAsia"/>
          <w:sz w:val="24"/>
          <w:szCs w:val="24"/>
        </w:rPr>
        <w:t>万吨，较</w:t>
      </w:r>
      <w:r w:rsidRPr="00121EE6">
        <w:rPr>
          <w:rFonts w:eastAsia="楷体_GB2312" w:hint="eastAsia"/>
          <w:sz w:val="24"/>
          <w:szCs w:val="24"/>
        </w:rPr>
        <w:t xml:space="preserve">2014 </w:t>
      </w:r>
      <w:r w:rsidRPr="00121EE6">
        <w:rPr>
          <w:rFonts w:eastAsia="楷体_GB2312" w:hint="eastAsia"/>
          <w:sz w:val="24"/>
          <w:szCs w:val="24"/>
        </w:rPr>
        <w:t>年同期（</w:t>
      </w:r>
      <w:r w:rsidRPr="00121EE6">
        <w:rPr>
          <w:rFonts w:eastAsia="楷体_GB2312" w:hint="eastAsia"/>
          <w:sz w:val="24"/>
          <w:szCs w:val="24"/>
        </w:rPr>
        <w:t>631.7</w:t>
      </w:r>
      <w:r w:rsidRPr="00121EE6">
        <w:rPr>
          <w:rFonts w:eastAsia="楷体_GB2312" w:hint="eastAsia"/>
          <w:sz w:val="24"/>
          <w:szCs w:val="24"/>
        </w:rPr>
        <w:t>万吨）增加</w:t>
      </w:r>
      <w:r w:rsidRPr="00121EE6">
        <w:rPr>
          <w:rFonts w:eastAsia="楷体_GB2312" w:hint="eastAsia"/>
          <w:sz w:val="24"/>
          <w:szCs w:val="24"/>
        </w:rPr>
        <w:t>5.1%</w:t>
      </w:r>
      <w:r w:rsidRPr="00121EE6">
        <w:rPr>
          <w:rFonts w:eastAsia="楷体_GB2312" w:hint="eastAsia"/>
          <w:sz w:val="24"/>
          <w:szCs w:val="24"/>
        </w:rPr>
        <w:t>。其中，塑料薄膜总量为</w:t>
      </w:r>
      <w:r w:rsidRPr="00121EE6">
        <w:rPr>
          <w:rFonts w:eastAsia="楷体_GB2312" w:hint="eastAsia"/>
          <w:sz w:val="24"/>
          <w:szCs w:val="24"/>
        </w:rPr>
        <w:t>107.2</w:t>
      </w:r>
      <w:r w:rsidRPr="00121EE6">
        <w:rPr>
          <w:rFonts w:eastAsia="楷体_GB2312" w:hint="eastAsia"/>
          <w:sz w:val="24"/>
          <w:szCs w:val="24"/>
        </w:rPr>
        <w:t>万吨；农用薄膜总量为</w:t>
      </w:r>
      <w:r w:rsidRPr="00121EE6">
        <w:rPr>
          <w:rFonts w:eastAsia="楷体_GB2312" w:hint="eastAsia"/>
          <w:sz w:val="24"/>
          <w:szCs w:val="24"/>
        </w:rPr>
        <w:t>17.5</w:t>
      </w:r>
      <w:r w:rsidRPr="00121EE6">
        <w:rPr>
          <w:rFonts w:eastAsia="楷体_GB2312" w:hint="eastAsia"/>
          <w:sz w:val="24"/>
          <w:szCs w:val="24"/>
        </w:rPr>
        <w:t>万吨。</w:t>
      </w:r>
    </w:p>
    <w:p w:rsidR="00A406EC" w:rsidRDefault="00A406EC" w:rsidP="00A406EC">
      <w:pPr>
        <w:spacing w:line="360" w:lineRule="auto"/>
        <w:ind w:firstLineChars="200" w:firstLine="480"/>
        <w:rPr>
          <w:rFonts w:eastAsia="楷体_GB2312"/>
          <w:sz w:val="24"/>
          <w:szCs w:val="24"/>
        </w:rPr>
      </w:pPr>
      <w:r w:rsidRPr="00FC587F">
        <w:rPr>
          <w:rFonts w:eastAsia="楷体_GB2312" w:hint="eastAsia"/>
          <w:sz w:val="24"/>
          <w:szCs w:val="24"/>
        </w:rPr>
        <w:t>今年国内薄膜市场的产量也明显不及往年</w:t>
      </w:r>
      <w:r>
        <w:rPr>
          <w:rFonts w:eastAsia="楷体_GB2312" w:hint="eastAsia"/>
          <w:sz w:val="24"/>
          <w:szCs w:val="24"/>
        </w:rPr>
        <w:t>。</w:t>
      </w:r>
      <w:r w:rsidRPr="00FC587F">
        <w:rPr>
          <w:rFonts w:eastAsia="楷体_GB2312" w:hint="eastAsia"/>
          <w:sz w:val="24"/>
          <w:szCs w:val="24"/>
        </w:rPr>
        <w:t>从</w:t>
      </w:r>
      <w:r w:rsidRPr="00FC587F">
        <w:rPr>
          <w:rFonts w:eastAsia="楷体_GB2312" w:hint="eastAsia"/>
          <w:sz w:val="24"/>
          <w:szCs w:val="24"/>
        </w:rPr>
        <w:t>12</w:t>
      </w:r>
      <w:r w:rsidRPr="00FC587F">
        <w:rPr>
          <w:rFonts w:eastAsia="楷体_GB2312" w:hint="eastAsia"/>
          <w:sz w:val="24"/>
          <w:szCs w:val="24"/>
        </w:rPr>
        <w:t>年以来，塑料薄膜的产量每年都会有明显的增长，而</w:t>
      </w:r>
      <w:r>
        <w:rPr>
          <w:rFonts w:eastAsia="楷体_GB2312" w:hint="eastAsia"/>
          <w:sz w:val="24"/>
          <w:szCs w:val="24"/>
        </w:rPr>
        <w:t>15</w:t>
      </w:r>
      <w:r w:rsidRPr="00FC587F">
        <w:rPr>
          <w:rFonts w:eastAsia="楷体_GB2312" w:hint="eastAsia"/>
          <w:sz w:val="24"/>
          <w:szCs w:val="24"/>
        </w:rPr>
        <w:t>年前</w:t>
      </w:r>
      <w:r w:rsidRPr="00FC587F">
        <w:rPr>
          <w:rFonts w:eastAsia="楷体_GB2312" w:hint="eastAsia"/>
          <w:sz w:val="24"/>
          <w:szCs w:val="24"/>
        </w:rPr>
        <w:t>7</w:t>
      </w:r>
      <w:r w:rsidRPr="00FC587F">
        <w:rPr>
          <w:rFonts w:eastAsia="楷体_GB2312" w:hint="eastAsia"/>
          <w:sz w:val="24"/>
          <w:szCs w:val="24"/>
        </w:rPr>
        <w:t>个月国内塑料薄膜的产量基本与去年持平并没有增长。从月份对比看，今年的薄膜增长连续几个月都是负值。特别是农用薄膜的生产行情更是严峻。</w:t>
      </w:r>
      <w:r w:rsidRPr="00FC587F">
        <w:rPr>
          <w:rFonts w:eastAsia="楷体_GB2312" w:hint="eastAsia"/>
          <w:sz w:val="24"/>
          <w:szCs w:val="24"/>
        </w:rPr>
        <w:t>7</w:t>
      </w:r>
      <w:r w:rsidRPr="00FC587F">
        <w:rPr>
          <w:rFonts w:eastAsia="楷体_GB2312" w:hint="eastAsia"/>
          <w:sz w:val="24"/>
          <w:szCs w:val="24"/>
        </w:rPr>
        <w:t>月份国内农用薄膜产量</w:t>
      </w:r>
      <w:r w:rsidRPr="00FC587F">
        <w:rPr>
          <w:rFonts w:eastAsia="楷体_GB2312" w:hint="eastAsia"/>
          <w:sz w:val="24"/>
          <w:szCs w:val="24"/>
        </w:rPr>
        <w:t>17.66</w:t>
      </w:r>
      <w:r w:rsidRPr="00FC587F">
        <w:rPr>
          <w:rFonts w:eastAsia="楷体_GB2312" w:hint="eastAsia"/>
          <w:sz w:val="24"/>
          <w:szCs w:val="24"/>
        </w:rPr>
        <w:t>万吨，同比增长</w:t>
      </w:r>
      <w:r w:rsidRPr="00FC587F">
        <w:rPr>
          <w:rFonts w:eastAsia="楷体_GB2312" w:hint="eastAsia"/>
          <w:sz w:val="24"/>
          <w:szCs w:val="24"/>
        </w:rPr>
        <w:t>7.48%</w:t>
      </w:r>
      <w:r w:rsidRPr="00FC587F">
        <w:rPr>
          <w:rFonts w:eastAsia="楷体_GB2312" w:hint="eastAsia"/>
          <w:sz w:val="24"/>
          <w:szCs w:val="24"/>
        </w:rPr>
        <w:t>，近三年来增速首次下滑。</w:t>
      </w:r>
    </w:p>
    <w:p w:rsidR="00A406EC" w:rsidRDefault="00A406EC" w:rsidP="00A406EC">
      <w:pPr>
        <w:spacing w:line="360" w:lineRule="auto"/>
        <w:ind w:firstLineChars="200" w:firstLine="480"/>
        <w:rPr>
          <w:rFonts w:eastAsia="楷体_GB2312"/>
          <w:sz w:val="24"/>
          <w:szCs w:val="24"/>
        </w:rPr>
      </w:pPr>
      <w:r w:rsidRPr="00121EE6">
        <w:rPr>
          <w:rFonts w:eastAsia="楷体_GB2312" w:hint="eastAsia"/>
          <w:sz w:val="24"/>
          <w:szCs w:val="24"/>
        </w:rPr>
        <w:t>8</w:t>
      </w:r>
      <w:r w:rsidRPr="00121EE6">
        <w:rPr>
          <w:rFonts w:eastAsia="楷体_GB2312" w:hint="eastAsia"/>
          <w:sz w:val="24"/>
          <w:szCs w:val="24"/>
        </w:rPr>
        <w:t>月大部分膜厂装置正常运行，开工率在</w:t>
      </w:r>
      <w:r w:rsidRPr="00121EE6">
        <w:rPr>
          <w:rFonts w:eastAsia="楷体_GB2312" w:hint="eastAsia"/>
          <w:sz w:val="24"/>
          <w:szCs w:val="24"/>
        </w:rPr>
        <w:t>75%</w:t>
      </w:r>
      <w:r w:rsidRPr="00121EE6">
        <w:rPr>
          <w:rFonts w:eastAsia="楷体_GB2312" w:hint="eastAsia"/>
          <w:sz w:val="24"/>
          <w:szCs w:val="24"/>
        </w:rPr>
        <w:t>左右。下游包装厂订单仍较少，开工程度比较低，与往年相比订单偏少。</w:t>
      </w:r>
      <w:r w:rsidRPr="00FC587F">
        <w:rPr>
          <w:rFonts w:eastAsia="楷体_GB2312" w:hint="eastAsia"/>
          <w:sz w:val="24"/>
          <w:szCs w:val="24"/>
        </w:rPr>
        <w:t>一般</w:t>
      </w:r>
      <w:r w:rsidRPr="00FC587F">
        <w:rPr>
          <w:rFonts w:eastAsia="楷体_GB2312" w:hint="eastAsia"/>
          <w:sz w:val="24"/>
          <w:szCs w:val="24"/>
        </w:rPr>
        <w:t>8</w:t>
      </w:r>
      <w:r w:rsidRPr="00FC587F">
        <w:rPr>
          <w:rFonts w:eastAsia="楷体_GB2312" w:hint="eastAsia"/>
          <w:sz w:val="24"/>
          <w:szCs w:val="24"/>
        </w:rPr>
        <w:t>月到</w:t>
      </w:r>
      <w:r w:rsidRPr="00FC587F">
        <w:rPr>
          <w:rFonts w:eastAsia="楷体_GB2312" w:hint="eastAsia"/>
          <w:sz w:val="24"/>
          <w:szCs w:val="24"/>
        </w:rPr>
        <w:t>9</w:t>
      </w:r>
      <w:r w:rsidRPr="00FC587F">
        <w:rPr>
          <w:rFonts w:eastAsia="楷体_GB2312" w:hint="eastAsia"/>
          <w:sz w:val="24"/>
          <w:szCs w:val="24"/>
        </w:rPr>
        <w:t>月市场的需求将逐渐启动，但是碍于整体经济的疲软，国内农膜企业自身也陷入了困境。集中采购的局面一直没能如期而至。当前又因为塑料市场价格在陷入下跌趋势中，农膜企业的备货意愿更低，多以刚需进货为主</w:t>
      </w:r>
      <w:r>
        <w:rPr>
          <w:rFonts w:eastAsia="楷体_GB2312" w:hint="eastAsia"/>
          <w:sz w:val="24"/>
          <w:szCs w:val="24"/>
        </w:rPr>
        <w:t>，市场信心远未恢复。</w:t>
      </w:r>
    </w:p>
    <w:p w:rsidR="00A406EC" w:rsidRDefault="00A406EC" w:rsidP="00A406EC">
      <w:pPr>
        <w:spacing w:before="156" w:line="360" w:lineRule="auto"/>
        <w:ind w:firstLineChars="200" w:firstLine="480"/>
        <w:rPr>
          <w:rFonts w:eastAsia="楷体_GB2312"/>
          <w:sz w:val="24"/>
          <w:szCs w:val="24"/>
        </w:rPr>
      </w:pPr>
      <w:r w:rsidRPr="001C2DAD">
        <w:rPr>
          <w:rFonts w:eastAsia="楷体_GB2312" w:hint="eastAsia"/>
          <w:sz w:val="24"/>
          <w:szCs w:val="24"/>
        </w:rPr>
        <w:t>综上所述，由于中国经济下行，拖累全球</w:t>
      </w:r>
      <w:r>
        <w:rPr>
          <w:rFonts w:eastAsia="楷体_GB2312" w:hint="eastAsia"/>
          <w:sz w:val="24"/>
          <w:szCs w:val="24"/>
        </w:rPr>
        <w:t>商品</w:t>
      </w:r>
      <w:r w:rsidRPr="001C2DAD">
        <w:rPr>
          <w:rFonts w:eastAsia="楷体_GB2312" w:hint="eastAsia"/>
          <w:sz w:val="24"/>
          <w:szCs w:val="24"/>
        </w:rPr>
        <w:t>市场</w:t>
      </w:r>
      <w:r>
        <w:rPr>
          <w:rFonts w:eastAsia="楷体_GB2312" w:hint="eastAsia"/>
          <w:sz w:val="24"/>
          <w:szCs w:val="24"/>
        </w:rPr>
        <w:t>走势</w:t>
      </w:r>
      <w:r w:rsidRPr="001C2DAD">
        <w:rPr>
          <w:rFonts w:eastAsia="楷体_GB2312" w:hint="eastAsia"/>
          <w:sz w:val="24"/>
          <w:szCs w:val="24"/>
        </w:rPr>
        <w:t>，</w:t>
      </w:r>
      <w:r>
        <w:rPr>
          <w:rFonts w:eastAsia="楷体_GB2312" w:hint="eastAsia"/>
          <w:sz w:val="24"/>
          <w:szCs w:val="24"/>
        </w:rPr>
        <w:t>虽然宽松政策陆续出台，但实施效果仍有待观察。原油方面，经过一轮暴跌之后继续向下空间有限，未来将维持低位震荡走势，对</w:t>
      </w:r>
      <w:r>
        <w:rPr>
          <w:rFonts w:eastAsia="楷体_GB2312" w:hint="eastAsia"/>
          <w:sz w:val="24"/>
          <w:szCs w:val="24"/>
        </w:rPr>
        <w:t>LLDPE</w:t>
      </w:r>
      <w:r>
        <w:rPr>
          <w:rFonts w:eastAsia="楷体_GB2312" w:hint="eastAsia"/>
          <w:sz w:val="24"/>
          <w:szCs w:val="24"/>
        </w:rPr>
        <w:t>有一定的成本支撑作用。</w:t>
      </w:r>
      <w:r w:rsidRPr="001C2DAD">
        <w:rPr>
          <w:rFonts w:eastAsia="楷体_GB2312" w:hint="eastAsia"/>
          <w:sz w:val="24"/>
          <w:szCs w:val="24"/>
        </w:rPr>
        <w:t>从供需面看，</w:t>
      </w:r>
      <w:r w:rsidRPr="001C2DAD">
        <w:rPr>
          <w:rFonts w:eastAsia="楷体_GB2312" w:hint="eastAsia"/>
          <w:sz w:val="24"/>
          <w:szCs w:val="24"/>
        </w:rPr>
        <w:t>9</w:t>
      </w:r>
      <w:r w:rsidRPr="001C2DAD">
        <w:rPr>
          <w:rFonts w:eastAsia="楷体_GB2312" w:hint="eastAsia"/>
          <w:sz w:val="24"/>
          <w:szCs w:val="24"/>
        </w:rPr>
        <w:t>月份国内检修装置</w:t>
      </w:r>
      <w:r>
        <w:rPr>
          <w:rFonts w:eastAsia="楷体_GB2312" w:hint="eastAsia"/>
          <w:sz w:val="24"/>
          <w:szCs w:val="24"/>
        </w:rPr>
        <w:t>较少</w:t>
      </w:r>
      <w:r w:rsidRPr="001C2DAD">
        <w:rPr>
          <w:rFonts w:eastAsia="楷体_GB2312" w:hint="eastAsia"/>
          <w:sz w:val="24"/>
          <w:szCs w:val="24"/>
        </w:rPr>
        <w:t>，资源供应充足</w:t>
      </w:r>
      <w:r>
        <w:rPr>
          <w:rFonts w:eastAsia="楷体_GB2312" w:hint="eastAsia"/>
          <w:sz w:val="24"/>
          <w:szCs w:val="24"/>
        </w:rPr>
        <w:t>；</w:t>
      </w:r>
      <w:r w:rsidRPr="001C2DAD">
        <w:rPr>
          <w:rFonts w:eastAsia="楷体_GB2312" w:hint="eastAsia"/>
          <w:sz w:val="24"/>
          <w:szCs w:val="24"/>
        </w:rPr>
        <w:t>受整体经济形势低迷影响，下游制品企业开工不足，实际需求弱于往年，市场难有较大改观。</w:t>
      </w:r>
      <w:r>
        <w:rPr>
          <w:rFonts w:eastAsia="楷体_GB2312" w:hint="eastAsia"/>
          <w:sz w:val="24"/>
          <w:szCs w:val="24"/>
        </w:rPr>
        <w:t>操作上，连塑短期仍难走出单边行情，继续以区间操作为主，</w:t>
      </w:r>
      <w:r>
        <w:rPr>
          <w:rFonts w:eastAsia="楷体_GB2312" w:hint="eastAsia"/>
          <w:sz w:val="24"/>
          <w:szCs w:val="24"/>
        </w:rPr>
        <w:t>60</w:t>
      </w:r>
      <w:r>
        <w:rPr>
          <w:rFonts w:eastAsia="楷体_GB2312" w:hint="eastAsia"/>
          <w:sz w:val="24"/>
          <w:szCs w:val="24"/>
        </w:rPr>
        <w:t>日均线附近压力沉重，下方支撑在</w:t>
      </w:r>
      <w:r>
        <w:rPr>
          <w:rFonts w:eastAsia="楷体_GB2312" w:hint="eastAsia"/>
          <w:sz w:val="24"/>
          <w:szCs w:val="24"/>
        </w:rPr>
        <w:t>8000</w:t>
      </w:r>
      <w:r>
        <w:rPr>
          <w:rFonts w:eastAsia="楷体_GB2312" w:hint="eastAsia"/>
          <w:sz w:val="24"/>
          <w:szCs w:val="24"/>
        </w:rPr>
        <w:t>点。</w:t>
      </w:r>
    </w:p>
    <w:p w:rsidR="00BF27C3" w:rsidRPr="00A406EC" w:rsidRDefault="00BF27C3" w:rsidP="00060824">
      <w:pPr>
        <w:spacing w:before="156"/>
      </w:pPr>
    </w:p>
    <w:sectPr w:rsidR="00BF27C3" w:rsidRPr="00A406EC" w:rsidSect="00BF27C3">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230" w:rsidRDefault="002D2230" w:rsidP="00970889">
      <w:r>
        <w:separator/>
      </w:r>
    </w:p>
  </w:endnote>
  <w:endnote w:type="continuationSeparator" w:id="0">
    <w:p w:rsidR="002D2230" w:rsidRDefault="002D2230" w:rsidP="009708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新魏">
    <w:altName w:val="微软雅黑"/>
    <w:charset w:val="86"/>
    <w:family w:val="auto"/>
    <w:pitch w:val="variable"/>
    <w:sig w:usb0="00000000" w:usb1="080F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889" w:rsidRDefault="0097088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889" w:rsidRDefault="0097088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889" w:rsidRDefault="0097088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230" w:rsidRDefault="002D2230" w:rsidP="00970889">
      <w:r>
        <w:separator/>
      </w:r>
    </w:p>
  </w:footnote>
  <w:footnote w:type="continuationSeparator" w:id="0">
    <w:p w:rsidR="002D2230" w:rsidRDefault="002D2230" w:rsidP="009708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889" w:rsidRDefault="0097088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889" w:rsidRDefault="0097088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889" w:rsidRDefault="0097088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06EC"/>
    <w:rsid w:val="0001226B"/>
    <w:rsid w:val="000516F0"/>
    <w:rsid w:val="00056EE3"/>
    <w:rsid w:val="000572B1"/>
    <w:rsid w:val="00060824"/>
    <w:rsid w:val="000D231C"/>
    <w:rsid w:val="000E5D40"/>
    <w:rsid w:val="000F066F"/>
    <w:rsid w:val="0012285D"/>
    <w:rsid w:val="00132D7A"/>
    <w:rsid w:val="00150405"/>
    <w:rsid w:val="00192181"/>
    <w:rsid w:val="00192E38"/>
    <w:rsid w:val="001D7F16"/>
    <w:rsid w:val="001F2443"/>
    <w:rsid w:val="00200510"/>
    <w:rsid w:val="00212CEF"/>
    <w:rsid w:val="0022121F"/>
    <w:rsid w:val="0024122D"/>
    <w:rsid w:val="002465A4"/>
    <w:rsid w:val="002A5B83"/>
    <w:rsid w:val="002D07E0"/>
    <w:rsid w:val="002D2230"/>
    <w:rsid w:val="002D5F6E"/>
    <w:rsid w:val="002F7732"/>
    <w:rsid w:val="003026BC"/>
    <w:rsid w:val="00306D30"/>
    <w:rsid w:val="00312D5D"/>
    <w:rsid w:val="00321991"/>
    <w:rsid w:val="003401F6"/>
    <w:rsid w:val="00360970"/>
    <w:rsid w:val="00374D10"/>
    <w:rsid w:val="0039529C"/>
    <w:rsid w:val="00402A21"/>
    <w:rsid w:val="00446BFD"/>
    <w:rsid w:val="00473DBD"/>
    <w:rsid w:val="004A6E98"/>
    <w:rsid w:val="004C5D81"/>
    <w:rsid w:val="004D6C96"/>
    <w:rsid w:val="005143E5"/>
    <w:rsid w:val="00516BBF"/>
    <w:rsid w:val="005209E8"/>
    <w:rsid w:val="005454C9"/>
    <w:rsid w:val="0057164D"/>
    <w:rsid w:val="005872F8"/>
    <w:rsid w:val="005A15CA"/>
    <w:rsid w:val="006244EE"/>
    <w:rsid w:val="00630D68"/>
    <w:rsid w:val="006D5560"/>
    <w:rsid w:val="00710219"/>
    <w:rsid w:val="007B3241"/>
    <w:rsid w:val="007F26C9"/>
    <w:rsid w:val="00814ACB"/>
    <w:rsid w:val="00815508"/>
    <w:rsid w:val="0084796E"/>
    <w:rsid w:val="00870314"/>
    <w:rsid w:val="0087716F"/>
    <w:rsid w:val="008A483C"/>
    <w:rsid w:val="008A5CAB"/>
    <w:rsid w:val="008C5067"/>
    <w:rsid w:val="00912162"/>
    <w:rsid w:val="00970889"/>
    <w:rsid w:val="00990974"/>
    <w:rsid w:val="009B6974"/>
    <w:rsid w:val="009F4C22"/>
    <w:rsid w:val="00A03797"/>
    <w:rsid w:val="00A05D2D"/>
    <w:rsid w:val="00A07720"/>
    <w:rsid w:val="00A14D1F"/>
    <w:rsid w:val="00A403D9"/>
    <w:rsid w:val="00A406EC"/>
    <w:rsid w:val="00A40932"/>
    <w:rsid w:val="00AB602A"/>
    <w:rsid w:val="00AD1CEF"/>
    <w:rsid w:val="00AD7CAC"/>
    <w:rsid w:val="00B06590"/>
    <w:rsid w:val="00B22E03"/>
    <w:rsid w:val="00B321F4"/>
    <w:rsid w:val="00B75686"/>
    <w:rsid w:val="00BA1866"/>
    <w:rsid w:val="00BA6147"/>
    <w:rsid w:val="00BC3D15"/>
    <w:rsid w:val="00BD31BE"/>
    <w:rsid w:val="00BF27C3"/>
    <w:rsid w:val="00C10C6A"/>
    <w:rsid w:val="00C26F7C"/>
    <w:rsid w:val="00C54CBB"/>
    <w:rsid w:val="00C6009F"/>
    <w:rsid w:val="00C60A09"/>
    <w:rsid w:val="00C7000A"/>
    <w:rsid w:val="00C806E5"/>
    <w:rsid w:val="00CB793A"/>
    <w:rsid w:val="00CC18ED"/>
    <w:rsid w:val="00CC2304"/>
    <w:rsid w:val="00D26B71"/>
    <w:rsid w:val="00D27275"/>
    <w:rsid w:val="00D507E4"/>
    <w:rsid w:val="00D730BE"/>
    <w:rsid w:val="00D954BB"/>
    <w:rsid w:val="00DC3A01"/>
    <w:rsid w:val="00DC73C7"/>
    <w:rsid w:val="00DD01FA"/>
    <w:rsid w:val="00DF7712"/>
    <w:rsid w:val="00E24577"/>
    <w:rsid w:val="00E26878"/>
    <w:rsid w:val="00F23506"/>
    <w:rsid w:val="00F336E6"/>
    <w:rsid w:val="00F60F51"/>
    <w:rsid w:val="00FA6085"/>
    <w:rsid w:val="00FB4CD9"/>
    <w:rsid w:val="00FC358E"/>
    <w:rsid w:val="00FC60E2"/>
    <w:rsid w:val="00FD06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50" w:line="400" w:lineRule="exact"/>
        <w:ind w:right="-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6EC"/>
    <w:pPr>
      <w:widowControl w:val="0"/>
      <w:spacing w:beforeLines="0" w:line="240" w:lineRule="auto"/>
      <w:ind w:right="0"/>
    </w:pPr>
    <w:rPr>
      <w:rFonts w:ascii="Calibri" w:eastAsia="宋体" w:hAnsi="Calibri" w:cs="Times New Roman"/>
    </w:rPr>
  </w:style>
  <w:style w:type="paragraph" w:styleId="1">
    <w:name w:val="heading 1"/>
    <w:basedOn w:val="a"/>
    <w:next w:val="a"/>
    <w:link w:val="1Char"/>
    <w:qFormat/>
    <w:rsid w:val="00D507E4"/>
    <w:pPr>
      <w:spacing w:beforeLines="50" w:afterLines="50" w:line="360" w:lineRule="auto"/>
      <w:ind w:right="-51"/>
      <w:jc w:val="center"/>
      <w:outlineLvl w:val="0"/>
    </w:pPr>
    <w:rPr>
      <w:rFonts w:ascii="黑体" w:eastAsia="黑体" w:hAnsiTheme="minorHAnsi" w:cstheme="minorBidi"/>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507E4"/>
    <w:rPr>
      <w:rFonts w:ascii="黑体" w:eastAsia="黑体"/>
      <w:kern w:val="2"/>
      <w:sz w:val="32"/>
      <w:szCs w:val="24"/>
    </w:rPr>
  </w:style>
  <w:style w:type="paragraph" w:customStyle="1" w:styleId="Default">
    <w:name w:val="Default"/>
    <w:rsid w:val="00A406EC"/>
    <w:pPr>
      <w:widowControl w:val="0"/>
      <w:autoSpaceDE w:val="0"/>
      <w:autoSpaceDN w:val="0"/>
      <w:adjustRightInd w:val="0"/>
      <w:spacing w:beforeLines="0" w:line="240" w:lineRule="auto"/>
      <w:ind w:right="0"/>
      <w:jc w:val="left"/>
    </w:pPr>
    <w:rPr>
      <w:rFonts w:ascii="Times New Roman" w:eastAsia="宋体" w:hAnsi="Times New Roman" w:cs="Times New Roman"/>
      <w:color w:val="000000"/>
      <w:kern w:val="0"/>
      <w:sz w:val="24"/>
      <w:szCs w:val="24"/>
    </w:rPr>
  </w:style>
  <w:style w:type="paragraph" w:styleId="a3">
    <w:name w:val="Balloon Text"/>
    <w:basedOn w:val="a"/>
    <w:link w:val="Char"/>
    <w:uiPriority w:val="99"/>
    <w:semiHidden/>
    <w:unhideWhenUsed/>
    <w:rsid w:val="00A406EC"/>
    <w:rPr>
      <w:sz w:val="18"/>
      <w:szCs w:val="18"/>
    </w:rPr>
  </w:style>
  <w:style w:type="character" w:customStyle="1" w:styleId="Char">
    <w:name w:val="批注框文本 Char"/>
    <w:basedOn w:val="a0"/>
    <w:link w:val="a3"/>
    <w:uiPriority w:val="99"/>
    <w:semiHidden/>
    <w:rsid w:val="00A406EC"/>
    <w:rPr>
      <w:rFonts w:ascii="Calibri" w:eastAsia="宋体" w:hAnsi="Calibri" w:cs="Times New Roman"/>
      <w:sz w:val="18"/>
      <w:szCs w:val="18"/>
    </w:rPr>
  </w:style>
  <w:style w:type="paragraph" w:styleId="a4">
    <w:name w:val="header"/>
    <w:basedOn w:val="a"/>
    <w:link w:val="Char0"/>
    <w:uiPriority w:val="99"/>
    <w:semiHidden/>
    <w:unhideWhenUsed/>
    <w:rsid w:val="009708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970889"/>
    <w:rPr>
      <w:rFonts w:ascii="Calibri" w:eastAsia="宋体" w:hAnsi="Calibri" w:cs="Times New Roman"/>
      <w:sz w:val="18"/>
      <w:szCs w:val="18"/>
    </w:rPr>
  </w:style>
  <w:style w:type="paragraph" w:styleId="a5">
    <w:name w:val="footer"/>
    <w:basedOn w:val="a"/>
    <w:link w:val="Char1"/>
    <w:uiPriority w:val="99"/>
    <w:semiHidden/>
    <w:unhideWhenUsed/>
    <w:rsid w:val="00970889"/>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97088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10" Target="charts/chart2.xml" Type="http://schemas.openxmlformats.org/officeDocument/2006/relationships/chart"/>
<Relationship Id="rId11" Target="charts/chart3.xml" Type="http://schemas.openxmlformats.org/officeDocument/2006/relationships/chart"/>
<Relationship Id="rId12" Target="header1.xml" Type="http://schemas.openxmlformats.org/officeDocument/2006/relationships/header"/>
<Relationship Id="rId13" Target="header2.xml" Type="http://schemas.openxmlformats.org/officeDocument/2006/relationships/header"/>
<Relationship Id="rId14" Target="footer1.xml" Type="http://schemas.openxmlformats.org/officeDocument/2006/relationships/footer"/>
<Relationship Id="rId15" Target="footer2.xml" Type="http://schemas.openxmlformats.org/officeDocument/2006/relationships/footer"/>
<Relationship Id="rId16" Target="header3.xml" Type="http://schemas.openxmlformats.org/officeDocument/2006/relationships/header"/>
<Relationship Id="rId17" Target="footer3.xml" Type="http://schemas.openxmlformats.org/officeDocument/2006/relationships/footer"/>
<Relationship Id="rId18" Target="fontTable.xml" Type="http://schemas.openxmlformats.org/officeDocument/2006/relationships/fontTable"/>
<Relationship Id="rId19" Target="theme/theme1.xml" Type="http://schemas.openxmlformats.org/officeDocument/2006/relationships/theme"/>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media/image1.emf" Type="http://schemas.openxmlformats.org/officeDocument/2006/relationships/image"/>
<Relationship Id="rId7" Target="http://futures.hexun.com/lldpe/index.html" TargetMode="External" Type="http://schemas.openxmlformats.org/officeDocument/2006/relationships/hyperlink"/>
<Relationship Id="rId8" Target="media/image2.png" Type="http://schemas.openxmlformats.org/officeDocument/2006/relationships/image"/>
<Relationship Id="rId9" Target="charts/chart1.xml" Type="http://schemas.openxmlformats.org/officeDocument/2006/relationships/chart"/>
</Relationships>

</file>

<file path=word/charts/_rels/chart1.xml.rels><?xml version="1.0" encoding="UTF-8" standalone="yes"?>
<Relationships xmlns="http://schemas.openxmlformats.org/package/2006/relationships">
<Relationship Id="rId1" Target="file:///D:/&#22609;&#26009;&#26399;&#36135;/&#25968;&#25454;/LLDPE&#25968;&#25454;%200803%20(&#33258;&#21160;&#20445;&#23384;&#30340;).xls" TargetMode="External" Type="http://schemas.openxmlformats.org/officeDocument/2006/relationships/oleObject"/>
<Relationship Id="rId2" Target="../drawings/drawing1.xml" Type="http://schemas.openxmlformats.org/officeDocument/2006/relationships/chartUserShapes"/>
</Relationships>

</file>

<file path=word/charts/_rels/chart2.xml.rels><?xml version="1.0" encoding="UTF-8" standalone="yes"?>
<Relationships xmlns="http://schemas.openxmlformats.org/package/2006/relationships">
<Relationship Id="rId1" Target="file:///D:/&#22609;&#26009;&#26399;&#36135;/&#25968;&#25454;/LLDPE&#25968;&#25454;%200803%20(&#33258;&#21160;&#20445;&#23384;&#30340;).xls" TargetMode="External" Type="http://schemas.openxmlformats.org/officeDocument/2006/relationships/oleObject"/>
</Relationships>

</file>

<file path=word/charts/_rels/chart3.xml.rels><?xml version="1.0" encoding="UTF-8" standalone="yes"?>
<Relationships xmlns="http://schemas.openxmlformats.org/package/2006/relationships">
<Relationship Id="rId1" Target="file:///D:/&#22609;&#26009;&#26399;&#36135;/&#25968;&#25454;/LLDPE&#25968;&#25454;%200803%20(&#33258;&#21160;&#20445;&#23384;&#30340;).xls" TargetMode="External" Type="http://schemas.openxmlformats.org/officeDocument/2006/relationships/oleObject"/>
</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7.9051383399209488E-2"/>
          <c:y val="0.15181518151815207"/>
          <c:w val="0.89130434782608658"/>
          <c:h val="0.61716171617161764"/>
        </c:manualLayout>
      </c:layout>
      <c:lineChart>
        <c:grouping val="standard"/>
        <c:ser>
          <c:idx val="3"/>
          <c:order val="0"/>
          <c:tx>
            <c:strRef>
              <c:f>塑料制品产量整理!$E$4</c:f>
              <c:strCache>
                <c:ptCount val="1"/>
                <c:pt idx="0">
                  <c:v>2009</c:v>
                </c:pt>
              </c:strCache>
            </c:strRef>
          </c:tx>
          <c:cat>
            <c:strRef>
              <c:f>塑料制品产量整理!$A$5:$A$16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塑料制品产量整理!$E$5:$E$16</c:f>
              <c:numCache>
                <c:formatCode>General</c:formatCode>
                <c:ptCount val="12"/>
                <c:pt idx="0">
                  <c:v>279.89999999999975</c:v>
                </c:pt>
                <c:pt idx="1">
                  <c:v>330.2</c:v>
                </c:pt>
                <c:pt idx="2">
                  <c:v>346.2</c:v>
                </c:pt>
                <c:pt idx="3">
                  <c:v>359.2</c:v>
                </c:pt>
                <c:pt idx="4">
                  <c:v>371.3</c:v>
                </c:pt>
                <c:pt idx="5">
                  <c:v>405.9</c:v>
                </c:pt>
                <c:pt idx="6">
                  <c:v>375.7</c:v>
                </c:pt>
                <c:pt idx="7">
                  <c:v>398.7</c:v>
                </c:pt>
                <c:pt idx="8">
                  <c:v>407.7</c:v>
                </c:pt>
                <c:pt idx="9">
                  <c:v>407.5</c:v>
                </c:pt>
                <c:pt idx="10">
                  <c:v>414.5</c:v>
                </c:pt>
                <c:pt idx="11">
                  <c:v>446.3</c:v>
                </c:pt>
              </c:numCache>
            </c:numRef>
          </c:val>
        </c:ser>
        <c:ser>
          <c:idx val="4"/>
          <c:order val="1"/>
          <c:tx>
            <c:strRef>
              <c:f>塑料制品产量整理!$F$4</c:f>
              <c:strCache>
                <c:ptCount val="1"/>
                <c:pt idx="0">
                  <c:v>2010</c:v>
                </c:pt>
              </c:strCache>
            </c:strRef>
          </c:tx>
          <c:cat>
            <c:strRef>
              <c:f>塑料制品产量整理!$A$5:$A$16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塑料制品产量整理!$F$5:$F$16</c:f>
              <c:numCache>
                <c:formatCode>General</c:formatCode>
                <c:ptCount val="12"/>
                <c:pt idx="0">
                  <c:v>389.4</c:v>
                </c:pt>
                <c:pt idx="1">
                  <c:v>363.2</c:v>
                </c:pt>
                <c:pt idx="2">
                  <c:v>432.1</c:v>
                </c:pt>
                <c:pt idx="3">
                  <c:v>456.4</c:v>
                </c:pt>
                <c:pt idx="4">
                  <c:v>475.6</c:v>
                </c:pt>
                <c:pt idx="5">
                  <c:v>503.4</c:v>
                </c:pt>
                <c:pt idx="6">
                  <c:v>477.2</c:v>
                </c:pt>
                <c:pt idx="7">
                  <c:v>499.1</c:v>
                </c:pt>
                <c:pt idx="8">
                  <c:v>514.79999999999995</c:v>
                </c:pt>
                <c:pt idx="9">
                  <c:v>526</c:v>
                </c:pt>
                <c:pt idx="10">
                  <c:v>535.9</c:v>
                </c:pt>
                <c:pt idx="11">
                  <c:v>558.29999999999995</c:v>
                </c:pt>
              </c:numCache>
            </c:numRef>
          </c:val>
        </c:ser>
        <c:ser>
          <c:idx val="5"/>
          <c:order val="2"/>
          <c:tx>
            <c:strRef>
              <c:f>塑料制品产量整理!$G$4</c:f>
              <c:strCache>
                <c:ptCount val="1"/>
                <c:pt idx="0">
                  <c:v>2011</c:v>
                </c:pt>
              </c:strCache>
            </c:strRef>
          </c:tx>
          <c:cat>
            <c:strRef>
              <c:f>塑料制品产量整理!$A$5:$A$16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塑料制品产量整理!$G$5:$G$16</c:f>
              <c:numCache>
                <c:formatCode>General</c:formatCode>
                <c:ptCount val="12"/>
                <c:pt idx="0">
                  <c:v>374.22999999999979</c:v>
                </c:pt>
                <c:pt idx="1">
                  <c:v>352.17</c:v>
                </c:pt>
                <c:pt idx="2">
                  <c:v>428.11</c:v>
                </c:pt>
                <c:pt idx="3">
                  <c:v>433.11</c:v>
                </c:pt>
                <c:pt idx="4">
                  <c:v>447.22999999999979</c:v>
                </c:pt>
                <c:pt idx="5">
                  <c:v>499.1500000000002</c:v>
                </c:pt>
                <c:pt idx="6">
                  <c:v>458.78</c:v>
                </c:pt>
                <c:pt idx="7">
                  <c:v>459.21</c:v>
                </c:pt>
                <c:pt idx="8">
                  <c:v>496.98999999999978</c:v>
                </c:pt>
                <c:pt idx="9">
                  <c:v>510.5</c:v>
                </c:pt>
                <c:pt idx="10">
                  <c:v>562.79999999999995</c:v>
                </c:pt>
                <c:pt idx="11">
                  <c:v>579.95999999999958</c:v>
                </c:pt>
              </c:numCache>
            </c:numRef>
          </c:val>
        </c:ser>
        <c:ser>
          <c:idx val="0"/>
          <c:order val="3"/>
          <c:tx>
            <c:strRef>
              <c:f>塑料制品产量整理!$H$4</c:f>
              <c:strCache>
                <c:ptCount val="1"/>
                <c:pt idx="0">
                  <c:v>2012</c:v>
                </c:pt>
              </c:strCache>
            </c:strRef>
          </c:tx>
          <c:cat>
            <c:strRef>
              <c:f>塑料制品产量整理!$A$5:$A$16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塑料制品产量整理!$H$5:$H$16</c:f>
              <c:numCache>
                <c:formatCode>General</c:formatCode>
                <c:ptCount val="12"/>
                <c:pt idx="0">
                  <c:v>366.39</c:v>
                </c:pt>
                <c:pt idx="1">
                  <c:v>456.01</c:v>
                </c:pt>
                <c:pt idx="2">
                  <c:v>537.23</c:v>
                </c:pt>
                <c:pt idx="3">
                  <c:v>500.24</c:v>
                </c:pt>
                <c:pt idx="4">
                  <c:v>486.33</c:v>
                </c:pt>
                <c:pt idx="5">
                  <c:v>526.77000000000044</c:v>
                </c:pt>
                <c:pt idx="6">
                  <c:v>506.1</c:v>
                </c:pt>
                <c:pt idx="7">
                  <c:v>491.1</c:v>
                </c:pt>
                <c:pt idx="8">
                  <c:v>506.8</c:v>
                </c:pt>
                <c:pt idx="9">
                  <c:v>508.7</c:v>
                </c:pt>
                <c:pt idx="10">
                  <c:v>552.1</c:v>
                </c:pt>
                <c:pt idx="11">
                  <c:v>557.9</c:v>
                </c:pt>
              </c:numCache>
            </c:numRef>
          </c:val>
        </c:ser>
        <c:ser>
          <c:idx val="6"/>
          <c:order val="4"/>
          <c:tx>
            <c:strRef>
              <c:f>塑料制品产量整理!$I$4</c:f>
              <c:strCache>
                <c:ptCount val="1"/>
                <c:pt idx="0">
                  <c:v>2013年</c:v>
                </c:pt>
              </c:strCache>
            </c:strRef>
          </c:tx>
          <c:spPr>
            <a:ln>
              <a:solidFill>
                <a:srgbClr val="FF0000"/>
              </a:solidFill>
            </a:ln>
          </c:spPr>
          <c:marker>
            <c:spPr>
              <a:solidFill>
                <a:srgbClr val="FF0000"/>
              </a:solidFill>
            </c:spPr>
          </c:marker>
          <c:cat>
            <c:strRef>
              <c:f>塑料制品产量整理!$A$5:$A$16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塑料制品产量整理!$I$5:$I$16</c:f>
              <c:numCache>
                <c:formatCode>0.00_);[Red]\(0.00\)</c:formatCode>
                <c:ptCount val="12"/>
                <c:pt idx="0">
                  <c:v>470.5</c:v>
                </c:pt>
                <c:pt idx="1">
                  <c:v>412.6</c:v>
                </c:pt>
                <c:pt idx="2">
                  <c:v>509.8</c:v>
                </c:pt>
                <c:pt idx="3">
                  <c:v>502.6</c:v>
                </c:pt>
                <c:pt idx="4">
                  <c:v>511.6</c:v>
                </c:pt>
                <c:pt idx="5">
                  <c:v>558.79999999999995</c:v>
                </c:pt>
                <c:pt idx="6">
                  <c:v>502.1</c:v>
                </c:pt>
                <c:pt idx="7">
                  <c:v>507.2</c:v>
                </c:pt>
                <c:pt idx="8">
                  <c:v>558.5</c:v>
                </c:pt>
                <c:pt idx="9">
                  <c:v>565.29999999999995</c:v>
                </c:pt>
                <c:pt idx="10">
                  <c:v>581.1</c:v>
                </c:pt>
                <c:pt idx="11">
                  <c:v>593.6</c:v>
                </c:pt>
              </c:numCache>
            </c:numRef>
          </c:val>
        </c:ser>
        <c:ser>
          <c:idx val="7"/>
          <c:order val="5"/>
          <c:tx>
            <c:strRef>
              <c:f>塑料制品产量整理!$J$4</c:f>
              <c:strCache>
                <c:ptCount val="1"/>
                <c:pt idx="0">
                  <c:v>2014年</c:v>
                </c:pt>
              </c:strCache>
            </c:strRef>
          </c:tx>
          <c:cat>
            <c:strRef>
              <c:f>塑料制品产量整理!$A$5:$A$16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塑料制品产量整理!$J$5:$J$16</c:f>
              <c:numCache>
                <c:formatCode>General</c:formatCode>
                <c:ptCount val="12"/>
                <c:pt idx="0">
                  <c:v>419.8</c:v>
                </c:pt>
                <c:pt idx="1">
                  <c:v>419.8</c:v>
                </c:pt>
                <c:pt idx="2">
                  <c:v>557.70000000000005</c:v>
                </c:pt>
                <c:pt idx="3">
                  <c:v>542.79999999999995</c:v>
                </c:pt>
                <c:pt idx="4">
                  <c:v>623.20000000000005</c:v>
                </c:pt>
                <c:pt idx="5">
                  <c:v>683.3</c:v>
                </c:pt>
                <c:pt idx="6">
                  <c:v>629.1</c:v>
                </c:pt>
                <c:pt idx="7">
                  <c:v>623.5</c:v>
                </c:pt>
                <c:pt idx="8">
                  <c:v>665.3</c:v>
                </c:pt>
                <c:pt idx="9">
                  <c:v>662.8</c:v>
                </c:pt>
                <c:pt idx="10">
                  <c:v>682.3</c:v>
                </c:pt>
                <c:pt idx="11">
                  <c:v>696.8</c:v>
                </c:pt>
              </c:numCache>
            </c:numRef>
          </c:val>
        </c:ser>
        <c:ser>
          <c:idx val="1"/>
          <c:order val="6"/>
          <c:tx>
            <c:strRef>
              <c:f>塑料制品产量整理!$K$4</c:f>
              <c:strCache>
                <c:ptCount val="1"/>
                <c:pt idx="0">
                  <c:v>2015</c:v>
                </c:pt>
              </c:strCache>
            </c:strRef>
          </c:tx>
          <c:cat>
            <c:strRef>
              <c:f>塑料制品产量整理!$A$5:$A$16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塑料制品产量整理!$K$5:$K$16</c:f>
              <c:numCache>
                <c:formatCode>General</c:formatCode>
                <c:ptCount val="12"/>
                <c:pt idx="2">
                  <c:v>590.70000000000005</c:v>
                </c:pt>
                <c:pt idx="3">
                  <c:v>597.9</c:v>
                </c:pt>
                <c:pt idx="4">
                  <c:v>617.79999999999995</c:v>
                </c:pt>
                <c:pt idx="5">
                  <c:v>684.5</c:v>
                </c:pt>
                <c:pt idx="6">
                  <c:v>663.9</c:v>
                </c:pt>
              </c:numCache>
            </c:numRef>
          </c:val>
        </c:ser>
        <c:marker val="1"/>
        <c:axId val="82832000"/>
        <c:axId val="82835328"/>
      </c:lineChart>
      <c:catAx>
        <c:axId val="82832000"/>
        <c:scaling>
          <c:orientation val="minMax"/>
        </c:scaling>
        <c:axPos val="b"/>
        <c:numFmt formatCode="General" sourceLinked="1"/>
        <c:tickLblPos val="nextTo"/>
        <c:txPr>
          <a:bodyPr/>
          <a:lstStyle/>
          <a:p>
            <a:pPr>
              <a:defRPr b="1"/>
            </a:pPr>
            <a:endParaRPr lang="zh-CN"/>
          </a:p>
        </c:txPr>
        <c:crossAx val="82835328"/>
        <c:crosses val="autoZero"/>
        <c:auto val="1"/>
        <c:lblAlgn val="ctr"/>
        <c:lblOffset val="100"/>
      </c:catAx>
      <c:valAx>
        <c:axId val="82835328"/>
        <c:scaling>
          <c:orientation val="minMax"/>
          <c:min val="150"/>
        </c:scaling>
        <c:axPos val="l"/>
        <c:majorGridlines/>
        <c:numFmt formatCode="General" sourceLinked="1"/>
        <c:tickLblPos val="nextTo"/>
        <c:txPr>
          <a:bodyPr/>
          <a:lstStyle/>
          <a:p>
            <a:pPr>
              <a:defRPr b="1"/>
            </a:pPr>
            <a:endParaRPr lang="zh-CN"/>
          </a:p>
        </c:txPr>
        <c:crossAx val="82832000"/>
        <c:crosses val="autoZero"/>
        <c:crossBetween val="between"/>
      </c:valAx>
    </c:plotArea>
    <c:legend>
      <c:legendPos val="r"/>
      <c:layout>
        <c:manualLayout>
          <c:xMode val="edge"/>
          <c:yMode val="edge"/>
          <c:x val="4.7412156484392017E-2"/>
          <c:y val="0.89878987898789875"/>
          <c:w val="0.95258784351560799"/>
          <c:h val="7.4807480748074834E-2"/>
        </c:manualLayout>
      </c:layout>
      <c:spPr>
        <a:noFill/>
        <a:ln w="25400">
          <a:noFill/>
        </a:ln>
      </c:spPr>
      <c:txPr>
        <a:bodyPr/>
        <a:lstStyle/>
        <a:p>
          <a:pPr>
            <a:defRPr b="1"/>
          </a:pPr>
          <a:endParaRPr lang="zh-CN"/>
        </a:p>
      </c:txPr>
    </c:legend>
    <c:plotVisOnly val="1"/>
    <c:dispBlanksAs val="gap"/>
  </c:chart>
  <c:spPr>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00" b="1">
                <a:latin typeface="+mn-ea"/>
                <a:ea typeface="+mn-ea"/>
              </a:defRPr>
            </a:pPr>
            <a:r>
              <a:rPr lang="zh-CN" altLang="en-US" sz="1000" b="1">
                <a:latin typeface="+mn-ea"/>
                <a:ea typeface="+mn-ea"/>
              </a:rPr>
              <a:t>塑料薄膜月度产量</a:t>
            </a:r>
          </a:p>
        </c:rich>
      </c:tx>
      <c:spPr>
        <a:noFill/>
        <a:ln w="25400">
          <a:noFill/>
        </a:ln>
      </c:spPr>
    </c:title>
    <c:plotArea>
      <c:layout>
        <c:manualLayout>
          <c:layoutTarget val="inner"/>
          <c:xMode val="edge"/>
          <c:yMode val="edge"/>
          <c:x val="0.10442600276625198"/>
          <c:y val="8.9655172413793352E-2"/>
          <c:w val="0.89419087136929465"/>
          <c:h val="0.6321330172126276"/>
        </c:manualLayout>
      </c:layout>
      <c:lineChart>
        <c:grouping val="standard"/>
        <c:ser>
          <c:idx val="0"/>
          <c:order val="0"/>
          <c:tx>
            <c:strRef>
              <c:f>塑料制品产量整理!$F$20</c:f>
              <c:strCache>
                <c:ptCount val="1"/>
                <c:pt idx="0">
                  <c:v>2010</c:v>
                </c:pt>
              </c:strCache>
            </c:strRef>
          </c:tx>
          <c:spPr>
            <a:ln w="12700">
              <a:solidFill>
                <a:srgbClr val="000080"/>
              </a:solidFill>
              <a:prstDash val="solid"/>
            </a:ln>
          </c:spPr>
          <c:marker>
            <c:symbol val="diamond"/>
            <c:size val="5"/>
            <c:spPr>
              <a:solidFill>
                <a:srgbClr val="000080"/>
              </a:solidFill>
              <a:ln>
                <a:solidFill>
                  <a:srgbClr val="000000"/>
                </a:solidFill>
                <a:prstDash val="solid"/>
              </a:ln>
            </c:spPr>
          </c:marker>
          <c:cat>
            <c:strRef>
              <c:f>塑料制品产量整理!$A$21:$A$31</c:f>
              <c:strCache>
                <c:ptCount val="11"/>
                <c:pt idx="0">
                  <c:v>Jan</c:v>
                </c:pt>
                <c:pt idx="1">
                  <c:v>Feb</c:v>
                </c:pt>
                <c:pt idx="2">
                  <c:v>Mar</c:v>
                </c:pt>
                <c:pt idx="3">
                  <c:v>Apr</c:v>
                </c:pt>
                <c:pt idx="4">
                  <c:v>May</c:v>
                </c:pt>
                <c:pt idx="5">
                  <c:v>Jun</c:v>
                </c:pt>
                <c:pt idx="6">
                  <c:v>Jul</c:v>
                </c:pt>
                <c:pt idx="7">
                  <c:v>Aug</c:v>
                </c:pt>
                <c:pt idx="8">
                  <c:v>Sep</c:v>
                </c:pt>
                <c:pt idx="9">
                  <c:v>Oct</c:v>
                </c:pt>
                <c:pt idx="10">
                  <c:v>Nov</c:v>
                </c:pt>
              </c:strCache>
            </c:strRef>
          </c:cat>
          <c:val>
            <c:numRef>
              <c:f>塑料制品产量整理!$F$21:$F$31</c:f>
              <c:numCache>
                <c:formatCode>General</c:formatCode>
                <c:ptCount val="11"/>
                <c:pt idx="0">
                  <c:v>56.9</c:v>
                </c:pt>
                <c:pt idx="1">
                  <c:v>53.1</c:v>
                </c:pt>
                <c:pt idx="2">
                  <c:v>64.599999999999994</c:v>
                </c:pt>
                <c:pt idx="3">
                  <c:v>66.099999999999994</c:v>
                </c:pt>
                <c:pt idx="4">
                  <c:v>66.599999999999994</c:v>
                </c:pt>
                <c:pt idx="5">
                  <c:v>69.7</c:v>
                </c:pt>
                <c:pt idx="6">
                  <c:v>64.599999999999994</c:v>
                </c:pt>
                <c:pt idx="7">
                  <c:v>64.2</c:v>
                </c:pt>
                <c:pt idx="8">
                  <c:v>70.400000000000006</c:v>
                </c:pt>
                <c:pt idx="9">
                  <c:v>71.5</c:v>
                </c:pt>
                <c:pt idx="10">
                  <c:v>74.8</c:v>
                </c:pt>
              </c:numCache>
            </c:numRef>
          </c:val>
        </c:ser>
        <c:ser>
          <c:idx val="4"/>
          <c:order val="1"/>
          <c:tx>
            <c:strRef>
              <c:f>塑料制品产量整理!$G$20</c:f>
              <c:strCache>
                <c:ptCount val="1"/>
                <c:pt idx="0">
                  <c:v>2011</c:v>
                </c:pt>
              </c:strCache>
            </c:strRef>
          </c:tx>
          <c:cat>
            <c:strRef>
              <c:f>塑料制品产量整理!$A$21:$A$31</c:f>
              <c:strCache>
                <c:ptCount val="11"/>
                <c:pt idx="0">
                  <c:v>Jan</c:v>
                </c:pt>
                <c:pt idx="1">
                  <c:v>Feb</c:v>
                </c:pt>
                <c:pt idx="2">
                  <c:v>Mar</c:v>
                </c:pt>
                <c:pt idx="3">
                  <c:v>Apr</c:v>
                </c:pt>
                <c:pt idx="4">
                  <c:v>May</c:v>
                </c:pt>
                <c:pt idx="5">
                  <c:v>Jun</c:v>
                </c:pt>
                <c:pt idx="6">
                  <c:v>Jul</c:v>
                </c:pt>
                <c:pt idx="7">
                  <c:v>Aug</c:v>
                </c:pt>
                <c:pt idx="8">
                  <c:v>Sep</c:v>
                </c:pt>
                <c:pt idx="9">
                  <c:v>Oct</c:v>
                </c:pt>
                <c:pt idx="10">
                  <c:v>Nov</c:v>
                </c:pt>
              </c:strCache>
            </c:strRef>
          </c:cat>
          <c:val>
            <c:numRef>
              <c:f>塑料制品产量整理!$G$21:$G$31</c:f>
              <c:numCache>
                <c:formatCode>General</c:formatCode>
                <c:ptCount val="11"/>
                <c:pt idx="0">
                  <c:v>64.989999999999995</c:v>
                </c:pt>
                <c:pt idx="1">
                  <c:v>59.9</c:v>
                </c:pt>
                <c:pt idx="2">
                  <c:v>69</c:v>
                </c:pt>
                <c:pt idx="3">
                  <c:v>67.900000000000006</c:v>
                </c:pt>
                <c:pt idx="4">
                  <c:v>70.040000000000006</c:v>
                </c:pt>
                <c:pt idx="5">
                  <c:v>70.5</c:v>
                </c:pt>
                <c:pt idx="6">
                  <c:v>70.599999999999994</c:v>
                </c:pt>
                <c:pt idx="7">
                  <c:v>71.2</c:v>
                </c:pt>
                <c:pt idx="8">
                  <c:v>72.5</c:v>
                </c:pt>
                <c:pt idx="9">
                  <c:v>74.8</c:v>
                </c:pt>
                <c:pt idx="10">
                  <c:v>77.7</c:v>
                </c:pt>
              </c:numCache>
            </c:numRef>
          </c:val>
        </c:ser>
        <c:ser>
          <c:idx val="5"/>
          <c:order val="2"/>
          <c:tx>
            <c:strRef>
              <c:f>塑料制品产量整理!$H$20</c:f>
              <c:strCache>
                <c:ptCount val="1"/>
                <c:pt idx="0">
                  <c:v>2012</c:v>
                </c:pt>
              </c:strCache>
            </c:strRef>
          </c:tx>
          <c:cat>
            <c:strRef>
              <c:f>塑料制品产量整理!$A$21:$A$31</c:f>
              <c:strCache>
                <c:ptCount val="11"/>
                <c:pt idx="0">
                  <c:v>Jan</c:v>
                </c:pt>
                <c:pt idx="1">
                  <c:v>Feb</c:v>
                </c:pt>
                <c:pt idx="2">
                  <c:v>Mar</c:v>
                </c:pt>
                <c:pt idx="3">
                  <c:v>Apr</c:v>
                </c:pt>
                <c:pt idx="4">
                  <c:v>May</c:v>
                </c:pt>
                <c:pt idx="5">
                  <c:v>Jun</c:v>
                </c:pt>
                <c:pt idx="6">
                  <c:v>Jul</c:v>
                </c:pt>
                <c:pt idx="7">
                  <c:v>Aug</c:v>
                </c:pt>
                <c:pt idx="8">
                  <c:v>Sep</c:v>
                </c:pt>
                <c:pt idx="9">
                  <c:v>Oct</c:v>
                </c:pt>
                <c:pt idx="10">
                  <c:v>Nov</c:v>
                </c:pt>
              </c:strCache>
            </c:strRef>
          </c:cat>
          <c:val>
            <c:numRef>
              <c:f>塑料制品产量整理!$H$21:$H$31</c:f>
              <c:numCache>
                <c:formatCode>General</c:formatCode>
                <c:ptCount val="11"/>
                <c:pt idx="0">
                  <c:v>68.7</c:v>
                </c:pt>
                <c:pt idx="1">
                  <c:v>75.8</c:v>
                </c:pt>
                <c:pt idx="2">
                  <c:v>83.3</c:v>
                </c:pt>
                <c:pt idx="3">
                  <c:v>77</c:v>
                </c:pt>
                <c:pt idx="4">
                  <c:v>79.099999999999994</c:v>
                </c:pt>
                <c:pt idx="5">
                  <c:v>80</c:v>
                </c:pt>
                <c:pt idx="6">
                  <c:v>77.2</c:v>
                </c:pt>
                <c:pt idx="7">
                  <c:v>80.900000000000006</c:v>
                </c:pt>
                <c:pt idx="8">
                  <c:v>88.85</c:v>
                </c:pt>
                <c:pt idx="9">
                  <c:v>87.960000000000022</c:v>
                </c:pt>
                <c:pt idx="10">
                  <c:v>89.679999999999978</c:v>
                </c:pt>
              </c:numCache>
            </c:numRef>
          </c:val>
        </c:ser>
        <c:ser>
          <c:idx val="6"/>
          <c:order val="3"/>
          <c:tx>
            <c:strRef>
              <c:f>塑料制品产量整理!$I$20</c:f>
              <c:strCache>
                <c:ptCount val="1"/>
                <c:pt idx="0">
                  <c:v>2013</c:v>
                </c:pt>
              </c:strCache>
            </c:strRef>
          </c:tx>
          <c:cat>
            <c:strRef>
              <c:f>塑料制品产量整理!$A$21:$A$31</c:f>
              <c:strCache>
                <c:ptCount val="11"/>
                <c:pt idx="0">
                  <c:v>Jan</c:v>
                </c:pt>
                <c:pt idx="1">
                  <c:v>Feb</c:v>
                </c:pt>
                <c:pt idx="2">
                  <c:v>Mar</c:v>
                </c:pt>
                <c:pt idx="3">
                  <c:v>Apr</c:v>
                </c:pt>
                <c:pt idx="4">
                  <c:v>May</c:v>
                </c:pt>
                <c:pt idx="5">
                  <c:v>Jun</c:v>
                </c:pt>
                <c:pt idx="6">
                  <c:v>Jul</c:v>
                </c:pt>
                <c:pt idx="7">
                  <c:v>Aug</c:v>
                </c:pt>
                <c:pt idx="8">
                  <c:v>Sep</c:v>
                </c:pt>
                <c:pt idx="9">
                  <c:v>Oct</c:v>
                </c:pt>
                <c:pt idx="10">
                  <c:v>Nov</c:v>
                </c:pt>
              </c:strCache>
            </c:strRef>
          </c:cat>
          <c:val>
            <c:numRef>
              <c:f>塑料制品产量整理!$I$21:$I$31</c:f>
              <c:numCache>
                <c:formatCode>General</c:formatCode>
                <c:ptCount val="11"/>
                <c:pt idx="0">
                  <c:v>80.7</c:v>
                </c:pt>
                <c:pt idx="1">
                  <c:v>72.599999999999994</c:v>
                </c:pt>
                <c:pt idx="2">
                  <c:v>95.679999999999978</c:v>
                </c:pt>
                <c:pt idx="3">
                  <c:v>89.31</c:v>
                </c:pt>
                <c:pt idx="4">
                  <c:v>88.81</c:v>
                </c:pt>
                <c:pt idx="5">
                  <c:v>90.97</c:v>
                </c:pt>
                <c:pt idx="6">
                  <c:v>86.440000000000026</c:v>
                </c:pt>
                <c:pt idx="7">
                  <c:v>87.76</c:v>
                </c:pt>
                <c:pt idx="8">
                  <c:v>96.16</c:v>
                </c:pt>
                <c:pt idx="9">
                  <c:v>96.28</c:v>
                </c:pt>
                <c:pt idx="10">
                  <c:v>102.98</c:v>
                </c:pt>
              </c:numCache>
            </c:numRef>
          </c:val>
        </c:ser>
        <c:ser>
          <c:idx val="1"/>
          <c:order val="4"/>
          <c:tx>
            <c:strRef>
              <c:f>塑料制品产量整理!$J$20</c:f>
              <c:strCache>
                <c:ptCount val="1"/>
                <c:pt idx="0">
                  <c:v>2014</c:v>
                </c:pt>
              </c:strCache>
            </c:strRef>
          </c:tx>
          <c:cat>
            <c:strRef>
              <c:f>塑料制品产量整理!$A$21:$A$31</c:f>
              <c:strCache>
                <c:ptCount val="11"/>
                <c:pt idx="0">
                  <c:v>Jan</c:v>
                </c:pt>
                <c:pt idx="1">
                  <c:v>Feb</c:v>
                </c:pt>
                <c:pt idx="2">
                  <c:v>Mar</c:v>
                </c:pt>
                <c:pt idx="3">
                  <c:v>Apr</c:v>
                </c:pt>
                <c:pt idx="4">
                  <c:v>May</c:v>
                </c:pt>
                <c:pt idx="5">
                  <c:v>Jun</c:v>
                </c:pt>
                <c:pt idx="6">
                  <c:v>Jul</c:v>
                </c:pt>
                <c:pt idx="7">
                  <c:v>Aug</c:v>
                </c:pt>
                <c:pt idx="8">
                  <c:v>Sep</c:v>
                </c:pt>
                <c:pt idx="9">
                  <c:v>Oct</c:v>
                </c:pt>
                <c:pt idx="10">
                  <c:v>Nov</c:v>
                </c:pt>
              </c:strCache>
            </c:strRef>
          </c:cat>
          <c:val>
            <c:numRef>
              <c:f>塑料制品产量整理!$J$21:$J$31</c:f>
              <c:numCache>
                <c:formatCode>General</c:formatCode>
                <c:ptCount val="11"/>
                <c:pt idx="0">
                  <c:v>80.3</c:v>
                </c:pt>
                <c:pt idx="1">
                  <c:v>80.3</c:v>
                </c:pt>
                <c:pt idx="2">
                  <c:v>100.64999999999999</c:v>
                </c:pt>
                <c:pt idx="3">
                  <c:v>97.93</c:v>
                </c:pt>
                <c:pt idx="4">
                  <c:v>105.33</c:v>
                </c:pt>
                <c:pt idx="5">
                  <c:v>117.78</c:v>
                </c:pt>
                <c:pt idx="6">
                  <c:v>99.64</c:v>
                </c:pt>
                <c:pt idx="7" formatCode="###,###,###,###,##0.00_ ">
                  <c:v>101.0274</c:v>
                </c:pt>
                <c:pt idx="8" formatCode="###,###,###,###,##0.00_ ">
                  <c:v>107.30119999999999</c:v>
                </c:pt>
                <c:pt idx="9" formatCode="###,###,###,###,##0.00_ ">
                  <c:v>107.94280000000002</c:v>
                </c:pt>
                <c:pt idx="10" formatCode="###,###,###,###,##0.00_ ">
                  <c:v>117.3892</c:v>
                </c:pt>
              </c:numCache>
            </c:numRef>
          </c:val>
        </c:ser>
        <c:ser>
          <c:idx val="2"/>
          <c:order val="5"/>
          <c:tx>
            <c:strRef>
              <c:f>塑料制品产量整理!$K$20</c:f>
              <c:strCache>
                <c:ptCount val="1"/>
                <c:pt idx="0">
                  <c:v>2015</c:v>
                </c:pt>
              </c:strCache>
            </c:strRef>
          </c:tx>
          <c:cat>
            <c:strRef>
              <c:f>塑料制品产量整理!$A$21:$A$31</c:f>
              <c:strCache>
                <c:ptCount val="11"/>
                <c:pt idx="0">
                  <c:v>Jan</c:v>
                </c:pt>
                <c:pt idx="1">
                  <c:v>Feb</c:v>
                </c:pt>
                <c:pt idx="2">
                  <c:v>Mar</c:v>
                </c:pt>
                <c:pt idx="3">
                  <c:v>Apr</c:v>
                </c:pt>
                <c:pt idx="4">
                  <c:v>May</c:v>
                </c:pt>
                <c:pt idx="5">
                  <c:v>Jun</c:v>
                </c:pt>
                <c:pt idx="6">
                  <c:v>Jul</c:v>
                </c:pt>
                <c:pt idx="7">
                  <c:v>Aug</c:v>
                </c:pt>
                <c:pt idx="8">
                  <c:v>Sep</c:v>
                </c:pt>
                <c:pt idx="9">
                  <c:v>Oct</c:v>
                </c:pt>
                <c:pt idx="10">
                  <c:v>Nov</c:v>
                </c:pt>
              </c:strCache>
            </c:strRef>
          </c:cat>
          <c:val>
            <c:numRef>
              <c:f>塑料制品产量整理!$K$21:$K$31</c:f>
              <c:numCache>
                <c:formatCode>General</c:formatCode>
                <c:ptCount val="11"/>
                <c:pt idx="3" formatCode="###,###,###,###,##0.00_ ">
                  <c:v>105.5347</c:v>
                </c:pt>
                <c:pt idx="4" formatCode="###,###,###,###,##0.00_ ">
                  <c:v>105.0792</c:v>
                </c:pt>
                <c:pt idx="5" formatCode="###,###,###,###,##0.00_ ">
                  <c:v>104.96910000000005</c:v>
                </c:pt>
                <c:pt idx="6" formatCode="###,###,###,###,##0.00_ ">
                  <c:v>120.181</c:v>
                </c:pt>
                <c:pt idx="7" formatCode="###,###,###,###,##0.00_ ">
                  <c:v>107.1992</c:v>
                </c:pt>
              </c:numCache>
            </c:numRef>
          </c:val>
        </c:ser>
        <c:marker val="1"/>
        <c:axId val="122345344"/>
        <c:axId val="127832064"/>
      </c:lineChart>
      <c:catAx>
        <c:axId val="122345344"/>
        <c:scaling>
          <c:orientation val="minMax"/>
        </c:scaling>
        <c:axPos val="b"/>
        <c:numFmt formatCode="General" sourceLinked="1"/>
        <c:majorTickMark val="in"/>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zh-CN"/>
          </a:p>
        </c:txPr>
        <c:crossAx val="127832064"/>
        <c:crosses val="autoZero"/>
        <c:auto val="1"/>
        <c:lblAlgn val="ctr"/>
        <c:lblOffset val="100"/>
        <c:tickLblSkip val="1"/>
        <c:tickMarkSkip val="1"/>
      </c:catAx>
      <c:valAx>
        <c:axId val="127832064"/>
        <c:scaling>
          <c:orientation val="minMax"/>
          <c:min val="30"/>
        </c:scaling>
        <c:axPos val="l"/>
        <c:numFmt formatCode="General" sourceLinked="1"/>
        <c:majorTickMark val="in"/>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zh-CN"/>
          </a:p>
        </c:txPr>
        <c:crossAx val="122345344"/>
        <c:crosses val="autoZero"/>
        <c:crossBetween val="between"/>
      </c:valAx>
      <c:spPr>
        <a:solidFill>
          <a:srgbClr val="FFFFFF"/>
        </a:solidFill>
        <a:ln w="12700">
          <a:solidFill>
            <a:srgbClr val="FFFFFF"/>
          </a:solidFill>
          <a:prstDash val="solid"/>
        </a:ln>
      </c:spPr>
    </c:plotArea>
    <c:legend>
      <c:legendPos val="r"/>
      <c:layout>
        <c:manualLayout>
          <c:xMode val="edge"/>
          <c:yMode val="edge"/>
          <c:x val="0.10810832637604292"/>
          <c:y val="0.82758620689655149"/>
          <c:w val="0.88260568260568373"/>
          <c:h val="0.17241379310344854"/>
        </c:manualLayout>
      </c:layout>
      <c:spPr>
        <a:solidFill>
          <a:srgbClr val="FFFFFF"/>
        </a:solidFill>
        <a:ln w="3175">
          <a:solidFill>
            <a:srgbClr val="FFFFFF"/>
          </a:solidFill>
          <a:prstDash val="solid"/>
        </a:ln>
      </c:spPr>
      <c:txPr>
        <a:bodyPr/>
        <a:lstStyle/>
        <a:p>
          <a:pPr>
            <a:defRPr sz="920" b="1" i="0" u="none" strike="noStrike" baseline="0">
              <a:solidFill>
                <a:srgbClr val="000000"/>
              </a:solidFill>
              <a:latin typeface="Times New Roman"/>
              <a:ea typeface="Times New Roman"/>
              <a:cs typeface="Times New Roman"/>
            </a:defRPr>
          </a:pPr>
          <a:endParaRPr lang="zh-CN"/>
        </a:p>
      </c:txPr>
    </c:legend>
    <c:plotVisOnly val="1"/>
    <c:dispBlanksAs val="gap"/>
  </c:chart>
  <c:spPr>
    <a:solidFill>
      <a:srgbClr val="FFFFFF"/>
    </a:solidFill>
    <a:ln w="12700">
      <a:solidFill>
        <a:srgbClr val="FFFFFF"/>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00" b="1">
                <a:latin typeface="+mn-ea"/>
                <a:ea typeface="+mn-ea"/>
              </a:defRPr>
            </a:pPr>
            <a:r>
              <a:rPr lang="zh-CN" altLang="en-US" sz="1000" b="1">
                <a:latin typeface="+mn-ea"/>
                <a:ea typeface="+mn-ea"/>
              </a:rPr>
              <a:t>农用薄膜月度产量</a:t>
            </a:r>
          </a:p>
        </c:rich>
      </c:tx>
      <c:spPr>
        <a:noFill/>
        <a:ln w="25400">
          <a:noFill/>
        </a:ln>
      </c:spPr>
    </c:title>
    <c:plotArea>
      <c:layout>
        <c:manualLayout>
          <c:layoutTarget val="inner"/>
          <c:xMode val="edge"/>
          <c:yMode val="edge"/>
          <c:x val="7.1814317327981103E-2"/>
          <c:y val="0.10065088153733434"/>
          <c:w val="0.86128364389233958"/>
          <c:h val="0.66315789473684261"/>
        </c:manualLayout>
      </c:layout>
      <c:lineChart>
        <c:grouping val="standard"/>
        <c:ser>
          <c:idx val="3"/>
          <c:order val="0"/>
          <c:tx>
            <c:strRef>
              <c:f>塑料制品产量整理!$E$35</c:f>
              <c:strCache>
                <c:ptCount val="1"/>
                <c:pt idx="0">
                  <c:v>2009</c:v>
                </c:pt>
              </c:strCache>
            </c:strRef>
          </c:tx>
          <c:spPr>
            <a:ln w="12700">
              <a:solidFill>
                <a:srgbClr val="00FFFF"/>
              </a:solidFill>
              <a:prstDash val="solid"/>
            </a:ln>
          </c:spPr>
          <c:marker>
            <c:symbol val="x"/>
            <c:size val="5"/>
            <c:spPr>
              <a:noFill/>
              <a:ln>
                <a:solidFill>
                  <a:srgbClr val="000000"/>
                </a:solidFill>
                <a:prstDash val="solid"/>
              </a:ln>
            </c:spPr>
          </c:marker>
          <c:cat>
            <c:strRef>
              <c:f>塑料制品产量整理!$A$36:$A$47</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塑料制品产量整理!$E$36:$E$47</c:f>
              <c:numCache>
                <c:formatCode>General</c:formatCode>
                <c:ptCount val="12"/>
                <c:pt idx="0">
                  <c:v>6.8</c:v>
                </c:pt>
                <c:pt idx="1">
                  <c:v>10</c:v>
                </c:pt>
                <c:pt idx="2">
                  <c:v>11.8</c:v>
                </c:pt>
                <c:pt idx="3">
                  <c:v>9.4</c:v>
                </c:pt>
                <c:pt idx="4">
                  <c:v>8.7000000000000011</c:v>
                </c:pt>
                <c:pt idx="5">
                  <c:v>10.7</c:v>
                </c:pt>
                <c:pt idx="6">
                  <c:v>9.1</c:v>
                </c:pt>
                <c:pt idx="7">
                  <c:v>8.7000000000000011</c:v>
                </c:pt>
                <c:pt idx="8">
                  <c:v>9.5</c:v>
                </c:pt>
                <c:pt idx="9">
                  <c:v>10.4</c:v>
                </c:pt>
                <c:pt idx="10">
                  <c:v>11.4</c:v>
                </c:pt>
                <c:pt idx="11">
                  <c:v>12.4</c:v>
                </c:pt>
              </c:numCache>
            </c:numRef>
          </c:val>
        </c:ser>
        <c:ser>
          <c:idx val="0"/>
          <c:order val="1"/>
          <c:tx>
            <c:strRef>
              <c:f>塑料制品产量整理!$F$35</c:f>
              <c:strCache>
                <c:ptCount val="1"/>
                <c:pt idx="0">
                  <c:v>2010</c:v>
                </c:pt>
              </c:strCache>
            </c:strRef>
          </c:tx>
          <c:spPr>
            <a:ln w="12700">
              <a:solidFill>
                <a:srgbClr val="000080"/>
              </a:solidFill>
              <a:prstDash val="solid"/>
            </a:ln>
          </c:spPr>
          <c:marker>
            <c:symbol val="diamond"/>
            <c:size val="5"/>
            <c:spPr>
              <a:solidFill>
                <a:srgbClr val="000080"/>
              </a:solidFill>
              <a:ln>
                <a:solidFill>
                  <a:srgbClr val="000000"/>
                </a:solidFill>
                <a:prstDash val="solid"/>
              </a:ln>
            </c:spPr>
          </c:marker>
          <c:cat>
            <c:strRef>
              <c:f>塑料制品产量整理!$A$36:$A$47</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塑料制品产量整理!$F$36:$F$47</c:f>
              <c:numCache>
                <c:formatCode>General</c:formatCode>
                <c:ptCount val="12"/>
                <c:pt idx="0">
                  <c:v>10.6</c:v>
                </c:pt>
                <c:pt idx="1">
                  <c:v>10</c:v>
                </c:pt>
                <c:pt idx="2">
                  <c:v>15</c:v>
                </c:pt>
                <c:pt idx="3">
                  <c:v>13.4</c:v>
                </c:pt>
                <c:pt idx="4">
                  <c:v>11.3</c:v>
                </c:pt>
                <c:pt idx="5">
                  <c:v>12.5</c:v>
                </c:pt>
                <c:pt idx="6">
                  <c:v>11.3</c:v>
                </c:pt>
                <c:pt idx="7">
                  <c:v>11.7</c:v>
                </c:pt>
                <c:pt idx="8">
                  <c:v>14.4</c:v>
                </c:pt>
                <c:pt idx="9">
                  <c:v>15.1</c:v>
                </c:pt>
                <c:pt idx="10">
                  <c:v>14.4</c:v>
                </c:pt>
                <c:pt idx="11">
                  <c:v>19.600000000000001</c:v>
                </c:pt>
              </c:numCache>
            </c:numRef>
          </c:val>
        </c:ser>
        <c:ser>
          <c:idx val="4"/>
          <c:order val="2"/>
          <c:tx>
            <c:strRef>
              <c:f>塑料制品产量整理!$G$35</c:f>
              <c:strCache>
                <c:ptCount val="1"/>
                <c:pt idx="0">
                  <c:v>2011</c:v>
                </c:pt>
              </c:strCache>
            </c:strRef>
          </c:tx>
          <c:cat>
            <c:strRef>
              <c:f>塑料制品产量整理!$A$36:$A$47</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塑料制品产量整理!$G$36:$G$47</c:f>
              <c:numCache>
                <c:formatCode>General</c:formatCode>
                <c:ptCount val="12"/>
                <c:pt idx="0">
                  <c:v>11.12</c:v>
                </c:pt>
                <c:pt idx="1">
                  <c:v>10.1</c:v>
                </c:pt>
                <c:pt idx="2">
                  <c:v>12.1</c:v>
                </c:pt>
                <c:pt idx="3">
                  <c:v>11.5</c:v>
                </c:pt>
                <c:pt idx="4">
                  <c:v>10.91</c:v>
                </c:pt>
                <c:pt idx="5">
                  <c:v>12.3</c:v>
                </c:pt>
                <c:pt idx="6">
                  <c:v>12.1</c:v>
                </c:pt>
                <c:pt idx="7">
                  <c:v>12.9</c:v>
                </c:pt>
                <c:pt idx="8">
                  <c:v>14.2</c:v>
                </c:pt>
                <c:pt idx="9">
                  <c:v>17</c:v>
                </c:pt>
                <c:pt idx="10">
                  <c:v>17.5</c:v>
                </c:pt>
                <c:pt idx="11">
                  <c:v>15.9</c:v>
                </c:pt>
              </c:numCache>
            </c:numRef>
          </c:val>
        </c:ser>
        <c:ser>
          <c:idx val="5"/>
          <c:order val="3"/>
          <c:tx>
            <c:strRef>
              <c:f>塑料制品产量整理!$H$35</c:f>
              <c:strCache>
                <c:ptCount val="1"/>
                <c:pt idx="0">
                  <c:v>2012</c:v>
                </c:pt>
              </c:strCache>
            </c:strRef>
          </c:tx>
          <c:cat>
            <c:strRef>
              <c:f>塑料制品产量整理!$A$36:$A$47</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塑料制品产量整理!$H$36:$H$47</c:f>
              <c:numCache>
                <c:formatCode>General</c:formatCode>
                <c:ptCount val="12"/>
                <c:pt idx="0">
                  <c:v>9.42</c:v>
                </c:pt>
                <c:pt idx="1">
                  <c:v>11.9</c:v>
                </c:pt>
                <c:pt idx="2">
                  <c:v>14.6</c:v>
                </c:pt>
                <c:pt idx="3">
                  <c:v>13.4</c:v>
                </c:pt>
                <c:pt idx="4">
                  <c:v>11.3</c:v>
                </c:pt>
                <c:pt idx="5">
                  <c:v>12</c:v>
                </c:pt>
                <c:pt idx="6">
                  <c:v>12.7</c:v>
                </c:pt>
                <c:pt idx="7">
                  <c:v>12.7</c:v>
                </c:pt>
                <c:pt idx="8">
                  <c:v>15.29</c:v>
                </c:pt>
                <c:pt idx="9">
                  <c:v>15.24</c:v>
                </c:pt>
                <c:pt idx="10">
                  <c:v>15.52</c:v>
                </c:pt>
                <c:pt idx="11">
                  <c:v>16.84</c:v>
                </c:pt>
              </c:numCache>
            </c:numRef>
          </c:val>
        </c:ser>
        <c:ser>
          <c:idx val="6"/>
          <c:order val="4"/>
          <c:tx>
            <c:strRef>
              <c:f>塑料制品产量整理!$I$35</c:f>
              <c:strCache>
                <c:ptCount val="1"/>
                <c:pt idx="0">
                  <c:v>2013</c:v>
                </c:pt>
              </c:strCache>
            </c:strRef>
          </c:tx>
          <c:cat>
            <c:strRef>
              <c:f>塑料制品产量整理!$A$36:$A$47</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塑料制品产量整理!$I$36:$I$47</c:f>
              <c:numCache>
                <c:formatCode>General</c:formatCode>
                <c:ptCount val="12"/>
                <c:pt idx="0">
                  <c:v>11.5</c:v>
                </c:pt>
                <c:pt idx="1">
                  <c:v>12.4</c:v>
                </c:pt>
                <c:pt idx="2">
                  <c:v>17.959999999999987</c:v>
                </c:pt>
                <c:pt idx="3">
                  <c:v>14.81</c:v>
                </c:pt>
                <c:pt idx="4">
                  <c:v>13.850000000000007</c:v>
                </c:pt>
                <c:pt idx="5">
                  <c:v>13.9</c:v>
                </c:pt>
                <c:pt idx="6">
                  <c:v>14.8</c:v>
                </c:pt>
                <c:pt idx="7">
                  <c:v>15</c:v>
                </c:pt>
                <c:pt idx="8">
                  <c:v>17.399999999999999</c:v>
                </c:pt>
                <c:pt idx="9">
                  <c:v>18.21</c:v>
                </c:pt>
                <c:pt idx="10">
                  <c:v>18.399999999999999</c:v>
                </c:pt>
                <c:pt idx="11">
                  <c:v>16.7</c:v>
                </c:pt>
              </c:numCache>
            </c:numRef>
          </c:val>
        </c:ser>
        <c:ser>
          <c:idx val="7"/>
          <c:order val="5"/>
          <c:tx>
            <c:strRef>
              <c:f>塑料制品产量整理!$J$35</c:f>
              <c:strCache>
                <c:ptCount val="1"/>
                <c:pt idx="0">
                  <c:v>2014</c:v>
                </c:pt>
              </c:strCache>
            </c:strRef>
          </c:tx>
          <c:cat>
            <c:strRef>
              <c:f>塑料制品产量整理!$A$36:$A$47</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塑料制品产量整理!$J$36:$J$47</c:f>
              <c:numCache>
                <c:formatCode>General</c:formatCode>
                <c:ptCount val="12"/>
                <c:pt idx="0">
                  <c:v>14.65</c:v>
                </c:pt>
                <c:pt idx="1">
                  <c:v>14.65</c:v>
                </c:pt>
                <c:pt idx="2">
                  <c:v>20.399999999999999</c:v>
                </c:pt>
                <c:pt idx="3">
                  <c:v>18</c:v>
                </c:pt>
                <c:pt idx="4">
                  <c:v>16.7</c:v>
                </c:pt>
                <c:pt idx="5">
                  <c:v>17.2</c:v>
                </c:pt>
                <c:pt idx="6">
                  <c:v>16.5</c:v>
                </c:pt>
                <c:pt idx="7" formatCode="###,###,###,###,##0.00_ ">
                  <c:v>17.5838</c:v>
                </c:pt>
                <c:pt idx="8" formatCode="###,###,###,###,##0.00_ ">
                  <c:v>18.985399999999967</c:v>
                </c:pt>
                <c:pt idx="9" formatCode="###,###,###,###,##0.00_ ">
                  <c:v>19.737200000000001</c:v>
                </c:pt>
                <c:pt idx="10" formatCode="###,###,###,###,##0.00_ ">
                  <c:v>22.816199999999988</c:v>
                </c:pt>
                <c:pt idx="11" formatCode="###,###,###,###,##0.00_ ">
                  <c:v>19.164999999999999</c:v>
                </c:pt>
              </c:numCache>
            </c:numRef>
          </c:val>
        </c:ser>
        <c:ser>
          <c:idx val="1"/>
          <c:order val="6"/>
          <c:tx>
            <c:strRef>
              <c:f>塑料制品产量整理!$K$35</c:f>
              <c:strCache>
                <c:ptCount val="1"/>
                <c:pt idx="0">
                  <c:v>2015</c:v>
                </c:pt>
              </c:strCache>
            </c:strRef>
          </c:tx>
          <c:cat>
            <c:strRef>
              <c:f>塑料制品产量整理!$A$36:$A$47</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塑料制品产量整理!$K$36:$K$47</c:f>
              <c:numCache>
                <c:formatCode>General</c:formatCode>
                <c:ptCount val="12"/>
                <c:pt idx="3" formatCode="###,###,###,###,##0.00_ ">
                  <c:v>20.251799999999989</c:v>
                </c:pt>
                <c:pt idx="4" formatCode="###,###,###,###,##0.00_ ">
                  <c:v>18.813300000000005</c:v>
                </c:pt>
                <c:pt idx="5" formatCode="###,###,###,###,##0.00_ ">
                  <c:v>16.7271</c:v>
                </c:pt>
                <c:pt idx="6" formatCode="###,###,###,###,##0.00_ ">
                  <c:v>18.689399999999985</c:v>
                </c:pt>
                <c:pt idx="7" formatCode="###,###,###,###,##0.00_ ">
                  <c:v>17.6556</c:v>
                </c:pt>
              </c:numCache>
            </c:numRef>
          </c:val>
        </c:ser>
        <c:marker val="1"/>
        <c:axId val="38892672"/>
        <c:axId val="38894208"/>
      </c:lineChart>
      <c:catAx>
        <c:axId val="38892672"/>
        <c:scaling>
          <c:orientation val="minMax"/>
        </c:scaling>
        <c:axPos val="b"/>
        <c:numFmt formatCode="General" sourceLinked="1"/>
        <c:majorTickMark val="in"/>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zh-CN"/>
          </a:p>
        </c:txPr>
        <c:crossAx val="38894208"/>
        <c:crosses val="autoZero"/>
        <c:auto val="1"/>
        <c:lblAlgn val="ctr"/>
        <c:lblOffset val="100"/>
        <c:tickLblSkip val="1"/>
        <c:tickMarkSkip val="1"/>
      </c:catAx>
      <c:valAx>
        <c:axId val="38894208"/>
        <c:scaling>
          <c:orientation val="minMax"/>
          <c:min val="2"/>
        </c:scaling>
        <c:axPos val="l"/>
        <c:numFmt formatCode="General" sourceLinked="1"/>
        <c:majorTickMark val="in"/>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zh-CN"/>
          </a:p>
        </c:txPr>
        <c:crossAx val="38892672"/>
        <c:crosses val="autoZero"/>
        <c:crossBetween val="between"/>
      </c:valAx>
      <c:spPr>
        <a:solidFill>
          <a:srgbClr val="FFFFFF"/>
        </a:solidFill>
        <a:ln w="12700">
          <a:solidFill>
            <a:srgbClr val="FFFFFF"/>
          </a:solidFill>
          <a:prstDash val="lgDashDotDot"/>
        </a:ln>
      </c:spPr>
    </c:plotArea>
    <c:legend>
      <c:legendPos val="r"/>
      <c:layout>
        <c:manualLayout>
          <c:xMode val="edge"/>
          <c:yMode val="edge"/>
          <c:x val="9.8039421542895563E-2"/>
          <c:y val="0.86925943444348819"/>
          <c:w val="0.90196057845710453"/>
          <c:h val="0.10247349823321562"/>
        </c:manualLayout>
      </c:layout>
      <c:spPr>
        <a:solidFill>
          <a:srgbClr val="FFFFFF"/>
        </a:solidFill>
        <a:ln w="3175">
          <a:solidFill>
            <a:srgbClr val="FFFFFF"/>
          </a:solidFill>
          <a:prstDash val="solid"/>
        </a:ln>
      </c:spPr>
      <c:txPr>
        <a:bodyPr/>
        <a:lstStyle/>
        <a:p>
          <a:pPr>
            <a:defRPr sz="920" b="1" i="0" u="none" strike="noStrike" baseline="0">
              <a:solidFill>
                <a:srgbClr val="000000"/>
              </a:solidFill>
              <a:latin typeface="Times New Roman"/>
              <a:ea typeface="Times New Roman"/>
              <a:cs typeface="Times New Roman"/>
            </a:defRPr>
          </a:pPr>
          <a:endParaRPr lang="zh-CN"/>
        </a:p>
      </c:txPr>
    </c:legend>
    <c:plotVisOnly val="1"/>
    <c:dispBlanksAs val="gap"/>
  </c:chart>
  <c:spPr>
    <a:solidFill>
      <a:srgbClr val="FFFFFF"/>
    </a:solidFill>
    <a:ln w="12700">
      <a:solidFill>
        <a:srgbClr val="FFFFFF"/>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zh-CN"/>
    </a:p>
  </c:txPr>
  <c:externalData r:id="rId1"/>
</c:chartSpace>
</file>

<file path=word/drawings/drawing1.xml><?xml version="1.0" encoding="utf-8"?>
<c:userShapes xmlns:c="http://schemas.openxmlformats.org/drawingml/2006/chart">
  <cdr:relSizeAnchor xmlns:cdr="http://schemas.openxmlformats.org/drawingml/2006/chartDrawing">
    <cdr:from>
      <cdr:x>0.34</cdr:x>
      <cdr:y>0.01944</cdr:y>
    </cdr:from>
    <cdr:to>
      <cdr:x>0.66667</cdr:x>
      <cdr:y>0.11944</cdr:y>
    </cdr:to>
    <cdr:sp macro="" textlink="">
      <cdr:nvSpPr>
        <cdr:cNvPr id="2" name="TextBox 1"/>
        <cdr:cNvSpPr txBox="1"/>
      </cdr:nvSpPr>
      <cdr:spPr>
        <a:xfrm xmlns:a="http://schemas.openxmlformats.org/drawingml/2006/main">
          <a:off x="1554480" y="53340"/>
          <a:ext cx="1493520" cy="2743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1100" b="1"/>
            <a:t>塑料制品月度产量</a:t>
          </a:r>
        </a:p>
      </cdr:txBody>
    </cdr:sp>
  </cdr:relSizeAnchor>
  <cdr:relSizeAnchor xmlns:cdr="http://schemas.openxmlformats.org/drawingml/2006/chartDrawing">
    <cdr:from>
      <cdr:x>0</cdr:x>
      <cdr:y>0.79131</cdr:y>
    </cdr:from>
    <cdr:to>
      <cdr:x>0.1016</cdr:x>
      <cdr:y>0.86351</cdr:y>
    </cdr:to>
    <cdr:sp macro="" textlink="">
      <cdr:nvSpPr>
        <cdr:cNvPr id="3" name="TextBox 2"/>
        <cdr:cNvSpPr txBox="1"/>
      </cdr:nvSpPr>
      <cdr:spPr>
        <a:xfrm xmlns:a="http://schemas.openxmlformats.org/drawingml/2006/main">
          <a:off x="0" y="2293620"/>
          <a:ext cx="487680" cy="2057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1100"/>
            <a:t>万吨</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470</Words>
  <Characters>2682</Characters>
  <Application>Microsoft Office Word</Application>
  <DocSecurity>0</DocSecurity>
  <Lines>22</Lines>
  <Paragraphs>6</Paragraphs>
  <ScaleCrop>false</ScaleCrop>
  <Company>HP</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2015-09-17T07:30:00Z</dcterms:created>
  <dc:creator>许重阳</dc:creator>
  <cp:lastModifiedBy>王楠</cp:lastModifiedBy>
  <dcterms:modified xsi:type="dcterms:W3CDTF">2015-09-17T08:04:00Z</dcterms:modified>
  <cp:revision>5</cp:revision>
</cp:coreProperties>
</file>