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71" w:rsidRPr="00000871" w:rsidRDefault="00000871" w:rsidP="0000087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00871">
        <w:rPr>
          <w:rFonts w:ascii="华文中宋" w:eastAsia="华文中宋" w:hAnsi="华文中宋" w:hint="eastAsia"/>
          <w:b/>
          <w:sz w:val="36"/>
          <w:szCs w:val="36"/>
        </w:rPr>
        <w:t>豆棕价差将逐步收窄</w:t>
      </w:r>
    </w:p>
    <w:p w:rsidR="00000871" w:rsidRDefault="00000871" w:rsidP="00000871">
      <w:pPr>
        <w:jc w:val="center"/>
        <w:rPr>
          <w:sz w:val="24"/>
          <w:szCs w:val="24"/>
        </w:rPr>
      </w:pPr>
      <w:r w:rsidRPr="00000871">
        <w:rPr>
          <w:rFonts w:hint="eastAsia"/>
          <w:sz w:val="24"/>
          <w:szCs w:val="24"/>
        </w:rPr>
        <w:t>兴证期货</w:t>
      </w:r>
      <w:r w:rsidRPr="00000871">
        <w:rPr>
          <w:rFonts w:hint="eastAsia"/>
          <w:sz w:val="24"/>
          <w:szCs w:val="24"/>
        </w:rPr>
        <w:t>2</w:t>
      </w:r>
      <w:r w:rsidRPr="00000871">
        <w:rPr>
          <w:rFonts w:hint="eastAsia"/>
          <w:sz w:val="24"/>
          <w:szCs w:val="24"/>
        </w:rPr>
        <w:t>队</w:t>
      </w:r>
    </w:p>
    <w:p w:rsidR="00D1060D" w:rsidRPr="00000871" w:rsidRDefault="00D1060D" w:rsidP="0000087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0151028</w:t>
      </w:r>
    </w:p>
    <w:p w:rsidR="002C25A5" w:rsidRPr="00AD73D3" w:rsidRDefault="002C25A5" w:rsidP="00633EE3">
      <w:pPr>
        <w:spacing w:beforeLines="50" w:before="156" w:afterLines="50" w:after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AD73D3">
        <w:rPr>
          <w:rFonts w:ascii="宋体" w:eastAsia="宋体" w:hAnsi="宋体" w:hint="eastAsia"/>
          <w:b/>
          <w:sz w:val="24"/>
          <w:szCs w:val="24"/>
        </w:rPr>
        <w:t>一、</w:t>
      </w:r>
      <w:r w:rsidRPr="003B3837">
        <w:rPr>
          <w:rFonts w:ascii="宋体" w:eastAsia="宋体" w:hAnsi="宋体" w:hint="eastAsia"/>
          <w:b/>
          <w:sz w:val="28"/>
          <w:szCs w:val="24"/>
        </w:rPr>
        <w:t>基本面棕榈油较豆油将逐步走强</w:t>
      </w:r>
    </w:p>
    <w:p w:rsidR="00AD73D3" w:rsidRPr="00AD73D3" w:rsidRDefault="00AD73D3" w:rsidP="00633EE3">
      <w:pPr>
        <w:spacing w:beforeLines="50" w:before="156" w:afterLines="50" w:after="156" w:line="360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AD73D3">
        <w:rPr>
          <w:rFonts w:ascii="宋体" w:eastAsia="宋体" w:hAnsi="宋体" w:hint="eastAsia"/>
          <w:b/>
          <w:sz w:val="24"/>
          <w:szCs w:val="24"/>
        </w:rPr>
        <w:t>1、大豆增产、棕榈油进入减产周期，</w:t>
      </w:r>
      <w:r>
        <w:rPr>
          <w:rFonts w:ascii="宋体" w:eastAsia="宋体" w:hAnsi="宋体" w:hint="eastAsia"/>
          <w:b/>
          <w:sz w:val="24"/>
          <w:szCs w:val="24"/>
        </w:rPr>
        <w:t>棕榈油逐步转强</w:t>
      </w:r>
    </w:p>
    <w:p w:rsidR="00F65999" w:rsidRDefault="00571FF8" w:rsidP="00F65999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262A1">
        <w:rPr>
          <w:rFonts w:ascii="宋体" w:eastAsia="宋体" w:hAnsi="宋体" w:hint="eastAsia"/>
          <w:sz w:val="24"/>
          <w:szCs w:val="24"/>
        </w:rPr>
        <w:t>从季节性的角度看，美国大豆的收割从9月开始，10月以后新作大豆的大量上市可能会给市场带来很大的压力。</w:t>
      </w:r>
      <w:r>
        <w:rPr>
          <w:rFonts w:ascii="宋体" w:eastAsia="宋体" w:hAnsi="宋体" w:hint="eastAsia"/>
          <w:sz w:val="24"/>
          <w:szCs w:val="24"/>
        </w:rPr>
        <w:t>目前，</w:t>
      </w:r>
      <w:r w:rsidR="00000871" w:rsidRPr="009262A1">
        <w:rPr>
          <w:rFonts w:ascii="宋体" w:eastAsia="宋体" w:hAnsi="宋体" w:hint="eastAsia"/>
          <w:sz w:val="24"/>
          <w:szCs w:val="24"/>
        </w:rPr>
        <w:t>美国大豆</w:t>
      </w:r>
      <w:r w:rsidR="00AD73D3">
        <w:rPr>
          <w:rFonts w:ascii="宋体" w:eastAsia="宋体" w:hAnsi="宋体" w:hint="eastAsia"/>
          <w:sz w:val="24"/>
          <w:szCs w:val="24"/>
        </w:rPr>
        <w:t>收割已经超过90%，单产可能会超过前期预期的47.2蒲式耳/英亩，使得大豆产量维持历史第二高的位置。</w:t>
      </w:r>
      <w:r w:rsidR="00000871" w:rsidRPr="009262A1">
        <w:rPr>
          <w:rFonts w:ascii="宋体" w:eastAsia="宋体" w:hAnsi="宋体" w:hint="eastAsia"/>
          <w:sz w:val="24"/>
          <w:szCs w:val="24"/>
        </w:rPr>
        <w:t>从美国农业部的报告看，今年美国大豆的种植面积达到8</w:t>
      </w:r>
      <w:r w:rsidR="00AD73D3">
        <w:rPr>
          <w:rFonts w:ascii="宋体" w:eastAsia="宋体" w:hAnsi="宋体" w:hint="eastAsia"/>
          <w:sz w:val="24"/>
          <w:szCs w:val="24"/>
        </w:rPr>
        <w:t>32</w:t>
      </w:r>
      <w:r w:rsidR="00000871" w:rsidRPr="009262A1">
        <w:rPr>
          <w:rFonts w:ascii="宋体" w:eastAsia="宋体" w:hAnsi="宋体" w:hint="eastAsia"/>
          <w:sz w:val="24"/>
          <w:szCs w:val="24"/>
        </w:rPr>
        <w:t>0万英亩，较去年的种植面积</w:t>
      </w:r>
      <w:r w:rsidR="00AD73D3">
        <w:rPr>
          <w:rFonts w:ascii="宋体" w:eastAsia="宋体" w:hAnsi="宋体" w:hint="eastAsia"/>
          <w:sz w:val="24"/>
          <w:szCs w:val="24"/>
        </w:rPr>
        <w:t>833</w:t>
      </w:r>
      <w:r w:rsidR="00000871" w:rsidRPr="009262A1">
        <w:rPr>
          <w:rFonts w:ascii="宋体" w:eastAsia="宋体" w:hAnsi="宋体" w:hint="eastAsia"/>
          <w:sz w:val="24"/>
          <w:szCs w:val="24"/>
        </w:rPr>
        <w:t>0万英亩</w:t>
      </w:r>
      <w:r w:rsidR="00AD73D3">
        <w:rPr>
          <w:rFonts w:ascii="宋体" w:eastAsia="宋体" w:hAnsi="宋体" w:hint="eastAsia"/>
          <w:sz w:val="24"/>
          <w:szCs w:val="24"/>
        </w:rPr>
        <w:t>略微下降</w:t>
      </w:r>
      <w:r w:rsidR="00000871" w:rsidRPr="009262A1">
        <w:rPr>
          <w:rFonts w:ascii="宋体" w:eastAsia="宋体" w:hAnsi="宋体" w:hint="eastAsia"/>
          <w:sz w:val="24"/>
          <w:szCs w:val="24"/>
        </w:rPr>
        <w:t>；由于预期今年天气情况有利于大豆生长，因此美国农业部预估美豆的单产可能达到</w:t>
      </w:r>
      <w:r w:rsidR="00AD73D3">
        <w:rPr>
          <w:rFonts w:ascii="宋体" w:eastAsia="宋体" w:hAnsi="宋体" w:hint="eastAsia"/>
          <w:sz w:val="24"/>
          <w:szCs w:val="24"/>
        </w:rPr>
        <w:t>47.2</w:t>
      </w:r>
      <w:r w:rsidR="00000871" w:rsidRPr="009262A1">
        <w:rPr>
          <w:rFonts w:ascii="宋体" w:eastAsia="宋体" w:hAnsi="宋体" w:hint="eastAsia"/>
          <w:sz w:val="24"/>
          <w:szCs w:val="24"/>
        </w:rPr>
        <w:t>蒲式耳/英亩，高于</w:t>
      </w:r>
      <w:r w:rsidR="00AD73D3">
        <w:rPr>
          <w:rFonts w:ascii="宋体" w:eastAsia="宋体" w:hAnsi="宋体" w:hint="eastAsia"/>
          <w:sz w:val="24"/>
          <w:szCs w:val="24"/>
        </w:rPr>
        <w:t>9</w:t>
      </w:r>
      <w:r w:rsidR="00000871" w:rsidRPr="009262A1">
        <w:rPr>
          <w:rFonts w:ascii="宋体" w:eastAsia="宋体" w:hAnsi="宋体" w:hint="eastAsia"/>
          <w:sz w:val="24"/>
          <w:szCs w:val="24"/>
        </w:rPr>
        <w:t>月的月报预估</w:t>
      </w:r>
      <w:r w:rsidR="00AD73D3">
        <w:rPr>
          <w:rFonts w:ascii="宋体" w:eastAsia="宋体" w:hAnsi="宋体" w:hint="eastAsia"/>
          <w:sz w:val="24"/>
          <w:szCs w:val="24"/>
        </w:rPr>
        <w:t>47.1</w:t>
      </w:r>
      <w:r w:rsidR="00000871" w:rsidRPr="009262A1">
        <w:rPr>
          <w:rFonts w:ascii="宋体" w:eastAsia="宋体" w:hAnsi="宋体" w:hint="eastAsia"/>
          <w:sz w:val="24"/>
          <w:szCs w:val="24"/>
        </w:rPr>
        <w:t>；较去年的</w:t>
      </w:r>
      <w:r w:rsidR="00AD73D3">
        <w:rPr>
          <w:rFonts w:ascii="宋体" w:eastAsia="宋体" w:hAnsi="宋体" w:hint="eastAsia"/>
          <w:sz w:val="24"/>
          <w:szCs w:val="24"/>
        </w:rPr>
        <w:t>47.5略微减少</w:t>
      </w:r>
      <w:r w:rsidR="00000871" w:rsidRPr="009262A1">
        <w:rPr>
          <w:rFonts w:ascii="宋体" w:eastAsia="宋体" w:hAnsi="宋体" w:hint="eastAsia"/>
          <w:sz w:val="24"/>
          <w:szCs w:val="24"/>
        </w:rPr>
        <w:t>。从美豆</w:t>
      </w:r>
      <w:r w:rsidR="00AD73D3">
        <w:rPr>
          <w:rFonts w:ascii="宋体" w:eastAsia="宋体" w:hAnsi="宋体" w:hint="eastAsia"/>
          <w:sz w:val="24"/>
          <w:szCs w:val="24"/>
        </w:rPr>
        <w:t>收割的情况</w:t>
      </w:r>
      <w:r w:rsidR="00000871" w:rsidRPr="009262A1">
        <w:rPr>
          <w:rFonts w:ascii="宋体" w:eastAsia="宋体" w:hAnsi="宋体" w:hint="eastAsia"/>
          <w:sz w:val="24"/>
          <w:szCs w:val="24"/>
        </w:rPr>
        <w:t>来看，</w:t>
      </w:r>
      <w:r w:rsidR="00AD73D3">
        <w:rPr>
          <w:rFonts w:ascii="宋体" w:eastAsia="宋体" w:hAnsi="宋体" w:hint="eastAsia"/>
          <w:sz w:val="24"/>
          <w:szCs w:val="24"/>
        </w:rPr>
        <w:t>后期的报告</w:t>
      </w:r>
      <w:r w:rsidR="00000871" w:rsidRPr="009262A1">
        <w:rPr>
          <w:rFonts w:ascii="宋体" w:eastAsia="宋体" w:hAnsi="宋体" w:hint="eastAsia"/>
          <w:sz w:val="24"/>
          <w:szCs w:val="24"/>
        </w:rPr>
        <w:t>仍然存在调高单产的可能。</w:t>
      </w:r>
    </w:p>
    <w:p w:rsidR="00000871" w:rsidRDefault="00571FF8" w:rsidP="00F65999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262A1">
        <w:rPr>
          <w:rFonts w:ascii="宋体" w:eastAsia="宋体" w:hAnsi="宋体" w:hint="eastAsia"/>
          <w:sz w:val="24"/>
          <w:szCs w:val="24"/>
        </w:rPr>
        <w:t>马来西亚棕榈油从1</w:t>
      </w:r>
      <w:r>
        <w:rPr>
          <w:rFonts w:ascii="宋体" w:eastAsia="宋体" w:hAnsi="宋体" w:hint="eastAsia"/>
          <w:sz w:val="24"/>
          <w:szCs w:val="24"/>
        </w:rPr>
        <w:t>0</w:t>
      </w:r>
      <w:r w:rsidRPr="009262A1">
        <w:rPr>
          <w:rFonts w:ascii="宋体" w:eastAsia="宋体" w:hAnsi="宋体" w:hint="eastAsia"/>
          <w:sz w:val="24"/>
          <w:szCs w:val="24"/>
        </w:rPr>
        <w:t>月开始进入到产量的下降周期且降幅明显，尽管10月以后对应的是棕榈油的消费淡季，但从历年的情况看，产量对价格的影响会更大一些</w:t>
      </w:r>
      <w:r>
        <w:rPr>
          <w:rFonts w:ascii="宋体" w:eastAsia="宋体" w:hAnsi="宋体" w:hint="eastAsia"/>
          <w:sz w:val="24"/>
          <w:szCs w:val="24"/>
        </w:rPr>
        <w:t>。从东南亚棕</w:t>
      </w:r>
      <w:r w:rsidR="00000871" w:rsidRPr="009262A1">
        <w:rPr>
          <w:rFonts w:ascii="宋体" w:eastAsia="宋体" w:hAnsi="宋体" w:hint="eastAsia"/>
          <w:sz w:val="24"/>
          <w:szCs w:val="24"/>
        </w:rPr>
        <w:t>榈油的</w:t>
      </w:r>
      <w:r>
        <w:rPr>
          <w:rFonts w:ascii="宋体" w:eastAsia="宋体" w:hAnsi="宋体" w:hint="eastAsia"/>
          <w:sz w:val="24"/>
          <w:szCs w:val="24"/>
        </w:rPr>
        <w:t>生产</w:t>
      </w:r>
      <w:r w:rsidR="00000871" w:rsidRPr="009262A1">
        <w:rPr>
          <w:rFonts w:ascii="宋体" w:eastAsia="宋体" w:hAnsi="宋体" w:hint="eastAsia"/>
          <w:sz w:val="24"/>
          <w:szCs w:val="24"/>
        </w:rPr>
        <w:t>情况看，</w:t>
      </w:r>
      <w:r w:rsidR="00AD73D3">
        <w:rPr>
          <w:rFonts w:ascii="宋体" w:eastAsia="宋体" w:hAnsi="宋体" w:hint="eastAsia"/>
          <w:sz w:val="24"/>
          <w:szCs w:val="24"/>
        </w:rPr>
        <w:t>8月马来西亚和印度尼西亚棕榈油的产量分别创出了历史新高，随后9月的产量出现了小幅下滑，进入10月东南亚棕榈油开始进入</w:t>
      </w:r>
      <w:r>
        <w:rPr>
          <w:rFonts w:ascii="宋体" w:eastAsia="宋体" w:hAnsi="宋体" w:hint="eastAsia"/>
          <w:sz w:val="24"/>
          <w:szCs w:val="24"/>
        </w:rPr>
        <w:t>减</w:t>
      </w:r>
      <w:r w:rsidR="00AD73D3">
        <w:rPr>
          <w:rFonts w:ascii="宋体" w:eastAsia="宋体" w:hAnsi="宋体" w:hint="eastAsia"/>
          <w:sz w:val="24"/>
          <w:szCs w:val="24"/>
        </w:rPr>
        <w:t>产周期，尽管目前东南亚棕榈油的库存维持历史高位，但随着供给方面的逐步降低，棕榈油的供应压力将缓解，供求过剩的状态将逐步得到改善。</w:t>
      </w:r>
      <w:r w:rsidR="00000871" w:rsidRPr="009262A1">
        <w:rPr>
          <w:rFonts w:ascii="宋体" w:eastAsia="宋体" w:hAnsi="宋体" w:hint="eastAsia"/>
          <w:sz w:val="24"/>
          <w:szCs w:val="24"/>
        </w:rPr>
        <w:t>在</w:t>
      </w:r>
      <w:r w:rsidR="00AD73D3">
        <w:rPr>
          <w:rFonts w:ascii="宋体" w:eastAsia="宋体" w:hAnsi="宋体" w:hint="eastAsia"/>
          <w:sz w:val="24"/>
          <w:szCs w:val="24"/>
        </w:rPr>
        <w:t>后期，</w:t>
      </w:r>
      <w:r w:rsidR="00000871" w:rsidRPr="009262A1">
        <w:rPr>
          <w:rFonts w:ascii="宋体" w:eastAsia="宋体" w:hAnsi="宋体" w:hint="eastAsia"/>
          <w:sz w:val="24"/>
          <w:szCs w:val="24"/>
        </w:rPr>
        <w:t>美国大豆大幅增加而棕榈油</w:t>
      </w:r>
      <w:r>
        <w:rPr>
          <w:rFonts w:ascii="宋体" w:eastAsia="宋体" w:hAnsi="宋体" w:hint="eastAsia"/>
          <w:sz w:val="24"/>
          <w:szCs w:val="24"/>
        </w:rPr>
        <w:t>供应逐步放缓的背景下</w:t>
      </w:r>
      <w:r w:rsidR="00000871" w:rsidRPr="009262A1">
        <w:rPr>
          <w:rFonts w:ascii="宋体" w:eastAsia="宋体" w:hAnsi="宋体" w:hint="eastAsia"/>
          <w:sz w:val="24"/>
          <w:szCs w:val="24"/>
        </w:rPr>
        <w:t>，豆油和棕榈油的价差收窄将会是大概率事件。</w:t>
      </w:r>
    </w:p>
    <w:p w:rsidR="00000871" w:rsidRPr="00372489" w:rsidRDefault="00571FF8" w:rsidP="00633EE3">
      <w:pPr>
        <w:spacing w:beforeLines="50" w:before="156" w:afterLines="50" w:after="156" w:line="360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2、</w:t>
      </w:r>
      <w:r w:rsidR="00000871" w:rsidRPr="00372489">
        <w:rPr>
          <w:rFonts w:ascii="宋体" w:eastAsia="宋体" w:hAnsi="宋体" w:hint="eastAsia"/>
          <w:b/>
          <w:sz w:val="24"/>
          <w:szCs w:val="24"/>
        </w:rPr>
        <w:t>厄尔尼诺</w:t>
      </w:r>
      <w:r>
        <w:rPr>
          <w:rFonts w:ascii="宋体" w:eastAsia="宋体" w:hAnsi="宋体" w:hint="eastAsia"/>
          <w:b/>
          <w:sz w:val="24"/>
          <w:szCs w:val="24"/>
        </w:rPr>
        <w:t>利于远期</w:t>
      </w:r>
      <w:r w:rsidR="00000871" w:rsidRPr="00372489">
        <w:rPr>
          <w:rFonts w:ascii="宋体" w:eastAsia="宋体" w:hAnsi="宋体" w:hint="eastAsia"/>
          <w:b/>
          <w:sz w:val="24"/>
          <w:szCs w:val="24"/>
        </w:rPr>
        <w:t>豆油棕榈油价差收窄</w:t>
      </w:r>
    </w:p>
    <w:p w:rsidR="00F65999" w:rsidRDefault="00000871" w:rsidP="00F65999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262A1">
        <w:rPr>
          <w:rFonts w:ascii="宋体" w:eastAsia="宋体" w:hAnsi="宋体" w:hint="eastAsia"/>
          <w:sz w:val="24"/>
          <w:szCs w:val="24"/>
        </w:rPr>
        <w:t>从历史数据看，金融危机以后的后生物柴油时期，产量成为决定油脂价格的最重要的因素。2010年发生厄尔尼诺时，</w:t>
      </w:r>
      <w:r>
        <w:rPr>
          <w:rFonts w:ascii="宋体" w:eastAsia="宋体" w:hAnsi="宋体" w:hint="eastAsia"/>
          <w:sz w:val="24"/>
          <w:szCs w:val="24"/>
        </w:rPr>
        <w:t>马来西亚和印度尼西亚的</w:t>
      </w:r>
      <w:r w:rsidRPr="009262A1">
        <w:rPr>
          <w:rFonts w:ascii="宋体" w:eastAsia="宋体" w:hAnsi="宋体" w:hint="eastAsia"/>
          <w:sz w:val="24"/>
          <w:szCs w:val="24"/>
        </w:rPr>
        <w:t>棕榈油产量出现略微减少</w:t>
      </w:r>
      <w:r>
        <w:rPr>
          <w:rFonts w:ascii="宋体" w:eastAsia="宋体" w:hAnsi="宋体" w:hint="eastAsia"/>
          <w:sz w:val="24"/>
          <w:szCs w:val="24"/>
        </w:rPr>
        <w:t>的情况，但美国、巴西和阿根廷由于降雨量丰沛，因此大豆的单产和总产都创出了历史新高</w:t>
      </w:r>
      <w:r w:rsidRPr="009262A1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增长幅度超过10%，导致豆油大幅走低，豆油现货甚至出现较棕榈油贴水的情况；当年的</w:t>
      </w:r>
      <w:r w:rsidRPr="009262A1">
        <w:rPr>
          <w:rFonts w:ascii="宋体" w:eastAsia="宋体" w:hAnsi="宋体" w:hint="eastAsia"/>
          <w:sz w:val="24"/>
          <w:szCs w:val="24"/>
        </w:rPr>
        <w:t>豆油和棕榈油的</w:t>
      </w:r>
      <w:r>
        <w:rPr>
          <w:rFonts w:ascii="宋体" w:eastAsia="宋体" w:hAnsi="宋体" w:hint="eastAsia"/>
          <w:sz w:val="24"/>
          <w:szCs w:val="24"/>
        </w:rPr>
        <w:t>期货</w:t>
      </w:r>
      <w:r w:rsidRPr="009262A1">
        <w:rPr>
          <w:rFonts w:ascii="宋体" w:eastAsia="宋体" w:hAnsi="宋体" w:hint="eastAsia"/>
          <w:sz w:val="24"/>
          <w:szCs w:val="24"/>
        </w:rPr>
        <w:t>价差</w:t>
      </w:r>
      <w:r>
        <w:rPr>
          <w:rFonts w:ascii="宋体" w:eastAsia="宋体" w:hAnsi="宋体" w:hint="eastAsia"/>
          <w:sz w:val="24"/>
          <w:szCs w:val="24"/>
        </w:rPr>
        <w:t>也</w:t>
      </w:r>
      <w:r w:rsidRPr="009262A1">
        <w:rPr>
          <w:rFonts w:ascii="宋体" w:eastAsia="宋体" w:hAnsi="宋体" w:hint="eastAsia"/>
          <w:sz w:val="24"/>
          <w:szCs w:val="24"/>
        </w:rPr>
        <w:t>缩小到100元/</w:t>
      </w:r>
      <w:r w:rsidRPr="009262A1">
        <w:rPr>
          <w:rFonts w:ascii="宋体" w:eastAsia="宋体" w:hAnsi="宋体" w:hint="eastAsia"/>
          <w:sz w:val="24"/>
          <w:szCs w:val="24"/>
        </w:rPr>
        <w:lastRenderedPageBreak/>
        <w:t>吨以内，远远跌破了二者1000</w:t>
      </w:r>
      <w:r w:rsidR="00F65999">
        <w:rPr>
          <w:rFonts w:ascii="宋体" w:eastAsia="宋体" w:hAnsi="宋体"/>
          <w:sz w:val="24"/>
          <w:szCs w:val="24"/>
        </w:rPr>
        <w:t>-</w:t>
      </w:r>
      <w:r w:rsidRPr="009262A1">
        <w:rPr>
          <w:rFonts w:ascii="宋体" w:eastAsia="宋体" w:hAnsi="宋体" w:hint="eastAsia"/>
          <w:sz w:val="24"/>
          <w:szCs w:val="24"/>
        </w:rPr>
        <w:t>1800元/吨的正常区间价差。</w:t>
      </w:r>
    </w:p>
    <w:p w:rsidR="00571FF8" w:rsidRDefault="00571FF8" w:rsidP="00F65999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目前北半球已经确定进入厄尔尼诺气候，这无疑将给南北美州带来充沛的降雨，而加剧东南亚棕榈油主产区的干旱形势。从目前南美洲种植情况来看，巴西农民受到种植大豆的良好收益影响，可能会大幅提高大豆的播种面积；阿根廷的农户也有可能小幅提高大豆的种植面积。在整体种植面积增加，单产预期较高的情况下，我们认为明年全球大豆的供应仍将维持高位。而棕榈油方面，由于厄尔尼诺的影响，7</w:t>
      </w:r>
      <w:r>
        <w:rPr>
          <w:rFonts w:ascii="宋体" w:eastAsia="宋体" w:hAnsi="宋体"/>
          <w:sz w:val="24"/>
          <w:szCs w:val="24"/>
        </w:rPr>
        <w:t>—</w:t>
      </w:r>
      <w:r>
        <w:rPr>
          <w:rFonts w:ascii="宋体" w:eastAsia="宋体" w:hAnsi="宋体" w:hint="eastAsia"/>
          <w:sz w:val="24"/>
          <w:szCs w:val="24"/>
        </w:rPr>
        <w:t>9月期间东南亚地区的出现了较为严重的干旱。由于干旱对棕榈油的减产影响要推迟6</w:t>
      </w:r>
      <w:r>
        <w:rPr>
          <w:rFonts w:ascii="宋体" w:eastAsia="宋体" w:hAnsi="宋体"/>
          <w:sz w:val="24"/>
          <w:szCs w:val="24"/>
        </w:rPr>
        <w:t>—</w:t>
      </w:r>
      <w:r>
        <w:rPr>
          <w:rFonts w:ascii="宋体" w:eastAsia="宋体" w:hAnsi="宋体" w:hint="eastAsia"/>
          <w:sz w:val="24"/>
          <w:szCs w:val="24"/>
        </w:rPr>
        <w:t>9个月，因此</w:t>
      </w:r>
      <w:r w:rsidR="00C57CE9">
        <w:rPr>
          <w:rFonts w:ascii="宋体" w:eastAsia="宋体" w:hAnsi="宋体" w:hint="eastAsia"/>
          <w:sz w:val="24"/>
          <w:szCs w:val="24"/>
        </w:rPr>
        <w:t>，2016年3月以后，全球棕榈油的供应可能出现大幅的减小。在远期大豆供应增加，而棕榈油产量减小的情况下，豆油和棕榈油的价差必然减小。</w:t>
      </w:r>
    </w:p>
    <w:p w:rsidR="00C57CE9" w:rsidRPr="003B3837" w:rsidRDefault="00C57CE9" w:rsidP="00633EE3">
      <w:pPr>
        <w:spacing w:beforeLines="50" w:before="156" w:afterLines="50" w:after="156" w:line="360" w:lineRule="auto"/>
        <w:jc w:val="left"/>
        <w:rPr>
          <w:rFonts w:ascii="宋体" w:eastAsia="宋体" w:hAnsi="宋体"/>
          <w:b/>
          <w:sz w:val="28"/>
          <w:szCs w:val="24"/>
        </w:rPr>
      </w:pPr>
      <w:r w:rsidRPr="003B3837">
        <w:rPr>
          <w:rFonts w:ascii="宋体" w:eastAsia="宋体" w:hAnsi="宋体" w:hint="eastAsia"/>
          <w:b/>
          <w:sz w:val="28"/>
          <w:szCs w:val="24"/>
        </w:rPr>
        <w:t>二、统计概率看，豆油和棕榈油价差缩小概率较大</w:t>
      </w:r>
    </w:p>
    <w:p w:rsidR="00000871" w:rsidRPr="00727FA4" w:rsidRDefault="00C57CE9" w:rsidP="00BE7548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目前，</w:t>
      </w:r>
      <w:r w:rsidR="00000871" w:rsidRPr="00727FA4">
        <w:rPr>
          <w:rFonts w:ascii="宋体" w:eastAsia="宋体" w:hAnsi="宋体" w:hint="eastAsia"/>
          <w:sz w:val="24"/>
          <w:szCs w:val="24"/>
        </w:rPr>
        <w:t>豆油和棕榈油的价差</w:t>
      </w:r>
      <w:r w:rsidRPr="00727FA4">
        <w:rPr>
          <w:rFonts w:ascii="宋体" w:eastAsia="宋体" w:hAnsi="宋体" w:hint="eastAsia"/>
          <w:sz w:val="24"/>
          <w:szCs w:val="24"/>
        </w:rPr>
        <w:t>维持在</w:t>
      </w:r>
      <w:r w:rsidR="003B3837">
        <w:rPr>
          <w:rFonts w:ascii="宋体" w:eastAsia="宋体" w:hAnsi="宋体" w:hint="eastAsia"/>
          <w:sz w:val="24"/>
          <w:szCs w:val="24"/>
        </w:rPr>
        <w:t>相对</w:t>
      </w:r>
      <w:r w:rsidRPr="00727FA4">
        <w:rPr>
          <w:rFonts w:ascii="宋体" w:eastAsia="宋体" w:hAnsi="宋体" w:hint="eastAsia"/>
          <w:sz w:val="24"/>
          <w:szCs w:val="24"/>
        </w:rPr>
        <w:t>高位</w:t>
      </w:r>
      <w:r w:rsidR="00000871" w:rsidRPr="00727FA4">
        <w:rPr>
          <w:rFonts w:ascii="宋体" w:eastAsia="宋体" w:hAnsi="宋体" w:hint="eastAsia"/>
          <w:sz w:val="24"/>
          <w:szCs w:val="24"/>
        </w:rPr>
        <w:t>，</w:t>
      </w:r>
      <w:r w:rsidR="00F65999">
        <w:rPr>
          <w:rFonts w:ascii="宋体" w:eastAsia="宋体" w:hAnsi="宋体" w:hint="eastAsia"/>
          <w:sz w:val="24"/>
          <w:szCs w:val="24"/>
        </w:rPr>
        <w:t>超过</w:t>
      </w:r>
      <w:r w:rsidR="00000871" w:rsidRPr="00727FA4">
        <w:rPr>
          <w:rFonts w:ascii="宋体" w:eastAsia="宋体" w:hAnsi="宋体" w:hint="eastAsia"/>
          <w:sz w:val="24"/>
          <w:szCs w:val="24"/>
        </w:rPr>
        <w:t>1100</w:t>
      </w:r>
      <w:r w:rsidR="00F65999">
        <w:rPr>
          <w:rFonts w:ascii="宋体" w:eastAsia="宋体" w:hAnsi="宋体" w:hint="eastAsia"/>
          <w:sz w:val="24"/>
          <w:szCs w:val="24"/>
        </w:rPr>
        <w:t>元/吨</w:t>
      </w:r>
      <w:r w:rsidR="00000871" w:rsidRPr="00727FA4">
        <w:rPr>
          <w:rFonts w:ascii="宋体" w:eastAsia="宋体" w:hAnsi="宋体" w:hint="eastAsia"/>
          <w:sz w:val="24"/>
          <w:szCs w:val="24"/>
        </w:rPr>
        <w:t>（如</w:t>
      </w:r>
      <w:r w:rsidR="003B3837">
        <w:rPr>
          <w:rFonts w:ascii="宋体" w:eastAsia="宋体" w:hAnsi="宋体" w:hint="eastAsia"/>
          <w:sz w:val="24"/>
          <w:szCs w:val="24"/>
        </w:rPr>
        <w:t>图1</w:t>
      </w:r>
      <w:r w:rsidR="00000871" w:rsidRPr="00727FA4">
        <w:rPr>
          <w:rFonts w:ascii="宋体" w:eastAsia="宋体" w:hAnsi="宋体" w:hint="eastAsia"/>
          <w:sz w:val="24"/>
          <w:szCs w:val="24"/>
        </w:rPr>
        <w:t>）；在豆油基本面偏弱的情况下，二者价差已经</w:t>
      </w:r>
      <w:r w:rsidR="003B3837">
        <w:rPr>
          <w:rFonts w:ascii="宋体" w:eastAsia="宋体" w:hAnsi="宋体" w:hint="eastAsia"/>
          <w:sz w:val="24"/>
          <w:szCs w:val="24"/>
        </w:rPr>
        <w:t>接近</w:t>
      </w:r>
      <w:r w:rsidR="00000871" w:rsidRPr="00727FA4">
        <w:rPr>
          <w:rFonts w:ascii="宋体" w:eastAsia="宋体" w:hAnsi="宋体" w:hint="eastAsia"/>
          <w:sz w:val="24"/>
          <w:szCs w:val="24"/>
        </w:rPr>
        <w:t>近几年的统计均值</w:t>
      </w:r>
      <w:r w:rsidR="00F65999">
        <w:rPr>
          <w:rFonts w:ascii="宋体" w:eastAsia="宋体" w:hAnsi="宋体" w:hint="eastAsia"/>
          <w:sz w:val="24"/>
          <w:szCs w:val="24"/>
        </w:rPr>
        <w:t>，</w:t>
      </w:r>
      <w:r w:rsidR="00F65999">
        <w:rPr>
          <w:rFonts w:ascii="宋体" w:eastAsia="宋体" w:hAnsi="宋体"/>
          <w:sz w:val="24"/>
          <w:szCs w:val="24"/>
        </w:rPr>
        <w:t>同时二者的价差也处于近一两年的高点，后期</w:t>
      </w:r>
      <w:r w:rsidR="00000871" w:rsidRPr="00727FA4">
        <w:rPr>
          <w:rFonts w:ascii="宋体" w:eastAsia="宋体" w:hAnsi="宋体" w:hint="eastAsia"/>
          <w:sz w:val="24"/>
          <w:szCs w:val="24"/>
        </w:rPr>
        <w:t>豆油和棕榈油价差</w:t>
      </w:r>
      <w:r w:rsidRPr="00727FA4">
        <w:rPr>
          <w:rFonts w:ascii="宋体" w:eastAsia="宋体" w:hAnsi="宋体" w:hint="eastAsia"/>
          <w:sz w:val="24"/>
          <w:szCs w:val="24"/>
        </w:rPr>
        <w:t>存在逐步</w:t>
      </w:r>
      <w:r w:rsidR="00000871" w:rsidRPr="00727FA4">
        <w:rPr>
          <w:rFonts w:ascii="宋体" w:eastAsia="宋体" w:hAnsi="宋体" w:hint="eastAsia"/>
          <w:sz w:val="24"/>
          <w:szCs w:val="24"/>
        </w:rPr>
        <w:t>回归</w:t>
      </w:r>
      <w:r w:rsidRPr="00727FA4">
        <w:rPr>
          <w:rFonts w:ascii="宋体" w:eastAsia="宋体" w:hAnsi="宋体" w:hint="eastAsia"/>
          <w:sz w:val="24"/>
          <w:szCs w:val="24"/>
        </w:rPr>
        <w:t>的可能。</w:t>
      </w:r>
    </w:p>
    <w:p w:rsidR="00000871" w:rsidRPr="00F65999" w:rsidRDefault="00000871" w:rsidP="003B3837">
      <w:pPr>
        <w:jc w:val="center"/>
        <w:rPr>
          <w:rFonts w:ascii="宋体" w:eastAsia="宋体" w:hAnsi="宋体"/>
          <w:sz w:val="24"/>
        </w:rPr>
      </w:pPr>
      <w:r w:rsidRPr="00F65999">
        <w:rPr>
          <w:rFonts w:ascii="宋体" w:eastAsia="宋体" w:hAnsi="宋体" w:hint="eastAsia"/>
          <w:sz w:val="24"/>
        </w:rPr>
        <w:t>图1：豆棕</w:t>
      </w:r>
      <w:r w:rsidR="0057521E">
        <w:rPr>
          <w:rFonts w:ascii="宋体" w:eastAsia="宋体" w:hAnsi="宋体" w:hint="eastAsia"/>
          <w:sz w:val="24"/>
        </w:rPr>
        <w:t>1月</w:t>
      </w:r>
      <w:r w:rsidR="0057521E">
        <w:rPr>
          <w:rFonts w:ascii="宋体" w:eastAsia="宋体" w:hAnsi="宋体"/>
          <w:sz w:val="24"/>
        </w:rPr>
        <w:t>合约</w:t>
      </w:r>
      <w:r w:rsidRPr="00F65999">
        <w:rPr>
          <w:rFonts w:ascii="宋体" w:eastAsia="宋体" w:hAnsi="宋体" w:hint="eastAsia"/>
          <w:sz w:val="24"/>
        </w:rPr>
        <w:t>价差走势</w:t>
      </w:r>
      <w:r w:rsidR="003B3837">
        <w:rPr>
          <w:rFonts w:ascii="宋体" w:eastAsia="宋体" w:hAnsi="宋体" w:hint="eastAsia"/>
          <w:sz w:val="24"/>
        </w:rPr>
        <w:t>(1)</w:t>
      </w:r>
    </w:p>
    <w:p w:rsidR="003B3837" w:rsidRDefault="003B3837" w:rsidP="003B3837">
      <w:pPr>
        <w:rPr>
          <w:sz w:val="24"/>
        </w:rPr>
      </w:pPr>
      <w:r>
        <w:rPr>
          <w:noProof/>
        </w:rPr>
        <w:drawing>
          <wp:inline distT="0" distB="0" distL="0" distR="0" wp14:anchorId="39F5D90F" wp14:editId="1A0B4810">
            <wp:extent cx="5274310" cy="35831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995" cy="358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37" w:rsidRPr="00727FA4" w:rsidRDefault="003B3837" w:rsidP="0057521E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B3837">
        <w:rPr>
          <w:rFonts w:ascii="宋体" w:eastAsia="宋体" w:hAnsi="宋体" w:hint="eastAsia"/>
          <w:sz w:val="24"/>
          <w:szCs w:val="24"/>
        </w:rPr>
        <w:lastRenderedPageBreak/>
        <w:t>从近</w:t>
      </w:r>
      <w:r w:rsidR="00533E04">
        <w:rPr>
          <w:rFonts w:ascii="宋体" w:eastAsia="宋体" w:hAnsi="宋体"/>
          <w:sz w:val="24"/>
          <w:szCs w:val="24"/>
        </w:rPr>
        <w:t>7</w:t>
      </w:r>
      <w:r w:rsidRPr="003B3837">
        <w:rPr>
          <w:rFonts w:ascii="宋体" w:eastAsia="宋体" w:hAnsi="宋体" w:hint="eastAsia"/>
          <w:sz w:val="24"/>
          <w:szCs w:val="24"/>
        </w:rPr>
        <w:t>年来的</w:t>
      </w:r>
      <w:r w:rsidR="006941AC">
        <w:rPr>
          <w:rFonts w:ascii="宋体" w:eastAsia="宋体" w:hAnsi="宋体" w:hint="eastAsia"/>
          <w:sz w:val="24"/>
          <w:szCs w:val="24"/>
        </w:rPr>
        <w:t>豆棕</w:t>
      </w:r>
      <w:r w:rsidR="0057521E">
        <w:rPr>
          <w:rFonts w:ascii="宋体" w:eastAsia="宋体" w:hAnsi="宋体" w:hint="eastAsia"/>
          <w:sz w:val="24"/>
          <w:szCs w:val="24"/>
        </w:rPr>
        <w:t>1月</w:t>
      </w:r>
      <w:r w:rsidR="0057521E">
        <w:rPr>
          <w:rFonts w:ascii="宋体" w:eastAsia="宋体" w:hAnsi="宋体"/>
          <w:sz w:val="24"/>
          <w:szCs w:val="24"/>
        </w:rPr>
        <w:t>合约</w:t>
      </w:r>
      <w:r w:rsidRPr="003B3837">
        <w:rPr>
          <w:rFonts w:ascii="宋体" w:eastAsia="宋体" w:hAnsi="宋体" w:hint="eastAsia"/>
          <w:sz w:val="24"/>
          <w:szCs w:val="24"/>
        </w:rPr>
        <w:t>价差</w:t>
      </w:r>
      <w:r>
        <w:rPr>
          <w:rFonts w:ascii="宋体" w:eastAsia="宋体" w:hAnsi="宋体" w:hint="eastAsia"/>
          <w:sz w:val="24"/>
          <w:szCs w:val="24"/>
        </w:rPr>
        <w:t>季节性</w:t>
      </w:r>
      <w:r w:rsidRPr="003B3837">
        <w:rPr>
          <w:rFonts w:ascii="宋体" w:eastAsia="宋体" w:hAnsi="宋体" w:hint="eastAsia"/>
          <w:sz w:val="24"/>
          <w:szCs w:val="24"/>
        </w:rPr>
        <w:t>数据（如图2），我们可以看到豆油-棕榈油的价差在10月-12月期间，较大概率会有所回落。</w:t>
      </w:r>
    </w:p>
    <w:p w:rsidR="003B3837" w:rsidRPr="00F65999" w:rsidRDefault="003B3837" w:rsidP="003B3837">
      <w:pPr>
        <w:spacing w:afterLines="50" w:after="156"/>
        <w:jc w:val="center"/>
        <w:rPr>
          <w:rFonts w:ascii="宋体" w:eastAsia="宋体" w:hAnsi="宋体"/>
          <w:sz w:val="24"/>
        </w:rPr>
      </w:pPr>
      <w:r w:rsidRPr="00F65999">
        <w:rPr>
          <w:rFonts w:ascii="宋体" w:eastAsia="宋体" w:hAnsi="宋体" w:hint="eastAsia"/>
          <w:sz w:val="24"/>
        </w:rPr>
        <w:t>图</w:t>
      </w:r>
      <w:r>
        <w:rPr>
          <w:rFonts w:ascii="宋体" w:eastAsia="宋体" w:hAnsi="宋体"/>
          <w:sz w:val="24"/>
        </w:rPr>
        <w:t>2</w:t>
      </w:r>
      <w:r w:rsidRPr="00F65999">
        <w:rPr>
          <w:rFonts w:ascii="宋体" w:eastAsia="宋体" w:hAnsi="宋体" w:hint="eastAsia"/>
          <w:sz w:val="24"/>
        </w:rPr>
        <w:t>：豆棕</w:t>
      </w:r>
      <w:r w:rsidR="0057521E">
        <w:rPr>
          <w:rFonts w:ascii="宋体" w:eastAsia="宋体" w:hAnsi="宋体" w:hint="eastAsia"/>
          <w:sz w:val="24"/>
        </w:rPr>
        <w:t>1月</w:t>
      </w:r>
      <w:r w:rsidR="0057521E">
        <w:rPr>
          <w:rFonts w:ascii="宋体" w:eastAsia="宋体" w:hAnsi="宋体"/>
          <w:sz w:val="24"/>
        </w:rPr>
        <w:t>合约</w:t>
      </w:r>
      <w:r w:rsidRPr="00F65999">
        <w:rPr>
          <w:rFonts w:ascii="宋体" w:eastAsia="宋体" w:hAnsi="宋体" w:hint="eastAsia"/>
          <w:sz w:val="24"/>
        </w:rPr>
        <w:t>价差走势</w:t>
      </w:r>
      <w:r>
        <w:rPr>
          <w:rFonts w:ascii="宋体" w:eastAsia="宋体" w:hAnsi="宋体" w:hint="eastAsia"/>
          <w:sz w:val="24"/>
        </w:rPr>
        <w:t>(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)</w:t>
      </w:r>
    </w:p>
    <w:p w:rsidR="003B3837" w:rsidRPr="00707903" w:rsidRDefault="00533E04" w:rsidP="003B3837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6ADF484" wp14:editId="6D81A308">
            <wp:extent cx="5274310" cy="31534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21E" w:rsidRDefault="0057521E" w:rsidP="0057521E">
      <w:pPr>
        <w:spacing w:beforeLines="50" w:before="156" w:afterLines="50" w:after="156" w:line="360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   目前</w:t>
      </w:r>
      <w:r>
        <w:rPr>
          <w:rFonts w:ascii="宋体" w:eastAsia="宋体" w:hAnsi="宋体"/>
          <w:sz w:val="24"/>
        </w:rPr>
        <w:t>豆油-棕榈油的现货</w:t>
      </w:r>
      <w:r>
        <w:rPr>
          <w:rFonts w:ascii="宋体" w:eastAsia="宋体" w:hAnsi="宋体" w:hint="eastAsia"/>
          <w:sz w:val="24"/>
        </w:rPr>
        <w:t>价差在1258元/吨</w:t>
      </w:r>
      <w:r>
        <w:rPr>
          <w:rFonts w:ascii="宋体" w:eastAsia="宋体" w:hAnsi="宋体"/>
          <w:sz w:val="24"/>
        </w:rPr>
        <w:t>左右</w:t>
      </w:r>
      <w:r w:rsidR="00BE7548">
        <w:rPr>
          <w:rFonts w:ascii="宋体" w:eastAsia="宋体" w:hAnsi="宋体" w:hint="eastAsia"/>
          <w:sz w:val="24"/>
        </w:rPr>
        <w:t>（如</w:t>
      </w:r>
      <w:r w:rsidR="00BE7548">
        <w:rPr>
          <w:rFonts w:ascii="宋体" w:eastAsia="宋体" w:hAnsi="宋体"/>
          <w:sz w:val="24"/>
        </w:rPr>
        <w:t>图</w:t>
      </w:r>
      <w:r w:rsidR="00BE7548">
        <w:rPr>
          <w:rFonts w:ascii="宋体" w:eastAsia="宋体" w:hAnsi="宋体" w:hint="eastAsia"/>
          <w:sz w:val="24"/>
        </w:rPr>
        <w:t>3</w:t>
      </w:r>
      <w:r w:rsidR="00BE7548">
        <w:rPr>
          <w:rFonts w:ascii="宋体" w:eastAsia="宋体" w:hAnsi="宋体"/>
          <w:sz w:val="24"/>
        </w:rPr>
        <w:t>）</w:t>
      </w:r>
      <w:r>
        <w:rPr>
          <w:rFonts w:ascii="宋体" w:eastAsia="宋体" w:hAnsi="宋体"/>
          <w:sz w:val="24"/>
        </w:rPr>
        <w:t>，</w:t>
      </w:r>
      <w:r>
        <w:rPr>
          <w:rFonts w:ascii="宋体" w:eastAsia="宋体" w:hAnsi="宋体" w:hint="eastAsia"/>
          <w:sz w:val="24"/>
        </w:rPr>
        <w:t>近期</w:t>
      </w:r>
      <w:r>
        <w:rPr>
          <w:rFonts w:ascii="宋体" w:eastAsia="宋体" w:hAnsi="宋体"/>
          <w:sz w:val="24"/>
        </w:rPr>
        <w:t>处于</w:t>
      </w:r>
      <w:r>
        <w:rPr>
          <w:rFonts w:ascii="宋体" w:eastAsia="宋体" w:hAnsi="宋体" w:hint="eastAsia"/>
          <w:sz w:val="24"/>
        </w:rPr>
        <w:t>1200</w:t>
      </w:r>
      <w:r>
        <w:rPr>
          <w:rFonts w:ascii="宋体" w:eastAsia="宋体" w:hAnsi="宋体"/>
          <w:sz w:val="24"/>
        </w:rPr>
        <w:t>-1300</w:t>
      </w:r>
      <w:r>
        <w:rPr>
          <w:rFonts w:ascii="宋体" w:eastAsia="宋体" w:hAnsi="宋体" w:hint="eastAsia"/>
          <w:sz w:val="24"/>
        </w:rPr>
        <w:t>元</w:t>
      </w:r>
      <w:r>
        <w:rPr>
          <w:rFonts w:ascii="宋体" w:eastAsia="宋体" w:hAnsi="宋体"/>
          <w:sz w:val="24"/>
        </w:rPr>
        <w:t>/</w:t>
      </w:r>
      <w:r>
        <w:rPr>
          <w:rFonts w:ascii="宋体" w:eastAsia="宋体" w:hAnsi="宋体" w:hint="eastAsia"/>
          <w:sz w:val="24"/>
        </w:rPr>
        <w:t>吨</w:t>
      </w:r>
      <w:r>
        <w:rPr>
          <w:rFonts w:ascii="宋体" w:eastAsia="宋体" w:hAnsi="宋体"/>
          <w:sz w:val="24"/>
        </w:rPr>
        <w:t>水平运行，</w:t>
      </w:r>
      <w:r>
        <w:rPr>
          <w:rFonts w:ascii="宋体" w:eastAsia="宋体" w:hAnsi="宋体" w:hint="eastAsia"/>
          <w:sz w:val="24"/>
        </w:rPr>
        <w:t>也处于</w:t>
      </w:r>
      <w:r>
        <w:rPr>
          <w:rFonts w:ascii="宋体" w:eastAsia="宋体" w:hAnsi="宋体"/>
          <w:sz w:val="24"/>
        </w:rPr>
        <w:t>近两年来的高位。</w:t>
      </w:r>
    </w:p>
    <w:p w:rsidR="00633EE3" w:rsidRPr="00F65999" w:rsidRDefault="00633EE3" w:rsidP="0057521E">
      <w:pPr>
        <w:spacing w:beforeLines="50" w:before="156" w:afterLines="50" w:after="156"/>
        <w:jc w:val="center"/>
        <w:rPr>
          <w:rFonts w:ascii="宋体" w:eastAsia="宋体" w:hAnsi="宋体"/>
          <w:sz w:val="24"/>
        </w:rPr>
      </w:pPr>
      <w:r w:rsidRPr="00F65999">
        <w:rPr>
          <w:rFonts w:ascii="宋体" w:eastAsia="宋体" w:hAnsi="宋体" w:hint="eastAsia"/>
          <w:sz w:val="24"/>
        </w:rPr>
        <w:t>图</w:t>
      </w:r>
      <w:r w:rsidR="003B3837">
        <w:rPr>
          <w:rFonts w:ascii="宋体" w:eastAsia="宋体" w:hAnsi="宋体"/>
          <w:sz w:val="24"/>
        </w:rPr>
        <w:t>3</w:t>
      </w:r>
      <w:r w:rsidRPr="00F65999">
        <w:rPr>
          <w:rFonts w:ascii="宋体" w:eastAsia="宋体" w:hAnsi="宋体" w:hint="eastAsia"/>
          <w:sz w:val="24"/>
        </w:rPr>
        <w:t>：豆棕现货价差走势</w:t>
      </w:r>
      <w:r w:rsidR="0057521E">
        <w:rPr>
          <w:rFonts w:ascii="宋体" w:eastAsia="宋体" w:hAnsi="宋体" w:hint="eastAsia"/>
          <w:sz w:val="24"/>
        </w:rPr>
        <w:t>(1)</w:t>
      </w:r>
    </w:p>
    <w:p w:rsidR="00633EE3" w:rsidRPr="00707903" w:rsidRDefault="003B3837" w:rsidP="00633EE3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2EB22EBD" wp14:editId="368687A9">
            <wp:extent cx="5274310" cy="334925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7006" cy="33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21E" w:rsidRPr="00727FA4" w:rsidRDefault="0057521E" w:rsidP="0057521E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B3837">
        <w:rPr>
          <w:rFonts w:ascii="宋体" w:eastAsia="宋体" w:hAnsi="宋体" w:hint="eastAsia"/>
          <w:sz w:val="24"/>
          <w:szCs w:val="24"/>
        </w:rPr>
        <w:lastRenderedPageBreak/>
        <w:t>从近</w:t>
      </w:r>
      <w:r w:rsidR="00533E04">
        <w:rPr>
          <w:rFonts w:ascii="宋体" w:eastAsia="宋体" w:hAnsi="宋体"/>
          <w:sz w:val="24"/>
          <w:szCs w:val="24"/>
        </w:rPr>
        <w:t>7</w:t>
      </w:r>
      <w:r w:rsidRPr="003B3837">
        <w:rPr>
          <w:rFonts w:ascii="宋体" w:eastAsia="宋体" w:hAnsi="宋体" w:hint="eastAsia"/>
          <w:sz w:val="24"/>
          <w:szCs w:val="24"/>
        </w:rPr>
        <w:t>年来的</w:t>
      </w:r>
      <w:r w:rsidR="006941AC">
        <w:rPr>
          <w:rFonts w:ascii="宋体" w:eastAsia="宋体" w:hAnsi="宋体" w:hint="eastAsia"/>
          <w:sz w:val="24"/>
          <w:szCs w:val="24"/>
        </w:rPr>
        <w:t>豆棕</w:t>
      </w:r>
      <w:r>
        <w:rPr>
          <w:rFonts w:ascii="宋体" w:eastAsia="宋体" w:hAnsi="宋体"/>
          <w:sz w:val="24"/>
          <w:szCs w:val="24"/>
        </w:rPr>
        <w:t>现货</w:t>
      </w:r>
      <w:r w:rsidRPr="003B3837">
        <w:rPr>
          <w:rFonts w:ascii="宋体" w:eastAsia="宋体" w:hAnsi="宋体" w:hint="eastAsia"/>
          <w:sz w:val="24"/>
          <w:szCs w:val="24"/>
        </w:rPr>
        <w:t>价差</w:t>
      </w:r>
      <w:r>
        <w:rPr>
          <w:rFonts w:ascii="宋体" w:eastAsia="宋体" w:hAnsi="宋体" w:hint="eastAsia"/>
          <w:sz w:val="24"/>
          <w:szCs w:val="24"/>
        </w:rPr>
        <w:t>季节性</w:t>
      </w:r>
      <w:r w:rsidRPr="003B3837">
        <w:rPr>
          <w:rFonts w:ascii="宋体" w:eastAsia="宋体" w:hAnsi="宋体" w:hint="eastAsia"/>
          <w:sz w:val="24"/>
          <w:szCs w:val="24"/>
        </w:rPr>
        <w:t>数据（如图</w:t>
      </w:r>
      <w:r>
        <w:rPr>
          <w:rFonts w:ascii="宋体" w:eastAsia="宋体" w:hAnsi="宋体"/>
          <w:sz w:val="24"/>
          <w:szCs w:val="24"/>
        </w:rPr>
        <w:t>4</w:t>
      </w:r>
      <w:r w:rsidRPr="003B3837">
        <w:rPr>
          <w:rFonts w:ascii="宋体" w:eastAsia="宋体" w:hAnsi="宋体" w:hint="eastAsia"/>
          <w:sz w:val="24"/>
          <w:szCs w:val="24"/>
        </w:rPr>
        <w:t>），我们可以</w:t>
      </w:r>
      <w:r w:rsidR="00533E04">
        <w:rPr>
          <w:rFonts w:ascii="宋体" w:eastAsia="宋体" w:hAnsi="宋体" w:hint="eastAsia"/>
          <w:sz w:val="24"/>
          <w:szCs w:val="24"/>
        </w:rPr>
        <w:t>也</w:t>
      </w:r>
      <w:r w:rsidRPr="003B3837">
        <w:rPr>
          <w:rFonts w:ascii="宋体" w:eastAsia="宋体" w:hAnsi="宋体" w:hint="eastAsia"/>
          <w:sz w:val="24"/>
          <w:szCs w:val="24"/>
        </w:rPr>
        <w:t>看到豆油-棕榈油</w:t>
      </w:r>
      <w:r w:rsidR="00BE7548">
        <w:rPr>
          <w:rFonts w:ascii="宋体" w:eastAsia="宋体" w:hAnsi="宋体" w:hint="eastAsia"/>
          <w:sz w:val="24"/>
          <w:szCs w:val="24"/>
        </w:rPr>
        <w:t>现货</w:t>
      </w:r>
      <w:r w:rsidRPr="003B3837">
        <w:rPr>
          <w:rFonts w:ascii="宋体" w:eastAsia="宋体" w:hAnsi="宋体" w:hint="eastAsia"/>
          <w:sz w:val="24"/>
          <w:szCs w:val="24"/>
        </w:rPr>
        <w:t>价差在10月-12月期间，</w:t>
      </w:r>
      <w:r w:rsidR="00533E04">
        <w:rPr>
          <w:rFonts w:ascii="宋体" w:eastAsia="宋体" w:hAnsi="宋体" w:hint="eastAsia"/>
          <w:sz w:val="24"/>
          <w:szCs w:val="24"/>
        </w:rPr>
        <w:t>回落的</w:t>
      </w:r>
      <w:r w:rsidR="00533E04">
        <w:rPr>
          <w:rFonts w:ascii="宋体" w:eastAsia="宋体" w:hAnsi="宋体"/>
          <w:sz w:val="24"/>
          <w:szCs w:val="24"/>
        </w:rPr>
        <w:t>概率</w:t>
      </w:r>
      <w:r w:rsidR="00BE7548">
        <w:rPr>
          <w:rFonts w:ascii="宋体" w:eastAsia="宋体" w:hAnsi="宋体" w:hint="eastAsia"/>
          <w:sz w:val="24"/>
          <w:szCs w:val="24"/>
        </w:rPr>
        <w:t>亦</w:t>
      </w:r>
      <w:r w:rsidR="00533E04">
        <w:rPr>
          <w:rFonts w:ascii="宋体" w:eastAsia="宋体" w:hAnsi="宋体"/>
          <w:sz w:val="24"/>
          <w:szCs w:val="24"/>
        </w:rPr>
        <w:t>相对较大</w:t>
      </w:r>
      <w:r w:rsidRPr="003B3837">
        <w:rPr>
          <w:rFonts w:ascii="宋体" w:eastAsia="宋体" w:hAnsi="宋体" w:hint="eastAsia"/>
          <w:sz w:val="24"/>
          <w:szCs w:val="24"/>
        </w:rPr>
        <w:t>。</w:t>
      </w:r>
    </w:p>
    <w:p w:rsidR="0057521E" w:rsidRPr="00F65999" w:rsidRDefault="0057521E" w:rsidP="0057521E">
      <w:pPr>
        <w:spacing w:afterLines="50" w:after="156"/>
        <w:jc w:val="center"/>
        <w:rPr>
          <w:rFonts w:ascii="宋体" w:eastAsia="宋体" w:hAnsi="宋体"/>
          <w:sz w:val="24"/>
        </w:rPr>
      </w:pPr>
      <w:r w:rsidRPr="00F65999">
        <w:rPr>
          <w:rFonts w:ascii="宋体" w:eastAsia="宋体" w:hAnsi="宋体" w:hint="eastAsia"/>
          <w:sz w:val="24"/>
        </w:rPr>
        <w:t>图</w:t>
      </w:r>
      <w:r w:rsidR="00533E04">
        <w:rPr>
          <w:rFonts w:ascii="宋体" w:eastAsia="宋体" w:hAnsi="宋体"/>
          <w:sz w:val="24"/>
        </w:rPr>
        <w:t>4</w:t>
      </w:r>
      <w:r w:rsidRPr="00F65999">
        <w:rPr>
          <w:rFonts w:ascii="宋体" w:eastAsia="宋体" w:hAnsi="宋体" w:hint="eastAsia"/>
          <w:sz w:val="24"/>
        </w:rPr>
        <w:t>：豆棕现货价差走势</w:t>
      </w:r>
      <w:r>
        <w:rPr>
          <w:rFonts w:ascii="宋体" w:eastAsia="宋体" w:hAnsi="宋体" w:hint="eastAsia"/>
          <w:sz w:val="24"/>
        </w:rPr>
        <w:t>(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)</w:t>
      </w:r>
    </w:p>
    <w:p w:rsidR="0057521E" w:rsidRDefault="00533E04" w:rsidP="00533E04">
      <w:pPr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AE3F964" wp14:editId="6E819021">
            <wp:extent cx="5272758" cy="295585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3836" cy="296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00871" w:rsidRDefault="00000871" w:rsidP="00533E04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从统计看，自200</w:t>
      </w:r>
      <w:r w:rsidR="00BC4241">
        <w:rPr>
          <w:rFonts w:ascii="宋体" w:eastAsia="宋体" w:hAnsi="宋体"/>
          <w:sz w:val="24"/>
          <w:szCs w:val="24"/>
        </w:rPr>
        <w:t>9</w:t>
      </w:r>
      <w:r w:rsidRPr="00727FA4">
        <w:rPr>
          <w:rFonts w:ascii="宋体" w:eastAsia="宋体" w:hAnsi="宋体" w:hint="eastAsia"/>
          <w:sz w:val="24"/>
          <w:szCs w:val="24"/>
        </w:rPr>
        <w:t>年豆油</w:t>
      </w:r>
      <w:r w:rsidR="00BC4241">
        <w:rPr>
          <w:rFonts w:ascii="宋体" w:eastAsia="宋体" w:hAnsi="宋体" w:hint="eastAsia"/>
          <w:sz w:val="24"/>
          <w:szCs w:val="24"/>
        </w:rPr>
        <w:t>-</w:t>
      </w:r>
      <w:r w:rsidRPr="00727FA4">
        <w:rPr>
          <w:rFonts w:ascii="宋体" w:eastAsia="宋体" w:hAnsi="宋体" w:hint="eastAsia"/>
          <w:sz w:val="24"/>
          <w:szCs w:val="24"/>
        </w:rPr>
        <w:t>棕榈油</w:t>
      </w:r>
      <w:r w:rsidR="00BC4241">
        <w:rPr>
          <w:rFonts w:ascii="宋体" w:eastAsia="宋体" w:hAnsi="宋体" w:hint="eastAsia"/>
          <w:sz w:val="24"/>
          <w:szCs w:val="24"/>
        </w:rPr>
        <w:t>1</w:t>
      </w:r>
      <w:r w:rsidRPr="00727FA4">
        <w:rPr>
          <w:rFonts w:ascii="宋体" w:eastAsia="宋体" w:hAnsi="宋体" w:hint="eastAsia"/>
          <w:sz w:val="24"/>
          <w:szCs w:val="24"/>
        </w:rPr>
        <w:t>月合约价差平均值在</w:t>
      </w:r>
      <w:r w:rsidR="00BC4241">
        <w:rPr>
          <w:rFonts w:ascii="宋体" w:eastAsia="宋体" w:hAnsi="宋体"/>
          <w:sz w:val="24"/>
          <w:szCs w:val="24"/>
        </w:rPr>
        <w:t>1139</w:t>
      </w:r>
      <w:r w:rsidRPr="00727FA4">
        <w:rPr>
          <w:rFonts w:ascii="宋体" w:eastAsia="宋体" w:hAnsi="宋体" w:hint="eastAsia"/>
          <w:sz w:val="24"/>
          <w:szCs w:val="24"/>
        </w:rPr>
        <w:t>元</w:t>
      </w:r>
      <w:r w:rsidR="00BC4241">
        <w:rPr>
          <w:rFonts w:ascii="宋体" w:eastAsia="宋体" w:hAnsi="宋体" w:hint="eastAsia"/>
          <w:sz w:val="24"/>
          <w:szCs w:val="24"/>
        </w:rPr>
        <w:t>/吨</w:t>
      </w:r>
      <w:r w:rsidRPr="00727FA4">
        <w:rPr>
          <w:rFonts w:ascii="宋体" w:eastAsia="宋体" w:hAnsi="宋体" w:hint="eastAsia"/>
          <w:sz w:val="24"/>
          <w:szCs w:val="24"/>
        </w:rPr>
        <w:t>，主要分布在600-</w:t>
      </w:r>
      <w:r w:rsidR="00BC4241">
        <w:rPr>
          <w:rFonts w:ascii="宋体" w:eastAsia="宋体" w:hAnsi="宋体"/>
          <w:sz w:val="24"/>
          <w:szCs w:val="24"/>
        </w:rPr>
        <w:t>18</w:t>
      </w:r>
      <w:r w:rsidRPr="00727FA4">
        <w:rPr>
          <w:rFonts w:ascii="宋体" w:eastAsia="宋体" w:hAnsi="宋体" w:hint="eastAsia"/>
          <w:sz w:val="24"/>
          <w:szCs w:val="24"/>
        </w:rPr>
        <w:t>00元</w:t>
      </w:r>
      <w:r w:rsidR="00BC4241">
        <w:rPr>
          <w:rFonts w:ascii="宋体" w:eastAsia="宋体" w:hAnsi="宋体" w:hint="eastAsia"/>
          <w:sz w:val="24"/>
          <w:szCs w:val="24"/>
        </w:rPr>
        <w:t>/吨的区间</w:t>
      </w:r>
      <w:r w:rsidRPr="00727FA4">
        <w:rPr>
          <w:rFonts w:ascii="宋体" w:eastAsia="宋体" w:hAnsi="宋体" w:hint="eastAsia"/>
          <w:sz w:val="24"/>
          <w:szCs w:val="24"/>
        </w:rPr>
        <w:t>，约占</w:t>
      </w:r>
      <w:r w:rsidR="00BC4241">
        <w:rPr>
          <w:rFonts w:ascii="宋体" w:eastAsia="宋体" w:hAnsi="宋体"/>
          <w:sz w:val="24"/>
          <w:szCs w:val="24"/>
        </w:rPr>
        <w:t>1654</w:t>
      </w:r>
      <w:r w:rsidRPr="00727FA4">
        <w:rPr>
          <w:rFonts w:ascii="宋体" w:eastAsia="宋体" w:hAnsi="宋体" w:hint="eastAsia"/>
          <w:sz w:val="24"/>
          <w:szCs w:val="24"/>
        </w:rPr>
        <w:t>个样本的</w:t>
      </w:r>
      <w:r w:rsidR="00BC4241">
        <w:rPr>
          <w:rFonts w:ascii="宋体" w:eastAsia="宋体" w:hAnsi="宋体"/>
          <w:sz w:val="24"/>
          <w:szCs w:val="24"/>
        </w:rPr>
        <w:t>88.15</w:t>
      </w:r>
      <w:r w:rsidRPr="00727FA4">
        <w:rPr>
          <w:rFonts w:ascii="宋体" w:eastAsia="宋体" w:hAnsi="宋体" w:hint="eastAsia"/>
          <w:sz w:val="24"/>
          <w:szCs w:val="24"/>
        </w:rPr>
        <w:t>%；二者价差低于600的概率为4</w:t>
      </w:r>
      <w:r w:rsidR="00BC4241">
        <w:rPr>
          <w:rFonts w:ascii="宋体" w:eastAsia="宋体" w:hAnsi="宋体"/>
          <w:sz w:val="24"/>
          <w:szCs w:val="24"/>
        </w:rPr>
        <w:t>.78</w:t>
      </w:r>
      <w:r w:rsidRPr="00727FA4">
        <w:rPr>
          <w:rFonts w:ascii="宋体" w:eastAsia="宋体" w:hAnsi="宋体" w:hint="eastAsia"/>
          <w:sz w:val="24"/>
          <w:szCs w:val="24"/>
        </w:rPr>
        <w:t>%，超过2200的概率为</w:t>
      </w:r>
      <w:r w:rsidR="00BC4241">
        <w:rPr>
          <w:rFonts w:ascii="宋体" w:eastAsia="宋体" w:hAnsi="宋体"/>
          <w:sz w:val="24"/>
          <w:szCs w:val="24"/>
        </w:rPr>
        <w:t>3.33</w:t>
      </w:r>
      <w:r w:rsidRPr="00727FA4">
        <w:rPr>
          <w:rFonts w:ascii="宋体" w:eastAsia="宋体" w:hAnsi="宋体" w:hint="eastAsia"/>
          <w:sz w:val="24"/>
          <w:szCs w:val="24"/>
        </w:rPr>
        <w:t>%。从期货和现货的价差</w:t>
      </w:r>
      <w:r w:rsidR="00BC4241">
        <w:rPr>
          <w:rFonts w:ascii="宋体" w:eastAsia="宋体" w:hAnsi="宋体" w:hint="eastAsia"/>
          <w:sz w:val="24"/>
          <w:szCs w:val="24"/>
        </w:rPr>
        <w:t>来</w:t>
      </w:r>
      <w:r w:rsidRPr="00727FA4">
        <w:rPr>
          <w:rFonts w:ascii="宋体" w:eastAsia="宋体" w:hAnsi="宋体" w:hint="eastAsia"/>
          <w:sz w:val="24"/>
          <w:szCs w:val="24"/>
        </w:rPr>
        <w:t>看，目前二者的价差</w:t>
      </w:r>
      <w:r w:rsidR="00BC4241">
        <w:rPr>
          <w:rFonts w:ascii="宋体" w:eastAsia="宋体" w:hAnsi="宋体" w:hint="eastAsia"/>
          <w:sz w:val="24"/>
          <w:szCs w:val="24"/>
        </w:rPr>
        <w:t>均</w:t>
      </w:r>
      <w:r w:rsidR="00F65999">
        <w:rPr>
          <w:rFonts w:ascii="宋体" w:eastAsia="宋体" w:hAnsi="宋体" w:hint="eastAsia"/>
          <w:sz w:val="24"/>
          <w:szCs w:val="24"/>
        </w:rPr>
        <w:t>大于</w:t>
      </w:r>
      <w:r w:rsidRPr="00727FA4">
        <w:rPr>
          <w:rFonts w:ascii="宋体" w:eastAsia="宋体" w:hAnsi="宋体" w:hint="eastAsia"/>
          <w:sz w:val="24"/>
          <w:szCs w:val="24"/>
        </w:rPr>
        <w:t>1100元，处于历史均值水平。</w:t>
      </w:r>
    </w:p>
    <w:p w:rsidR="00BC4241" w:rsidRDefault="00BC4241" w:rsidP="00533E04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同时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我们跟踪</w:t>
      </w:r>
      <w:r>
        <w:rPr>
          <w:rFonts w:ascii="宋体" w:eastAsia="宋体" w:hAnsi="宋体"/>
          <w:sz w:val="24"/>
          <w:szCs w:val="24"/>
        </w:rPr>
        <w:t>了自</w:t>
      </w:r>
      <w:r>
        <w:rPr>
          <w:rFonts w:ascii="宋体" w:eastAsia="宋体" w:hAnsi="宋体" w:hint="eastAsia"/>
          <w:sz w:val="24"/>
          <w:szCs w:val="24"/>
        </w:rPr>
        <w:t>2014年</w:t>
      </w:r>
      <w:r>
        <w:rPr>
          <w:rFonts w:ascii="宋体" w:eastAsia="宋体" w:hAnsi="宋体"/>
          <w:sz w:val="24"/>
          <w:szCs w:val="24"/>
        </w:rPr>
        <w:t>以来的</w:t>
      </w:r>
      <w:r>
        <w:rPr>
          <w:rFonts w:ascii="宋体" w:eastAsia="宋体" w:hAnsi="宋体" w:hint="eastAsia"/>
          <w:sz w:val="24"/>
          <w:szCs w:val="24"/>
        </w:rPr>
        <w:t>豆油</w:t>
      </w:r>
      <w:r>
        <w:rPr>
          <w:rFonts w:ascii="宋体" w:eastAsia="宋体" w:hAnsi="宋体"/>
          <w:sz w:val="24"/>
          <w:szCs w:val="24"/>
        </w:rPr>
        <w:t>-棕榈油</w:t>
      </w:r>
      <w:r>
        <w:rPr>
          <w:rFonts w:ascii="宋体" w:eastAsia="宋体" w:hAnsi="宋体" w:hint="eastAsia"/>
          <w:sz w:val="24"/>
          <w:szCs w:val="24"/>
        </w:rPr>
        <w:t>1月</w:t>
      </w:r>
      <w:r>
        <w:rPr>
          <w:rFonts w:ascii="宋体" w:eastAsia="宋体" w:hAnsi="宋体"/>
          <w:sz w:val="24"/>
          <w:szCs w:val="24"/>
        </w:rPr>
        <w:t>合约价差，</w:t>
      </w:r>
      <w:r>
        <w:rPr>
          <w:rFonts w:ascii="宋体" w:eastAsia="宋体" w:hAnsi="宋体" w:hint="eastAsia"/>
          <w:sz w:val="24"/>
          <w:szCs w:val="24"/>
        </w:rPr>
        <w:t>从440多个</w:t>
      </w:r>
      <w:r>
        <w:rPr>
          <w:rFonts w:ascii="宋体" w:eastAsia="宋体" w:hAnsi="宋体"/>
          <w:sz w:val="24"/>
          <w:szCs w:val="24"/>
        </w:rPr>
        <w:t>数据中，我们可以看到当前二者的价差已</w:t>
      </w:r>
      <w:r>
        <w:rPr>
          <w:rFonts w:ascii="宋体" w:eastAsia="宋体" w:hAnsi="宋体" w:hint="eastAsia"/>
          <w:sz w:val="24"/>
          <w:szCs w:val="24"/>
        </w:rPr>
        <w:t>处于</w:t>
      </w:r>
      <w:r>
        <w:rPr>
          <w:rFonts w:ascii="宋体" w:eastAsia="宋体" w:hAnsi="宋体"/>
          <w:sz w:val="24"/>
          <w:szCs w:val="24"/>
        </w:rPr>
        <w:t>两年来的新高，因此我们认为</w:t>
      </w:r>
      <w:r>
        <w:rPr>
          <w:rFonts w:ascii="宋体" w:eastAsia="宋体" w:hAnsi="宋体" w:hint="eastAsia"/>
          <w:sz w:val="24"/>
          <w:szCs w:val="24"/>
        </w:rPr>
        <w:t>后期</w:t>
      </w:r>
      <w:r w:rsidR="006941AC">
        <w:rPr>
          <w:rFonts w:ascii="宋体" w:eastAsia="宋体" w:hAnsi="宋体" w:hint="eastAsia"/>
          <w:sz w:val="24"/>
          <w:szCs w:val="24"/>
        </w:rPr>
        <w:t>豆棕</w:t>
      </w:r>
      <w:r>
        <w:rPr>
          <w:rFonts w:ascii="宋体" w:eastAsia="宋体" w:hAnsi="宋体" w:hint="eastAsia"/>
          <w:sz w:val="24"/>
          <w:szCs w:val="24"/>
        </w:rPr>
        <w:t>1月</w:t>
      </w:r>
      <w:r>
        <w:rPr>
          <w:rFonts w:ascii="宋体" w:eastAsia="宋体" w:hAnsi="宋体"/>
          <w:sz w:val="24"/>
          <w:szCs w:val="24"/>
        </w:rPr>
        <w:t>合约价差</w:t>
      </w:r>
      <w:r>
        <w:rPr>
          <w:rFonts w:ascii="宋体" w:eastAsia="宋体" w:hAnsi="宋体" w:hint="eastAsia"/>
          <w:sz w:val="24"/>
          <w:szCs w:val="24"/>
        </w:rPr>
        <w:t>缩小</w:t>
      </w:r>
      <w:r>
        <w:rPr>
          <w:rFonts w:ascii="宋体" w:eastAsia="宋体" w:hAnsi="宋体"/>
          <w:sz w:val="24"/>
          <w:szCs w:val="24"/>
        </w:rPr>
        <w:t>的概率较大</w:t>
      </w:r>
      <w:r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052"/>
        <w:gridCol w:w="1218"/>
        <w:gridCol w:w="1217"/>
        <w:gridCol w:w="236"/>
        <w:gridCol w:w="1993"/>
        <w:gridCol w:w="1230"/>
      </w:tblGrid>
      <w:tr w:rsidR="00C847E3" w:rsidTr="006941AC">
        <w:trPr>
          <w:trHeight w:val="614"/>
          <w:jc w:val="center"/>
        </w:trPr>
        <w:tc>
          <w:tcPr>
            <w:tcW w:w="8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E3" w:rsidRDefault="00C847E3" w:rsidP="00C847E3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表1：豆油</w:t>
            </w:r>
            <w:r>
              <w:rPr>
                <w:rFonts w:ascii="宋体" w:eastAsia="宋体" w:hAnsi="宋体"/>
                <w:sz w:val="24"/>
                <w:szCs w:val="24"/>
              </w:rPr>
              <w:t>-棕榈油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价差</w:t>
            </w:r>
            <w:r>
              <w:rPr>
                <w:rFonts w:ascii="宋体" w:eastAsia="宋体" w:hAnsi="宋体"/>
                <w:sz w:val="24"/>
                <w:szCs w:val="24"/>
              </w:rPr>
              <w:t>统计表</w:t>
            </w:r>
          </w:p>
        </w:tc>
      </w:tr>
      <w:tr w:rsidR="00C847E3" w:rsidTr="00C847E3">
        <w:trPr>
          <w:trHeight w:val="389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价差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频率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百分比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累计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47E3" w:rsidRDefault="006941AC" w:rsidP="00C847E3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豆棕</w:t>
            </w:r>
            <w:r w:rsidR="00C847E3">
              <w:rPr>
                <w:rFonts w:hint="eastAsia"/>
                <w:color w:val="000000"/>
                <w:sz w:val="22"/>
              </w:rPr>
              <w:t>价差</w:t>
            </w:r>
            <w:r w:rsidR="00C847E3">
              <w:rPr>
                <w:color w:val="000000"/>
                <w:sz w:val="22"/>
              </w:rPr>
              <w:t>描述统计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(0,200)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0.73%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0.73%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平均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1138.644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(200,400)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1.39%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2.12%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标准误差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10.3904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(400,600)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2.66%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4.78%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中位数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1063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(600,800)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12.52%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17.29%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众数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928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(800,1000)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25.76%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43.05%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标准差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422.5714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(1000,1200)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20.74%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63.78%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方差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178566.6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(1200,1400)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15.30%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79.08%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峰度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1.38665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(1400,1600)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8.52%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87.61%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偏度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0.944479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(1600,1800)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5.32%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92.93%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区域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2758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(1800,2000)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1.27%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94.20%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最小值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(2000,2200)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2.48%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96.67%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最大值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2812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(2200,2400)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2.00%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98.67%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求和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1883318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(2400,2600)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1.21%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99.88%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观测数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1654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(2600,2800)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99.94%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最大</w:t>
            </w:r>
            <w:r>
              <w:rPr>
                <w:rFonts w:hint="eastAsia"/>
                <w:color w:val="000000"/>
                <w:sz w:val="22"/>
              </w:rPr>
              <w:t>(1)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2812</w:t>
            </w:r>
          </w:p>
        </w:tc>
      </w:tr>
      <w:tr w:rsidR="00C847E3" w:rsidTr="00C847E3">
        <w:trPr>
          <w:jc w:val="center"/>
        </w:trPr>
        <w:tc>
          <w:tcPr>
            <w:tcW w:w="1384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(2800,3000)</w:t>
            </w:r>
          </w:p>
        </w:tc>
        <w:tc>
          <w:tcPr>
            <w:tcW w:w="1052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18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0.06%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100.00%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最小</w:t>
            </w:r>
            <w:r>
              <w:rPr>
                <w:rFonts w:hint="eastAsia"/>
                <w:color w:val="000000"/>
                <w:sz w:val="22"/>
              </w:rPr>
              <w:t>(1)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</w:tr>
      <w:tr w:rsidR="00C847E3" w:rsidTr="00C847E3">
        <w:trPr>
          <w:jc w:val="center"/>
        </w:trPr>
        <w:tc>
          <w:tcPr>
            <w:tcW w:w="4871" w:type="dxa"/>
            <w:gridSpan w:val="4"/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C847E3" w:rsidRDefault="00C847E3" w:rsidP="00C847E3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1993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置信度</w:t>
            </w:r>
            <w:r>
              <w:rPr>
                <w:rFonts w:hint="eastAsia"/>
                <w:color w:val="000000"/>
                <w:sz w:val="22"/>
              </w:rPr>
              <w:t>(95.0%)</w:t>
            </w:r>
          </w:p>
        </w:tc>
        <w:tc>
          <w:tcPr>
            <w:tcW w:w="1230" w:type="dxa"/>
            <w:vAlign w:val="bottom"/>
          </w:tcPr>
          <w:p w:rsidR="00C847E3" w:rsidRDefault="00C847E3" w:rsidP="00C847E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20.37973</w:t>
            </w:r>
          </w:p>
        </w:tc>
      </w:tr>
    </w:tbl>
    <w:p w:rsidR="00633EE3" w:rsidRPr="00F65999" w:rsidRDefault="00633EE3" w:rsidP="00C847E3">
      <w:pPr>
        <w:spacing w:beforeLines="50" w:before="156" w:afterLines="50" w:after="156"/>
        <w:ind w:firstLine="420"/>
        <w:jc w:val="center"/>
        <w:rPr>
          <w:rFonts w:ascii="宋体" w:eastAsia="宋体" w:hAnsi="宋体" w:hint="eastAsia"/>
          <w:sz w:val="24"/>
        </w:rPr>
      </w:pPr>
      <w:r w:rsidRPr="00F65999">
        <w:rPr>
          <w:rFonts w:ascii="宋体" w:eastAsia="宋体" w:hAnsi="宋体" w:hint="eastAsia"/>
          <w:sz w:val="24"/>
        </w:rPr>
        <w:t>图</w:t>
      </w:r>
      <w:r w:rsidR="00DD679B">
        <w:rPr>
          <w:rFonts w:ascii="宋体" w:eastAsia="宋体" w:hAnsi="宋体"/>
          <w:sz w:val="24"/>
        </w:rPr>
        <w:t>5</w:t>
      </w:r>
      <w:r w:rsidRPr="00F65999">
        <w:rPr>
          <w:rFonts w:ascii="宋体" w:eastAsia="宋体" w:hAnsi="宋体" w:hint="eastAsia"/>
          <w:sz w:val="24"/>
        </w:rPr>
        <w:t>：豆棕价差</w:t>
      </w:r>
      <w:r w:rsidR="00C847E3">
        <w:rPr>
          <w:rFonts w:ascii="宋体" w:eastAsia="宋体" w:hAnsi="宋体" w:hint="eastAsia"/>
          <w:sz w:val="24"/>
        </w:rPr>
        <w:t>频率图</w:t>
      </w:r>
    </w:p>
    <w:p w:rsidR="00633EE3" w:rsidRPr="00707903" w:rsidRDefault="00C847E3" w:rsidP="00633EE3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0260AA5C" wp14:editId="6E56E007">
            <wp:extent cx="5274029" cy="300901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4468" cy="30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71" w:rsidRDefault="006941AC" w:rsidP="00BE7548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下面</w:t>
      </w:r>
      <w:r>
        <w:rPr>
          <w:rFonts w:ascii="宋体" w:eastAsia="宋体" w:hAnsi="宋体"/>
          <w:sz w:val="24"/>
          <w:szCs w:val="24"/>
        </w:rPr>
        <w:t>，我们再</w:t>
      </w:r>
      <w:r>
        <w:rPr>
          <w:rFonts w:ascii="宋体" w:eastAsia="宋体" w:hAnsi="宋体" w:hint="eastAsia"/>
          <w:sz w:val="24"/>
          <w:szCs w:val="24"/>
        </w:rPr>
        <w:t>来看下</w:t>
      </w:r>
      <w:r w:rsidR="00000871" w:rsidRPr="00727FA4">
        <w:rPr>
          <w:rFonts w:ascii="宋体" w:eastAsia="宋体" w:hAnsi="宋体" w:hint="eastAsia"/>
          <w:sz w:val="24"/>
          <w:szCs w:val="24"/>
        </w:rPr>
        <w:t>豆棕价差与豆油的比值，</w:t>
      </w:r>
      <w:r>
        <w:rPr>
          <w:rFonts w:ascii="宋体" w:eastAsia="宋体" w:hAnsi="宋体" w:hint="eastAsia"/>
          <w:sz w:val="24"/>
          <w:szCs w:val="24"/>
        </w:rPr>
        <w:t>目前</w:t>
      </w:r>
      <w:r w:rsidRPr="00F65999">
        <w:rPr>
          <w:rFonts w:ascii="宋体" w:eastAsia="宋体" w:hAnsi="宋体" w:hint="eastAsia"/>
          <w:sz w:val="24"/>
        </w:rPr>
        <w:t>豆棕</w:t>
      </w:r>
      <w:r>
        <w:rPr>
          <w:rFonts w:ascii="宋体" w:eastAsia="宋体" w:hAnsi="宋体" w:hint="eastAsia"/>
          <w:sz w:val="24"/>
          <w:szCs w:val="24"/>
        </w:rPr>
        <w:t>现货和期货价差与豆油价格的比值均</w:t>
      </w:r>
      <w:r>
        <w:rPr>
          <w:rFonts w:ascii="宋体" w:eastAsia="宋体" w:hAnsi="宋体"/>
          <w:sz w:val="24"/>
          <w:szCs w:val="24"/>
        </w:rPr>
        <w:t>大于</w:t>
      </w:r>
      <w:r w:rsidR="00CF148A">
        <w:rPr>
          <w:rFonts w:ascii="宋体" w:eastAsia="宋体" w:hAnsi="宋体"/>
          <w:sz w:val="24"/>
          <w:szCs w:val="24"/>
        </w:rPr>
        <w:t>0.2</w:t>
      </w:r>
      <w:r w:rsidR="00000871" w:rsidRPr="00727FA4">
        <w:rPr>
          <w:rFonts w:ascii="宋体" w:eastAsia="宋体" w:hAnsi="宋体" w:hint="eastAsia"/>
          <w:sz w:val="24"/>
          <w:szCs w:val="24"/>
        </w:rPr>
        <w:t>，处于历史较高水平</w:t>
      </w:r>
      <w:r>
        <w:rPr>
          <w:rFonts w:ascii="宋体" w:eastAsia="宋体" w:hAnsi="宋体" w:hint="eastAsia"/>
          <w:sz w:val="24"/>
          <w:szCs w:val="24"/>
        </w:rPr>
        <w:t>；</w:t>
      </w:r>
      <w:r w:rsidR="00C57CE9" w:rsidRPr="00727FA4">
        <w:rPr>
          <w:rFonts w:ascii="宋体" w:eastAsia="宋体" w:hAnsi="宋体" w:hint="eastAsia"/>
          <w:sz w:val="24"/>
          <w:szCs w:val="24"/>
        </w:rPr>
        <w:t>尽管</w:t>
      </w:r>
      <w:r w:rsidR="00000871" w:rsidRPr="00727FA4">
        <w:rPr>
          <w:rFonts w:ascii="宋体" w:eastAsia="宋体" w:hAnsi="宋体" w:hint="eastAsia"/>
          <w:sz w:val="24"/>
          <w:szCs w:val="24"/>
        </w:rPr>
        <w:t>低于2009年初期和2013年初期接近</w:t>
      </w:r>
      <w:r w:rsidR="00DD679B">
        <w:rPr>
          <w:rFonts w:ascii="宋体" w:eastAsia="宋体" w:hAnsi="宋体"/>
          <w:sz w:val="24"/>
          <w:szCs w:val="24"/>
        </w:rPr>
        <w:t>0.3</w:t>
      </w:r>
      <w:r w:rsidR="00000871" w:rsidRPr="00727FA4">
        <w:rPr>
          <w:rFonts w:ascii="宋体" w:eastAsia="宋体" w:hAnsi="宋体" w:hint="eastAsia"/>
          <w:sz w:val="24"/>
          <w:szCs w:val="24"/>
        </w:rPr>
        <w:t>的水平</w:t>
      </w:r>
      <w:r w:rsidR="00C57CE9" w:rsidRPr="00727FA4">
        <w:rPr>
          <w:rFonts w:ascii="宋体" w:eastAsia="宋体" w:hAnsi="宋体" w:hint="eastAsia"/>
          <w:sz w:val="24"/>
          <w:szCs w:val="24"/>
        </w:rPr>
        <w:t>，但</w:t>
      </w:r>
      <w:r>
        <w:rPr>
          <w:rFonts w:ascii="宋体" w:eastAsia="宋体" w:hAnsi="宋体" w:hint="eastAsia"/>
          <w:sz w:val="24"/>
          <w:szCs w:val="24"/>
        </w:rPr>
        <w:t>后期</w:t>
      </w:r>
      <w:r w:rsidR="00C57CE9" w:rsidRPr="00727FA4">
        <w:rPr>
          <w:rFonts w:ascii="宋体" w:eastAsia="宋体" w:hAnsi="宋体" w:hint="eastAsia"/>
          <w:sz w:val="24"/>
          <w:szCs w:val="24"/>
        </w:rPr>
        <w:t>二者比值</w:t>
      </w:r>
      <w:r>
        <w:rPr>
          <w:rFonts w:ascii="宋体" w:eastAsia="宋体" w:hAnsi="宋体" w:hint="eastAsia"/>
          <w:sz w:val="24"/>
          <w:szCs w:val="24"/>
        </w:rPr>
        <w:t>缩小</w:t>
      </w:r>
      <w:r w:rsidR="00C57CE9" w:rsidRPr="00727FA4">
        <w:rPr>
          <w:rFonts w:ascii="宋体" w:eastAsia="宋体" w:hAnsi="宋体" w:hint="eastAsia"/>
          <w:sz w:val="24"/>
          <w:szCs w:val="24"/>
        </w:rPr>
        <w:t>的概率大幅增加</w:t>
      </w:r>
      <w:r w:rsidR="00000871" w:rsidRPr="00727FA4">
        <w:rPr>
          <w:rFonts w:ascii="宋体" w:eastAsia="宋体" w:hAnsi="宋体" w:hint="eastAsia"/>
          <w:sz w:val="24"/>
          <w:szCs w:val="24"/>
        </w:rPr>
        <w:t>。</w:t>
      </w:r>
    </w:p>
    <w:tbl>
      <w:tblPr>
        <w:tblW w:w="8506" w:type="dxa"/>
        <w:jc w:val="center"/>
        <w:tblBorders>
          <w:insideH w:val="single" w:sz="4" w:space="0" w:color="010281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4"/>
        <w:gridCol w:w="4153"/>
        <w:gridCol w:w="4269"/>
      </w:tblGrid>
      <w:tr w:rsidR="006941AC" w:rsidRPr="001E26FC" w:rsidTr="006941AC">
        <w:trPr>
          <w:gridBefore w:val="1"/>
          <w:wBefore w:w="84" w:type="dxa"/>
          <w:trHeight w:val="317"/>
          <w:jc w:val="center"/>
        </w:trPr>
        <w:tc>
          <w:tcPr>
            <w:tcW w:w="8422" w:type="dxa"/>
            <w:gridSpan w:val="2"/>
          </w:tcPr>
          <w:p w:rsidR="006941AC" w:rsidRPr="006941AC" w:rsidRDefault="006941AC" w:rsidP="00DD679B">
            <w:pPr>
              <w:jc w:val="center"/>
              <w:rPr>
                <w:rFonts w:ascii="宋体" w:eastAsia="宋体" w:hAnsi="宋体" w:hint="eastAsia"/>
              </w:rPr>
            </w:pPr>
            <w:r w:rsidRPr="00707903">
              <w:rPr>
                <w:rFonts w:ascii="宋体" w:eastAsia="宋体" w:hAnsi="宋体" w:hint="eastAsia"/>
              </w:rPr>
              <w:t>图</w:t>
            </w:r>
            <w:r w:rsidR="00DD679B">
              <w:rPr>
                <w:rFonts w:ascii="宋体" w:eastAsia="宋体" w:hAnsi="宋体"/>
              </w:rPr>
              <w:t>6</w:t>
            </w:r>
            <w:r w:rsidRPr="00707903">
              <w:rPr>
                <w:rFonts w:ascii="宋体" w:eastAsia="宋体" w:hAnsi="宋体" w:hint="eastAsia"/>
              </w:rPr>
              <w:t>：豆棕价差/豆油价格</w:t>
            </w:r>
          </w:p>
        </w:tc>
      </w:tr>
      <w:tr w:rsidR="006941AC" w:rsidTr="000C4191">
        <w:trPr>
          <w:trHeight w:val="3160"/>
          <w:jc w:val="center"/>
        </w:trPr>
        <w:tc>
          <w:tcPr>
            <w:tcW w:w="4237" w:type="dxa"/>
            <w:gridSpan w:val="2"/>
            <w:tcBorders>
              <w:top w:val="single" w:sz="4" w:space="0" w:color="010281"/>
              <w:bottom w:val="single" w:sz="4" w:space="0" w:color="auto"/>
            </w:tcBorders>
          </w:tcPr>
          <w:p w:rsidR="006941AC" w:rsidRPr="0086464D" w:rsidRDefault="00BD7BFA" w:rsidP="006941AC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8947FD" wp14:editId="2ED5807C">
                  <wp:extent cx="2553335" cy="1839432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950" cy="184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single" w:sz="4" w:space="0" w:color="010281"/>
              <w:bottom w:val="single" w:sz="4" w:space="0" w:color="auto"/>
            </w:tcBorders>
          </w:tcPr>
          <w:p w:rsidR="006941AC" w:rsidRPr="00C82EDA" w:rsidRDefault="000C4191" w:rsidP="00BD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3C7B19" wp14:editId="6DDF9295">
                  <wp:extent cx="2573655" cy="180753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322" cy="180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871" w:rsidRDefault="000C4191" w:rsidP="00DD679B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lastRenderedPageBreak/>
        <w:t>从统计看，自200</w:t>
      </w:r>
      <w:r>
        <w:rPr>
          <w:rFonts w:ascii="宋体" w:eastAsia="宋体" w:hAnsi="宋体"/>
          <w:sz w:val="24"/>
          <w:szCs w:val="24"/>
        </w:rPr>
        <w:t>9</w:t>
      </w:r>
      <w:r w:rsidRPr="00727FA4">
        <w:rPr>
          <w:rFonts w:ascii="宋体" w:eastAsia="宋体" w:hAnsi="宋体" w:hint="eastAsia"/>
          <w:sz w:val="24"/>
          <w:szCs w:val="24"/>
        </w:rPr>
        <w:t>年豆油</w:t>
      </w:r>
      <w:r>
        <w:rPr>
          <w:rFonts w:ascii="宋体" w:eastAsia="宋体" w:hAnsi="宋体" w:hint="eastAsia"/>
          <w:sz w:val="24"/>
          <w:szCs w:val="24"/>
        </w:rPr>
        <w:t>-</w:t>
      </w:r>
      <w:r w:rsidRPr="00727FA4">
        <w:rPr>
          <w:rFonts w:ascii="宋体" w:eastAsia="宋体" w:hAnsi="宋体" w:hint="eastAsia"/>
          <w:sz w:val="24"/>
          <w:szCs w:val="24"/>
        </w:rPr>
        <w:t>棕榈油</w:t>
      </w:r>
      <w:r>
        <w:rPr>
          <w:rFonts w:ascii="宋体" w:eastAsia="宋体" w:hAnsi="宋体" w:hint="eastAsia"/>
          <w:sz w:val="24"/>
          <w:szCs w:val="24"/>
        </w:rPr>
        <w:t>1</w:t>
      </w:r>
      <w:r w:rsidRPr="00727FA4">
        <w:rPr>
          <w:rFonts w:ascii="宋体" w:eastAsia="宋体" w:hAnsi="宋体" w:hint="eastAsia"/>
          <w:sz w:val="24"/>
          <w:szCs w:val="24"/>
        </w:rPr>
        <w:t>月合约价差</w:t>
      </w:r>
      <w:r>
        <w:rPr>
          <w:rFonts w:ascii="宋体" w:eastAsia="宋体" w:hAnsi="宋体" w:hint="eastAsia"/>
          <w:sz w:val="24"/>
          <w:szCs w:val="24"/>
        </w:rPr>
        <w:t>/豆油</w:t>
      </w:r>
      <w:r>
        <w:rPr>
          <w:rFonts w:ascii="宋体" w:eastAsia="宋体" w:hAnsi="宋体"/>
          <w:sz w:val="24"/>
          <w:szCs w:val="24"/>
        </w:rPr>
        <w:t>价格的比值均值为</w:t>
      </w:r>
      <w:r>
        <w:rPr>
          <w:rFonts w:ascii="宋体" w:eastAsia="宋体" w:hAnsi="宋体" w:hint="eastAsia"/>
          <w:sz w:val="24"/>
          <w:szCs w:val="24"/>
        </w:rPr>
        <w:t>0.1</w:t>
      </w:r>
      <w:r w:rsidR="00CF148A">
        <w:rPr>
          <w:rFonts w:ascii="宋体" w:eastAsia="宋体" w:hAnsi="宋体"/>
          <w:sz w:val="24"/>
          <w:szCs w:val="24"/>
        </w:rPr>
        <w:t>5</w:t>
      </w:r>
      <w:r w:rsidRPr="00727FA4">
        <w:rPr>
          <w:rFonts w:ascii="宋体" w:eastAsia="宋体" w:hAnsi="宋体" w:hint="eastAsia"/>
          <w:sz w:val="24"/>
          <w:szCs w:val="24"/>
        </w:rPr>
        <w:t>，主要分布在</w:t>
      </w:r>
      <w:r>
        <w:rPr>
          <w:rFonts w:ascii="宋体" w:eastAsia="宋体" w:hAnsi="宋体"/>
          <w:sz w:val="24"/>
          <w:szCs w:val="24"/>
        </w:rPr>
        <w:t>0.08-0.24</w:t>
      </w:r>
      <w:r>
        <w:rPr>
          <w:rFonts w:ascii="宋体" w:eastAsia="宋体" w:hAnsi="宋体" w:hint="eastAsia"/>
          <w:sz w:val="24"/>
          <w:szCs w:val="24"/>
        </w:rPr>
        <w:t>的区间</w:t>
      </w:r>
      <w:r w:rsidRPr="00727FA4">
        <w:rPr>
          <w:rFonts w:ascii="宋体" w:eastAsia="宋体" w:hAnsi="宋体" w:hint="eastAsia"/>
          <w:sz w:val="24"/>
          <w:szCs w:val="24"/>
        </w:rPr>
        <w:t>，约占</w:t>
      </w:r>
      <w:r>
        <w:rPr>
          <w:rFonts w:ascii="宋体" w:eastAsia="宋体" w:hAnsi="宋体"/>
          <w:sz w:val="24"/>
          <w:szCs w:val="24"/>
        </w:rPr>
        <w:t>1654</w:t>
      </w:r>
      <w:r w:rsidRPr="00727FA4">
        <w:rPr>
          <w:rFonts w:ascii="宋体" w:eastAsia="宋体" w:hAnsi="宋体" w:hint="eastAsia"/>
          <w:sz w:val="24"/>
          <w:szCs w:val="24"/>
        </w:rPr>
        <w:t>个样本的</w:t>
      </w:r>
      <w:r>
        <w:rPr>
          <w:rFonts w:ascii="宋体" w:eastAsia="宋体" w:hAnsi="宋体"/>
          <w:sz w:val="24"/>
          <w:szCs w:val="24"/>
        </w:rPr>
        <w:t>91.29</w:t>
      </w:r>
      <w:r w:rsidRPr="00727FA4">
        <w:rPr>
          <w:rFonts w:ascii="宋体" w:eastAsia="宋体" w:hAnsi="宋体" w:hint="eastAsia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；二者</w:t>
      </w:r>
      <w:r>
        <w:rPr>
          <w:rFonts w:ascii="宋体" w:eastAsia="宋体" w:hAnsi="宋体"/>
          <w:sz w:val="24"/>
          <w:szCs w:val="24"/>
        </w:rPr>
        <w:t>价差</w:t>
      </w:r>
      <w:r>
        <w:rPr>
          <w:rFonts w:ascii="宋体" w:eastAsia="宋体" w:hAnsi="宋体" w:hint="eastAsia"/>
          <w:sz w:val="24"/>
          <w:szCs w:val="24"/>
        </w:rPr>
        <w:t>/豆油</w:t>
      </w:r>
      <w:r>
        <w:rPr>
          <w:rFonts w:ascii="宋体" w:eastAsia="宋体" w:hAnsi="宋体"/>
          <w:sz w:val="24"/>
          <w:szCs w:val="24"/>
        </w:rPr>
        <w:t>价格比值小于</w:t>
      </w:r>
      <w:r>
        <w:rPr>
          <w:rFonts w:ascii="宋体" w:eastAsia="宋体" w:hAnsi="宋体" w:hint="eastAsia"/>
          <w:sz w:val="24"/>
          <w:szCs w:val="24"/>
        </w:rPr>
        <w:t>0.2的</w:t>
      </w:r>
      <w:r>
        <w:rPr>
          <w:rFonts w:ascii="宋体" w:eastAsia="宋体" w:hAnsi="宋体"/>
          <w:sz w:val="24"/>
          <w:szCs w:val="24"/>
        </w:rPr>
        <w:t>概率</w:t>
      </w:r>
      <w:r>
        <w:rPr>
          <w:rFonts w:ascii="宋体" w:eastAsia="宋体" w:hAnsi="宋体" w:hint="eastAsia"/>
          <w:sz w:val="24"/>
          <w:szCs w:val="24"/>
        </w:rPr>
        <w:t>为87.79</w:t>
      </w:r>
      <w:r>
        <w:rPr>
          <w:rFonts w:ascii="宋体" w:eastAsia="宋体" w:hAnsi="宋体"/>
          <w:sz w:val="24"/>
          <w:szCs w:val="24"/>
        </w:rPr>
        <w:t>%。</w:t>
      </w:r>
      <w:r w:rsidR="00CF148A">
        <w:rPr>
          <w:rFonts w:ascii="宋体" w:eastAsia="宋体" w:hAnsi="宋体" w:hint="eastAsia"/>
          <w:sz w:val="24"/>
          <w:szCs w:val="24"/>
        </w:rPr>
        <w:t>因此</w:t>
      </w:r>
      <w:r w:rsidR="00CF148A">
        <w:rPr>
          <w:rFonts w:ascii="宋体" w:eastAsia="宋体" w:hAnsi="宋体"/>
          <w:sz w:val="24"/>
          <w:szCs w:val="24"/>
        </w:rPr>
        <w:t>，在目前二者</w:t>
      </w:r>
      <w:r w:rsidR="00CF148A">
        <w:rPr>
          <w:rFonts w:ascii="宋体" w:eastAsia="宋体" w:hAnsi="宋体" w:hint="eastAsia"/>
          <w:sz w:val="24"/>
          <w:szCs w:val="24"/>
        </w:rPr>
        <w:t>价差/豆油</w:t>
      </w:r>
      <w:r w:rsidR="00CF148A">
        <w:rPr>
          <w:rFonts w:ascii="宋体" w:eastAsia="宋体" w:hAnsi="宋体"/>
          <w:sz w:val="24"/>
          <w:szCs w:val="24"/>
        </w:rPr>
        <w:t>价格比值大于</w:t>
      </w:r>
      <w:r w:rsidR="00CF148A">
        <w:rPr>
          <w:rFonts w:ascii="宋体" w:eastAsia="宋体" w:hAnsi="宋体" w:hint="eastAsia"/>
          <w:sz w:val="24"/>
          <w:szCs w:val="24"/>
        </w:rPr>
        <w:t>0.2的</w:t>
      </w:r>
      <w:r w:rsidR="00CF148A">
        <w:rPr>
          <w:rFonts w:ascii="宋体" w:eastAsia="宋体" w:hAnsi="宋体"/>
          <w:sz w:val="24"/>
          <w:szCs w:val="24"/>
        </w:rPr>
        <w:t>时候，后期比值缩小的概率较大。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56"/>
        <w:gridCol w:w="1275"/>
        <w:gridCol w:w="1134"/>
        <w:gridCol w:w="236"/>
        <w:gridCol w:w="2032"/>
        <w:gridCol w:w="1514"/>
      </w:tblGrid>
      <w:tr w:rsidR="00CF148A" w:rsidTr="00990C1F">
        <w:trPr>
          <w:trHeight w:val="614"/>
          <w:jc w:val="center"/>
        </w:trPr>
        <w:tc>
          <w:tcPr>
            <w:tcW w:w="8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8A" w:rsidRDefault="00CF148A" w:rsidP="00CF148A">
            <w:pPr>
              <w:spacing w:beforeLines="50" w:before="156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豆棕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价差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/豆油</w:t>
            </w:r>
            <w:r>
              <w:rPr>
                <w:rFonts w:ascii="宋体" w:eastAsia="宋体" w:hAnsi="宋体"/>
                <w:sz w:val="24"/>
                <w:szCs w:val="24"/>
              </w:rPr>
              <w:t>价格比值</w:t>
            </w:r>
            <w:r>
              <w:rPr>
                <w:rFonts w:ascii="宋体" w:eastAsia="宋体" w:hAnsi="宋体"/>
                <w:sz w:val="24"/>
                <w:szCs w:val="24"/>
              </w:rPr>
              <w:t>统计表</w:t>
            </w:r>
          </w:p>
        </w:tc>
      </w:tr>
      <w:tr w:rsidR="00DD679B" w:rsidTr="00BE7548">
        <w:trPr>
          <w:trHeight w:val="389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D679B" w:rsidRPr="00DD679B" w:rsidRDefault="00DD679B" w:rsidP="00EC276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比值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DD679B" w:rsidRPr="00DD679B" w:rsidRDefault="00DD679B" w:rsidP="00EC276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频率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D679B" w:rsidRPr="00DD679B" w:rsidRDefault="00DD679B" w:rsidP="00EC276B">
            <w:pPr>
              <w:widowControl/>
              <w:jc w:val="center"/>
              <w:rPr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百分比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79B" w:rsidRPr="00DD679B" w:rsidRDefault="00DD679B" w:rsidP="00EC276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累计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EC276B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679B" w:rsidRDefault="00BE7548" w:rsidP="00EC276B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 w:rsidRPr="00BE7548">
              <w:rPr>
                <w:rFonts w:hint="eastAsia"/>
                <w:color w:val="000000"/>
                <w:sz w:val="22"/>
              </w:rPr>
              <w:t>豆棕价差</w:t>
            </w:r>
            <w:r w:rsidRPr="00BE7548">
              <w:rPr>
                <w:rFonts w:hint="eastAsia"/>
                <w:color w:val="000000"/>
                <w:sz w:val="22"/>
              </w:rPr>
              <w:t>/</w:t>
            </w:r>
            <w:r w:rsidRPr="00BE7548">
              <w:rPr>
                <w:rFonts w:hint="eastAsia"/>
                <w:color w:val="000000"/>
                <w:sz w:val="22"/>
              </w:rPr>
              <w:t>豆油价格比值</w:t>
            </w:r>
            <w:r w:rsidR="00DD679B">
              <w:rPr>
                <w:color w:val="000000"/>
                <w:sz w:val="22"/>
              </w:rPr>
              <w:t>描述统计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(0,0.04)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34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2.06%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2.06%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平均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0.147475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标准误差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0.001175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(0.04,0.08)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31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1.87%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3.93%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中位数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0.139511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众数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0.123977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(0.08,0.12)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430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26.00%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29.93%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标准差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0.047785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方差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0.002283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(0.12,0.16)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604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36.52%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66.44%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峰度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1.024039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偏度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0.535045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(0.16,0.2)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353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21.34%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87.79%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区域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0.303573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最小值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0.005778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(0.2,0.24)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123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7.44%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95.22%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最大值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0.309351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求和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243.9243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(0.24,0.28)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54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3.26%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98.49%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观测数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1654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56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最大</w:t>
            </w:r>
            <w:r>
              <w:rPr>
                <w:rFonts w:hint="eastAsia"/>
                <w:color w:val="000000"/>
                <w:sz w:val="22"/>
              </w:rPr>
              <w:t>(1)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0.309351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 w:val="restart"/>
            <w:vAlign w:val="center"/>
          </w:tcPr>
          <w:p w:rsidR="00DD679B" w:rsidRPr="00DD679B" w:rsidRDefault="00DD679B" w:rsidP="00DD679B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(0.28,0.32)</w:t>
            </w:r>
          </w:p>
        </w:tc>
        <w:tc>
          <w:tcPr>
            <w:tcW w:w="756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color w:val="000000"/>
                <w:sz w:val="24"/>
              </w:rPr>
              <w:t>1.51%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D679B" w:rsidRPr="00DD679B" w:rsidRDefault="00DD679B" w:rsidP="00DD679B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D679B">
              <w:rPr>
                <w:rFonts w:hint="eastAsia"/>
                <w:color w:val="000000"/>
                <w:sz w:val="24"/>
              </w:rPr>
              <w:t>100.00%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最小</w:t>
            </w:r>
            <w:r>
              <w:rPr>
                <w:rFonts w:hint="eastAsia"/>
                <w:color w:val="000000"/>
                <w:sz w:val="22"/>
              </w:rPr>
              <w:t>(1)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0.005778</w:t>
            </w:r>
          </w:p>
        </w:tc>
      </w:tr>
      <w:tr w:rsidR="00DD679B" w:rsidTr="00BE7548">
        <w:trPr>
          <w:jc w:val="center"/>
        </w:trPr>
        <w:tc>
          <w:tcPr>
            <w:tcW w:w="1384" w:type="dxa"/>
            <w:vMerge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756" w:type="dxa"/>
            <w:vMerge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置信度</w:t>
            </w:r>
            <w:r>
              <w:rPr>
                <w:rFonts w:hint="eastAsia"/>
                <w:color w:val="000000"/>
                <w:sz w:val="22"/>
              </w:rPr>
              <w:t>(95.0%)</w:t>
            </w:r>
          </w:p>
        </w:tc>
        <w:tc>
          <w:tcPr>
            <w:tcW w:w="1514" w:type="dxa"/>
            <w:vAlign w:val="bottom"/>
          </w:tcPr>
          <w:p w:rsidR="00DD679B" w:rsidRDefault="00DD679B" w:rsidP="00DD679B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0.002305</w:t>
            </w:r>
          </w:p>
        </w:tc>
      </w:tr>
    </w:tbl>
    <w:p w:rsidR="00633EE3" w:rsidRPr="00707903" w:rsidRDefault="00633EE3" w:rsidP="00DD679B">
      <w:pPr>
        <w:spacing w:beforeLines="50" w:before="156" w:afterLines="50" w:after="156"/>
        <w:ind w:firstLine="420"/>
        <w:jc w:val="center"/>
        <w:rPr>
          <w:rFonts w:ascii="宋体" w:eastAsia="宋体" w:hAnsi="宋体" w:hint="eastAsia"/>
        </w:rPr>
      </w:pPr>
      <w:r w:rsidRPr="00707903">
        <w:rPr>
          <w:rFonts w:ascii="宋体" w:eastAsia="宋体" w:hAnsi="宋体" w:hint="eastAsia"/>
        </w:rPr>
        <w:t>图</w:t>
      </w:r>
      <w:r w:rsidR="00DD679B">
        <w:rPr>
          <w:rFonts w:ascii="宋体" w:eastAsia="宋体" w:hAnsi="宋体"/>
        </w:rPr>
        <w:t>7</w:t>
      </w:r>
      <w:r w:rsidRPr="00707903">
        <w:rPr>
          <w:rFonts w:ascii="宋体" w:eastAsia="宋体" w:hAnsi="宋体" w:hint="eastAsia"/>
        </w:rPr>
        <w:t>：豆棕价差/豆油价格</w:t>
      </w:r>
      <w:r w:rsidR="00DD679B">
        <w:rPr>
          <w:rFonts w:ascii="宋体" w:eastAsia="宋体" w:hAnsi="宋体" w:hint="eastAsia"/>
        </w:rPr>
        <w:t>比值</w:t>
      </w:r>
      <w:r w:rsidR="00DD679B">
        <w:rPr>
          <w:rFonts w:ascii="宋体" w:eastAsia="宋体" w:hAnsi="宋体"/>
        </w:rPr>
        <w:t>频率图</w:t>
      </w:r>
    </w:p>
    <w:p w:rsidR="00000871" w:rsidRPr="00707903" w:rsidRDefault="00DD679B" w:rsidP="00633EE3">
      <w:pPr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0D4A43FE" wp14:editId="4540CA33">
            <wp:extent cx="5271937" cy="2806996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5672" cy="283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9B" w:rsidRDefault="00000871" w:rsidP="00DD679B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lastRenderedPageBreak/>
        <w:t>从豆棕价差</w:t>
      </w:r>
      <w:r w:rsidR="00DD679B">
        <w:rPr>
          <w:rFonts w:ascii="宋体" w:eastAsia="宋体" w:hAnsi="宋体" w:hint="eastAsia"/>
          <w:sz w:val="24"/>
          <w:szCs w:val="24"/>
        </w:rPr>
        <w:t>以及豆棕</w:t>
      </w:r>
      <w:r w:rsidRPr="00727FA4">
        <w:rPr>
          <w:rFonts w:ascii="宋体" w:eastAsia="宋体" w:hAnsi="宋体" w:hint="eastAsia"/>
          <w:sz w:val="24"/>
          <w:szCs w:val="24"/>
        </w:rPr>
        <w:t>价差与</w:t>
      </w:r>
      <w:r w:rsidR="00DD679B">
        <w:rPr>
          <w:rFonts w:ascii="宋体" w:eastAsia="宋体" w:hAnsi="宋体" w:hint="eastAsia"/>
          <w:sz w:val="24"/>
          <w:szCs w:val="24"/>
        </w:rPr>
        <w:t>豆油</w:t>
      </w:r>
      <w:r w:rsidRPr="00727FA4">
        <w:rPr>
          <w:rFonts w:ascii="宋体" w:eastAsia="宋体" w:hAnsi="宋体" w:hint="eastAsia"/>
          <w:sz w:val="24"/>
          <w:szCs w:val="24"/>
        </w:rPr>
        <w:t>价格的比值</w:t>
      </w:r>
      <w:r w:rsidR="00DD679B">
        <w:rPr>
          <w:rFonts w:ascii="宋体" w:eastAsia="宋体" w:hAnsi="宋体" w:hint="eastAsia"/>
          <w:sz w:val="24"/>
          <w:szCs w:val="24"/>
        </w:rPr>
        <w:t>来</w:t>
      </w:r>
      <w:r w:rsidRPr="00727FA4">
        <w:rPr>
          <w:rFonts w:ascii="宋体" w:eastAsia="宋体" w:hAnsi="宋体" w:hint="eastAsia"/>
          <w:sz w:val="24"/>
          <w:szCs w:val="24"/>
        </w:rPr>
        <w:t>看，国内豆棕价差超过2000、比值达到</w:t>
      </w:r>
      <w:r w:rsidR="00DD679B">
        <w:rPr>
          <w:rFonts w:ascii="宋体" w:eastAsia="宋体" w:hAnsi="宋体"/>
          <w:sz w:val="24"/>
          <w:szCs w:val="24"/>
        </w:rPr>
        <w:t>0.3</w:t>
      </w:r>
      <w:r w:rsidRPr="00727FA4">
        <w:rPr>
          <w:rFonts w:ascii="宋体" w:eastAsia="宋体" w:hAnsi="宋体" w:hint="eastAsia"/>
          <w:sz w:val="24"/>
          <w:szCs w:val="24"/>
        </w:rPr>
        <w:t>的时期有两个，分别是200</w:t>
      </w:r>
      <w:r w:rsidR="00DD679B">
        <w:rPr>
          <w:rFonts w:ascii="宋体" w:eastAsia="宋体" w:hAnsi="宋体"/>
          <w:sz w:val="24"/>
          <w:szCs w:val="24"/>
        </w:rPr>
        <w:t>9</w:t>
      </w:r>
      <w:r w:rsidRPr="00727FA4">
        <w:rPr>
          <w:rFonts w:ascii="宋体" w:eastAsia="宋体" w:hAnsi="宋体" w:hint="eastAsia"/>
          <w:sz w:val="24"/>
          <w:szCs w:val="24"/>
        </w:rPr>
        <w:t>年</w:t>
      </w:r>
      <w:r w:rsidR="00DD679B">
        <w:rPr>
          <w:rFonts w:ascii="宋体" w:eastAsia="宋体" w:hAnsi="宋体" w:hint="eastAsia"/>
          <w:sz w:val="24"/>
          <w:szCs w:val="24"/>
        </w:rPr>
        <w:t>初</w:t>
      </w:r>
      <w:r w:rsidRPr="00727FA4">
        <w:rPr>
          <w:rFonts w:ascii="宋体" w:eastAsia="宋体" w:hAnsi="宋体" w:hint="eastAsia"/>
          <w:sz w:val="24"/>
          <w:szCs w:val="24"/>
        </w:rPr>
        <w:t>和2013年初。考察当时的宏观经济和基本面情况，我们发现，2008年的金融危机导致全球需求停滞，商品价格大幅走低，由于我国棕榈油完全依赖进口，在需求减弱的情况下，外盘棕榈油价格暴跌，比豆油跌幅要大，因此导致二者价差达到2000元/吨以上；2013年，由于美豆大幅减产，导致供应减少，而棕榈油的产量则维持高位，使得豆油的价格大幅上涨，豆棕价差一度超过2500，豆棕价差与豆油价格的比值也达到</w:t>
      </w:r>
      <w:r w:rsidR="00DD679B">
        <w:rPr>
          <w:rFonts w:ascii="宋体" w:eastAsia="宋体" w:hAnsi="宋体"/>
          <w:sz w:val="24"/>
          <w:szCs w:val="24"/>
        </w:rPr>
        <w:t>0.3</w:t>
      </w:r>
      <w:r w:rsidRPr="00727FA4">
        <w:rPr>
          <w:rFonts w:ascii="宋体" w:eastAsia="宋体" w:hAnsi="宋体" w:hint="eastAsia"/>
          <w:sz w:val="24"/>
          <w:szCs w:val="24"/>
        </w:rPr>
        <w:t>以上的水平。两次价差拉大的情形有一定的差异：第一次是由于金融危机导致国内进口需求较弱，棕榈油价格跌幅更大导致；第二次，则是由于豆油的基本面利多，导致豆油价格走势远强于棕榈油。</w:t>
      </w:r>
    </w:p>
    <w:p w:rsidR="00000871" w:rsidRPr="00727FA4" w:rsidRDefault="00000871" w:rsidP="00DD679B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从目前棕榈油与豆油基本面都较弱的情况下，二者的价差</w:t>
      </w:r>
      <w:r w:rsidR="00CC6151" w:rsidRPr="00727FA4">
        <w:rPr>
          <w:rFonts w:ascii="宋体" w:eastAsia="宋体" w:hAnsi="宋体" w:hint="eastAsia"/>
          <w:sz w:val="24"/>
          <w:szCs w:val="24"/>
        </w:rPr>
        <w:t>再次拉大到2000以上的概率较小。</w:t>
      </w:r>
      <w:r w:rsidRPr="00727FA4">
        <w:rPr>
          <w:rFonts w:ascii="宋体" w:eastAsia="宋体" w:hAnsi="宋体" w:hint="eastAsia"/>
          <w:sz w:val="24"/>
          <w:szCs w:val="24"/>
        </w:rPr>
        <w:t>从豆油和棕榈油需求的情况来看，由于棕榈油属于饱和油脂，不易变质，因此在食品工业（如方便面、饼干等）的用途几乎无法被其他油脂替代，这部分的需求约占棕榈油需求的40%左右。棕榈油需求的另一块领域在食用植物油，主要以小包装的形式销售到终端消费者。由于棕榈油熔点较高，因此容易出现浑浊物</w:t>
      </w:r>
      <w:r w:rsidR="00DD679B">
        <w:rPr>
          <w:rFonts w:ascii="宋体" w:eastAsia="宋体" w:hAnsi="宋体" w:hint="eastAsia"/>
          <w:sz w:val="24"/>
          <w:szCs w:val="24"/>
        </w:rPr>
        <w:t>，因此</w:t>
      </w:r>
      <w:r w:rsidRPr="00727FA4">
        <w:rPr>
          <w:rFonts w:ascii="宋体" w:eastAsia="宋体" w:hAnsi="宋体" w:hint="eastAsia"/>
          <w:sz w:val="24"/>
          <w:szCs w:val="24"/>
        </w:rPr>
        <w:t>一般不会单独出售，而是与豆油、菜籽油等进行配比出售，而国内小包装的食用油企业属于寡头垄断，各油脂的配比相对较为固定，除非价格发生大幅度的变动，考虑到营养和外观等因素，一般不会轻易发生改变。</w:t>
      </w:r>
      <w:r w:rsidR="00CC6151" w:rsidRPr="00727FA4">
        <w:rPr>
          <w:rFonts w:ascii="宋体" w:eastAsia="宋体" w:hAnsi="宋体" w:hint="eastAsia"/>
          <w:sz w:val="24"/>
          <w:szCs w:val="24"/>
        </w:rPr>
        <w:t>而在需求配比不太可能发生大的改动情况下，豆油和棕榈油价格将会受供应的影响较大，导致二者价差出现缩小。</w:t>
      </w:r>
    </w:p>
    <w:p w:rsidR="00CC6151" w:rsidRPr="00BE7548" w:rsidRDefault="00CC6151" w:rsidP="00633EE3">
      <w:pPr>
        <w:spacing w:beforeLines="50" w:before="156" w:afterLines="50" w:after="156" w:line="360" w:lineRule="auto"/>
        <w:jc w:val="left"/>
        <w:rPr>
          <w:rFonts w:ascii="宋体" w:eastAsia="宋体" w:hAnsi="宋体"/>
          <w:b/>
          <w:sz w:val="28"/>
          <w:szCs w:val="24"/>
        </w:rPr>
      </w:pPr>
      <w:r w:rsidRPr="00BE7548">
        <w:rPr>
          <w:rFonts w:ascii="宋体" w:eastAsia="宋体" w:hAnsi="宋体" w:hint="eastAsia"/>
          <w:b/>
          <w:sz w:val="28"/>
          <w:szCs w:val="24"/>
        </w:rPr>
        <w:t>三、马币贬值会影响豆油和棕榈油的价差</w:t>
      </w:r>
      <w:r w:rsidR="00F10167" w:rsidRPr="00BE7548">
        <w:rPr>
          <w:rFonts w:ascii="宋体" w:eastAsia="宋体" w:hAnsi="宋体" w:hint="eastAsia"/>
          <w:b/>
          <w:sz w:val="28"/>
          <w:szCs w:val="24"/>
        </w:rPr>
        <w:t>缩小</w:t>
      </w:r>
    </w:p>
    <w:p w:rsidR="00CC6151" w:rsidRDefault="00CC6151" w:rsidP="00DD679B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在国际贸易中，豆油以美元计价，而棕榈油多以马来西亚货币令吉特计价。在这种情况下，美元和令吉</w:t>
      </w:r>
      <w:r w:rsidR="009A748B">
        <w:rPr>
          <w:rFonts w:ascii="宋体" w:eastAsia="宋体" w:hAnsi="宋体" w:hint="eastAsia"/>
          <w:sz w:val="24"/>
          <w:szCs w:val="24"/>
        </w:rPr>
        <w:t>特</w:t>
      </w:r>
      <w:r w:rsidRPr="00727FA4">
        <w:rPr>
          <w:rFonts w:ascii="宋体" w:eastAsia="宋体" w:hAnsi="宋体" w:hint="eastAsia"/>
          <w:sz w:val="24"/>
          <w:szCs w:val="24"/>
        </w:rPr>
        <w:t>汇率走势将对豆油和棕榈油的</w:t>
      </w:r>
      <w:r w:rsidR="00F10167" w:rsidRPr="00727FA4">
        <w:rPr>
          <w:rFonts w:ascii="宋体" w:eastAsia="宋体" w:hAnsi="宋体" w:hint="eastAsia"/>
          <w:sz w:val="24"/>
          <w:szCs w:val="24"/>
        </w:rPr>
        <w:t>价</w:t>
      </w:r>
      <w:r w:rsidRPr="00727FA4">
        <w:rPr>
          <w:rFonts w:ascii="宋体" w:eastAsia="宋体" w:hAnsi="宋体" w:hint="eastAsia"/>
          <w:sz w:val="24"/>
          <w:szCs w:val="24"/>
        </w:rPr>
        <w:t>差产生很大的影响。</w:t>
      </w:r>
    </w:p>
    <w:p w:rsidR="00DD679B" w:rsidRPr="00DD679B" w:rsidRDefault="00DD679B" w:rsidP="00DD679B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如图7所示，</w:t>
      </w:r>
      <w:r>
        <w:rPr>
          <w:rFonts w:ascii="宋体" w:eastAsia="宋体" w:hAnsi="宋体" w:hint="eastAsia"/>
          <w:sz w:val="24"/>
          <w:szCs w:val="24"/>
        </w:rPr>
        <w:t>近期</w:t>
      </w:r>
      <w:r w:rsidRPr="00727FA4">
        <w:rPr>
          <w:rFonts w:ascii="宋体" w:eastAsia="宋体" w:hAnsi="宋体" w:hint="eastAsia"/>
          <w:sz w:val="24"/>
          <w:szCs w:val="24"/>
        </w:rPr>
        <w:t>马币相对与美元汇率出现了大幅贬值，马币的贬值导致棕榈油的进口成本大幅降低，豆油和棕榈油的比价发生了改变，使得国内豆油和棕榈油的价差出现扩大。若马币贬值的趋势继续下去，可能仍不利于豆油和棕榈油价差的缩小</w:t>
      </w:r>
      <w:r>
        <w:rPr>
          <w:rFonts w:ascii="宋体" w:eastAsia="宋体" w:hAnsi="宋体" w:hint="eastAsia"/>
          <w:sz w:val="24"/>
          <w:szCs w:val="24"/>
        </w:rPr>
        <w:t>。</w:t>
      </w:r>
      <w:r w:rsidRPr="00727FA4">
        <w:rPr>
          <w:rFonts w:ascii="宋体" w:eastAsia="宋体" w:hAnsi="宋体" w:hint="eastAsia"/>
          <w:sz w:val="24"/>
          <w:szCs w:val="24"/>
        </w:rPr>
        <w:t>因此，我们在做</w:t>
      </w:r>
      <w:r>
        <w:rPr>
          <w:rFonts w:ascii="宋体" w:eastAsia="宋体" w:hAnsi="宋体" w:hint="eastAsia"/>
          <w:sz w:val="24"/>
          <w:szCs w:val="24"/>
        </w:rPr>
        <w:t>空</w:t>
      </w:r>
      <w:r w:rsidRPr="00727FA4">
        <w:rPr>
          <w:rFonts w:ascii="宋体" w:eastAsia="宋体" w:hAnsi="宋体" w:hint="eastAsia"/>
          <w:sz w:val="24"/>
          <w:szCs w:val="24"/>
        </w:rPr>
        <w:t>豆油和棕榈油价差的过程中要特别关注</w:t>
      </w:r>
      <w:r w:rsidR="00BE7548">
        <w:rPr>
          <w:rFonts w:ascii="宋体" w:eastAsia="宋体" w:hAnsi="宋体" w:hint="eastAsia"/>
          <w:sz w:val="24"/>
          <w:szCs w:val="24"/>
        </w:rPr>
        <w:t>美元</w:t>
      </w:r>
      <w:r w:rsidRPr="00727FA4">
        <w:rPr>
          <w:rFonts w:ascii="宋体" w:eastAsia="宋体" w:hAnsi="宋体" w:hint="eastAsia"/>
          <w:sz w:val="24"/>
          <w:szCs w:val="24"/>
        </w:rPr>
        <w:t>对马币的走势。</w:t>
      </w:r>
    </w:p>
    <w:p w:rsidR="00633EE3" w:rsidRPr="00707903" w:rsidRDefault="00633EE3" w:rsidP="00BE7548">
      <w:pPr>
        <w:spacing w:beforeLines="50" w:before="156" w:afterLines="50" w:after="156"/>
        <w:jc w:val="center"/>
        <w:rPr>
          <w:rFonts w:ascii="宋体" w:eastAsia="宋体" w:hAnsi="宋体"/>
        </w:rPr>
      </w:pPr>
      <w:r w:rsidRPr="00707903">
        <w:rPr>
          <w:rFonts w:ascii="宋体" w:eastAsia="宋体" w:hAnsi="宋体" w:hint="eastAsia"/>
        </w:rPr>
        <w:lastRenderedPageBreak/>
        <w:t>图</w:t>
      </w:r>
      <w:r w:rsidR="00DD679B">
        <w:rPr>
          <w:rFonts w:ascii="宋体" w:eastAsia="宋体" w:hAnsi="宋体"/>
        </w:rPr>
        <w:t>8</w:t>
      </w:r>
      <w:r w:rsidRPr="00707903">
        <w:rPr>
          <w:rFonts w:ascii="宋体" w:eastAsia="宋体" w:hAnsi="宋体" w:hint="eastAsia"/>
        </w:rPr>
        <w:t>：美元马币走势</w:t>
      </w:r>
    </w:p>
    <w:p w:rsidR="00633EE3" w:rsidRPr="00727FA4" w:rsidRDefault="00633EE3" w:rsidP="009A748B">
      <w:pPr>
        <w:rPr>
          <w:rFonts w:ascii="宋体" w:eastAsia="宋体" w:hAnsi="宋体"/>
          <w:sz w:val="24"/>
          <w:szCs w:val="24"/>
        </w:rPr>
      </w:pPr>
      <w:r w:rsidRPr="00633EE3">
        <w:rPr>
          <w:rFonts w:ascii="宋体" w:eastAsia="宋体" w:hAnsi="宋体"/>
          <w:noProof/>
        </w:rPr>
        <w:drawing>
          <wp:inline distT="0" distB="0" distL="0" distR="0">
            <wp:extent cx="5274310" cy="3067050"/>
            <wp:effectExtent l="19050" t="0" r="2540" b="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71" w:rsidRPr="00BE7548" w:rsidRDefault="00F10167" w:rsidP="00633EE3">
      <w:pPr>
        <w:spacing w:beforeLines="50" w:before="156" w:afterLines="50" w:after="156" w:line="360" w:lineRule="auto"/>
        <w:jc w:val="left"/>
        <w:rPr>
          <w:rFonts w:ascii="宋体" w:eastAsia="宋体" w:hAnsi="宋体"/>
          <w:b/>
          <w:sz w:val="28"/>
          <w:szCs w:val="24"/>
        </w:rPr>
      </w:pPr>
      <w:r w:rsidRPr="00BE7548">
        <w:rPr>
          <w:rFonts w:ascii="宋体" w:eastAsia="宋体" w:hAnsi="宋体" w:hint="eastAsia"/>
          <w:b/>
          <w:sz w:val="28"/>
          <w:szCs w:val="24"/>
        </w:rPr>
        <w:t>四</w:t>
      </w:r>
      <w:r w:rsidR="00000871" w:rsidRPr="00BE7548">
        <w:rPr>
          <w:rFonts w:ascii="宋体" w:eastAsia="宋体" w:hAnsi="宋体" w:hint="eastAsia"/>
          <w:b/>
          <w:sz w:val="28"/>
          <w:szCs w:val="24"/>
        </w:rPr>
        <w:t>、操作策略</w:t>
      </w:r>
    </w:p>
    <w:p w:rsidR="00F10167" w:rsidRDefault="00F10167" w:rsidP="00BE7548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综合来看，</w:t>
      </w:r>
      <w:r w:rsidR="00BE7548">
        <w:rPr>
          <w:rFonts w:ascii="宋体" w:eastAsia="宋体" w:hAnsi="宋体" w:hint="eastAsia"/>
          <w:sz w:val="24"/>
          <w:szCs w:val="24"/>
        </w:rPr>
        <w:t>我们认为</w:t>
      </w:r>
      <w:r w:rsidRPr="00727FA4">
        <w:rPr>
          <w:rFonts w:ascii="宋体" w:eastAsia="宋体" w:hAnsi="宋体" w:hint="eastAsia"/>
          <w:sz w:val="24"/>
          <w:szCs w:val="24"/>
        </w:rPr>
        <w:t>，</w:t>
      </w:r>
      <w:r w:rsidRPr="009262A1">
        <w:rPr>
          <w:rFonts w:ascii="宋体" w:eastAsia="宋体" w:hAnsi="宋体" w:hint="eastAsia"/>
          <w:sz w:val="24"/>
          <w:szCs w:val="24"/>
        </w:rPr>
        <w:t>由于种植面积的大幅增加以及较好的气候条件，美国大豆产量可能会出现超预期的增幅，这会导致大豆和豆油的趋势性下跌行情</w:t>
      </w:r>
      <w:r w:rsidR="00BE7548">
        <w:rPr>
          <w:rFonts w:ascii="宋体" w:eastAsia="宋体" w:hAnsi="宋体" w:hint="eastAsia"/>
          <w:sz w:val="24"/>
          <w:szCs w:val="24"/>
        </w:rPr>
        <w:t>；</w:t>
      </w:r>
      <w:r w:rsidRPr="009262A1">
        <w:rPr>
          <w:rFonts w:ascii="宋体" w:eastAsia="宋体" w:hAnsi="宋体" w:hint="eastAsia"/>
          <w:sz w:val="24"/>
          <w:szCs w:val="24"/>
        </w:rPr>
        <w:t>而棕榈油的供给</w:t>
      </w:r>
      <w:r>
        <w:rPr>
          <w:rFonts w:ascii="宋体" w:eastAsia="宋体" w:hAnsi="宋体" w:hint="eastAsia"/>
          <w:sz w:val="24"/>
          <w:szCs w:val="24"/>
        </w:rPr>
        <w:t>逐步减少</w:t>
      </w:r>
      <w:r w:rsidRPr="009262A1">
        <w:rPr>
          <w:rFonts w:ascii="宋体" w:eastAsia="宋体" w:hAnsi="宋体" w:hint="eastAsia"/>
          <w:sz w:val="24"/>
          <w:szCs w:val="24"/>
        </w:rPr>
        <w:t>，加之出口方面的刺激政策的影响，将会相对较强。</w:t>
      </w:r>
      <w:r w:rsidR="00BE7548">
        <w:rPr>
          <w:rFonts w:ascii="宋体" w:eastAsia="宋体" w:hAnsi="宋体" w:hint="eastAsia"/>
          <w:sz w:val="24"/>
          <w:szCs w:val="24"/>
        </w:rPr>
        <w:t>从而将</w:t>
      </w:r>
      <w:r w:rsidRPr="009262A1">
        <w:rPr>
          <w:rFonts w:ascii="宋体" w:eastAsia="宋体" w:hAnsi="宋体" w:hint="eastAsia"/>
          <w:sz w:val="24"/>
          <w:szCs w:val="24"/>
        </w:rPr>
        <w:t>使得豆油和棕榈油的价差大幅收窄</w:t>
      </w:r>
      <w:r w:rsidR="00BE7548">
        <w:rPr>
          <w:rFonts w:ascii="宋体" w:eastAsia="宋体" w:hAnsi="宋体" w:hint="eastAsia"/>
          <w:sz w:val="24"/>
          <w:szCs w:val="24"/>
        </w:rPr>
        <w:t>。</w:t>
      </w:r>
      <w:r w:rsidRPr="00510AA3">
        <w:rPr>
          <w:rFonts w:ascii="宋体" w:eastAsia="宋体" w:hAnsi="宋体" w:hint="eastAsia"/>
          <w:sz w:val="24"/>
          <w:szCs w:val="24"/>
        </w:rPr>
        <w:t>因此，</w:t>
      </w:r>
      <w:r w:rsidR="00BE7548">
        <w:rPr>
          <w:rFonts w:ascii="宋体" w:eastAsia="宋体" w:hAnsi="宋体" w:hint="eastAsia"/>
          <w:sz w:val="24"/>
          <w:szCs w:val="24"/>
        </w:rPr>
        <w:t>我们</w:t>
      </w:r>
      <w:r w:rsidR="00BE7548">
        <w:rPr>
          <w:rFonts w:ascii="宋体" w:eastAsia="宋体" w:hAnsi="宋体"/>
          <w:sz w:val="24"/>
          <w:szCs w:val="24"/>
        </w:rPr>
        <w:t>认为可以适当进行</w:t>
      </w:r>
      <w:r w:rsidRPr="00510AA3">
        <w:rPr>
          <w:rFonts w:ascii="宋体" w:eastAsia="宋体" w:hAnsi="宋体" w:hint="eastAsia"/>
          <w:sz w:val="24"/>
          <w:szCs w:val="24"/>
        </w:rPr>
        <w:t>卖豆油买棕榈油的操作。</w:t>
      </w:r>
    </w:p>
    <w:p w:rsidR="00727FA4" w:rsidRPr="00727FA4" w:rsidRDefault="00727FA4" w:rsidP="00633EE3">
      <w:pPr>
        <w:spacing w:beforeLines="50" w:before="156" w:afterLines="50" w:after="156" w:line="360" w:lineRule="auto"/>
        <w:ind w:firstLine="420"/>
        <w:jc w:val="left"/>
        <w:rPr>
          <w:rFonts w:ascii="宋体" w:eastAsia="宋体" w:hAnsi="宋体"/>
          <w:b/>
          <w:sz w:val="24"/>
          <w:szCs w:val="24"/>
        </w:rPr>
      </w:pPr>
      <w:r w:rsidRPr="00727FA4">
        <w:rPr>
          <w:rFonts w:ascii="宋体" w:eastAsia="宋体" w:hAnsi="宋体" w:hint="eastAsia"/>
          <w:b/>
          <w:sz w:val="24"/>
          <w:szCs w:val="24"/>
        </w:rPr>
        <w:t>交易策略：</w:t>
      </w:r>
    </w:p>
    <w:p w:rsidR="00F10167" w:rsidRPr="00510AA3" w:rsidRDefault="00727FA4" w:rsidP="00BE7548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10AA3">
        <w:rPr>
          <w:rFonts w:ascii="宋体" w:eastAsia="宋体" w:hAnsi="宋体" w:hint="eastAsia"/>
          <w:sz w:val="24"/>
          <w:szCs w:val="24"/>
        </w:rPr>
        <w:t>买棕榈油</w:t>
      </w:r>
      <w:r w:rsidR="00BE7548">
        <w:rPr>
          <w:rFonts w:ascii="宋体" w:eastAsia="宋体" w:hAnsi="宋体" w:hint="eastAsia"/>
          <w:sz w:val="24"/>
          <w:szCs w:val="24"/>
        </w:rPr>
        <w:t>p</w:t>
      </w:r>
      <w:r w:rsidRPr="00510AA3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6</w:t>
      </w:r>
      <w:r w:rsidRPr="00510AA3">
        <w:rPr>
          <w:rFonts w:ascii="宋体" w:eastAsia="宋体" w:hAnsi="宋体" w:hint="eastAsia"/>
          <w:sz w:val="24"/>
          <w:szCs w:val="24"/>
        </w:rPr>
        <w:t>01合约</w:t>
      </w:r>
      <w:r w:rsidR="00BE7548">
        <w:rPr>
          <w:rFonts w:ascii="宋体" w:eastAsia="宋体" w:hAnsi="宋体" w:hint="eastAsia"/>
          <w:sz w:val="24"/>
          <w:szCs w:val="24"/>
        </w:rPr>
        <w:t>卖</w:t>
      </w:r>
      <w:r w:rsidR="00F10167" w:rsidRPr="00510AA3">
        <w:rPr>
          <w:rFonts w:ascii="宋体" w:eastAsia="宋体" w:hAnsi="宋体" w:hint="eastAsia"/>
          <w:sz w:val="24"/>
          <w:szCs w:val="24"/>
        </w:rPr>
        <w:t>豆油</w:t>
      </w:r>
      <w:r w:rsidR="00BE7548">
        <w:rPr>
          <w:rFonts w:ascii="宋体" w:eastAsia="宋体" w:hAnsi="宋体" w:hint="eastAsia"/>
          <w:sz w:val="24"/>
          <w:szCs w:val="24"/>
        </w:rPr>
        <w:t>y</w:t>
      </w:r>
      <w:r w:rsidR="00F10167" w:rsidRPr="00510AA3">
        <w:rPr>
          <w:rFonts w:ascii="宋体" w:eastAsia="宋体" w:hAnsi="宋体" w:hint="eastAsia"/>
          <w:sz w:val="24"/>
          <w:szCs w:val="24"/>
        </w:rPr>
        <w:t>1</w:t>
      </w:r>
      <w:r w:rsidR="00F10167">
        <w:rPr>
          <w:rFonts w:ascii="宋体" w:eastAsia="宋体" w:hAnsi="宋体" w:hint="eastAsia"/>
          <w:sz w:val="24"/>
          <w:szCs w:val="24"/>
        </w:rPr>
        <w:t>6</w:t>
      </w:r>
      <w:r w:rsidR="00F10167" w:rsidRPr="00510AA3">
        <w:rPr>
          <w:rFonts w:ascii="宋体" w:eastAsia="宋体" w:hAnsi="宋体" w:hint="eastAsia"/>
          <w:sz w:val="24"/>
          <w:szCs w:val="24"/>
        </w:rPr>
        <w:t>01合约的套利交易，入场</w:t>
      </w:r>
      <w:r w:rsidR="00BE7548">
        <w:rPr>
          <w:rFonts w:ascii="宋体" w:eastAsia="宋体" w:hAnsi="宋体" w:hint="eastAsia"/>
          <w:sz w:val="24"/>
          <w:szCs w:val="24"/>
        </w:rPr>
        <w:t>价差</w:t>
      </w:r>
      <w:r w:rsidR="00F10167">
        <w:rPr>
          <w:rFonts w:ascii="宋体" w:eastAsia="宋体" w:hAnsi="宋体" w:hint="eastAsia"/>
          <w:sz w:val="24"/>
          <w:szCs w:val="24"/>
        </w:rPr>
        <w:t>111</w:t>
      </w:r>
      <w:r w:rsidR="00F10167" w:rsidRPr="00510AA3">
        <w:rPr>
          <w:rFonts w:ascii="宋体" w:eastAsia="宋体" w:hAnsi="宋体" w:hint="eastAsia"/>
          <w:sz w:val="24"/>
          <w:szCs w:val="24"/>
        </w:rPr>
        <w:t>0</w:t>
      </w:r>
      <w:r w:rsidR="00F10167" w:rsidRPr="00510AA3">
        <w:rPr>
          <w:rFonts w:ascii="宋体" w:eastAsia="宋体" w:hAnsi="宋体"/>
          <w:sz w:val="24"/>
          <w:szCs w:val="24"/>
        </w:rPr>
        <w:t>—</w:t>
      </w:r>
      <w:r w:rsidR="00F10167">
        <w:rPr>
          <w:rFonts w:ascii="宋体" w:eastAsia="宋体" w:hAnsi="宋体" w:hint="eastAsia"/>
          <w:sz w:val="24"/>
          <w:szCs w:val="24"/>
        </w:rPr>
        <w:t>115</w:t>
      </w:r>
      <w:r w:rsidR="00F10167" w:rsidRPr="00510AA3">
        <w:rPr>
          <w:rFonts w:ascii="宋体" w:eastAsia="宋体" w:hAnsi="宋体" w:hint="eastAsia"/>
          <w:sz w:val="24"/>
          <w:szCs w:val="24"/>
        </w:rPr>
        <w:t>0区间，操作手数为</w:t>
      </w:r>
      <w:r w:rsidR="00F10167">
        <w:rPr>
          <w:rFonts w:ascii="宋体" w:eastAsia="宋体" w:hAnsi="宋体" w:hint="eastAsia"/>
          <w:sz w:val="24"/>
          <w:szCs w:val="24"/>
        </w:rPr>
        <w:t>3</w:t>
      </w:r>
      <w:r w:rsidR="00F10167" w:rsidRPr="00510AA3">
        <w:rPr>
          <w:rFonts w:ascii="宋体" w:eastAsia="宋体" w:hAnsi="宋体" w:hint="eastAsia"/>
          <w:sz w:val="24"/>
          <w:szCs w:val="24"/>
        </w:rPr>
        <w:t>00手；止损</w:t>
      </w:r>
      <w:r w:rsidR="00BE7548">
        <w:rPr>
          <w:rFonts w:ascii="宋体" w:eastAsia="宋体" w:hAnsi="宋体" w:hint="eastAsia"/>
          <w:sz w:val="24"/>
          <w:szCs w:val="24"/>
        </w:rPr>
        <w:t>价差</w:t>
      </w:r>
      <w:r>
        <w:rPr>
          <w:rFonts w:ascii="宋体" w:eastAsia="宋体" w:hAnsi="宋体" w:hint="eastAsia"/>
          <w:sz w:val="24"/>
          <w:szCs w:val="24"/>
        </w:rPr>
        <w:t>1200</w:t>
      </w:r>
      <w:r w:rsidR="00F10167" w:rsidRPr="00510AA3">
        <w:rPr>
          <w:rFonts w:ascii="宋体" w:eastAsia="宋体" w:hAnsi="宋体"/>
          <w:sz w:val="24"/>
          <w:szCs w:val="24"/>
        </w:rPr>
        <w:t>—</w:t>
      </w:r>
      <w:r>
        <w:rPr>
          <w:rFonts w:ascii="宋体" w:eastAsia="宋体" w:hAnsi="宋体" w:hint="eastAsia"/>
          <w:sz w:val="24"/>
          <w:szCs w:val="24"/>
        </w:rPr>
        <w:t>12</w:t>
      </w:r>
      <w:r w:rsidR="00F10167" w:rsidRPr="00510AA3">
        <w:rPr>
          <w:rFonts w:ascii="宋体" w:eastAsia="宋体" w:hAnsi="宋体" w:hint="eastAsia"/>
          <w:sz w:val="24"/>
          <w:szCs w:val="24"/>
        </w:rPr>
        <w:t>50；止盈</w:t>
      </w:r>
      <w:r w:rsidR="00BE7548">
        <w:rPr>
          <w:rFonts w:ascii="宋体" w:eastAsia="宋体" w:hAnsi="宋体" w:hint="eastAsia"/>
          <w:sz w:val="24"/>
          <w:szCs w:val="24"/>
        </w:rPr>
        <w:t>价差</w:t>
      </w:r>
      <w:r>
        <w:rPr>
          <w:rFonts w:ascii="宋体" w:eastAsia="宋体" w:hAnsi="宋体" w:hint="eastAsia"/>
          <w:sz w:val="24"/>
          <w:szCs w:val="24"/>
        </w:rPr>
        <w:t>7</w:t>
      </w:r>
      <w:r w:rsidR="00F10167" w:rsidRPr="00510AA3">
        <w:rPr>
          <w:rFonts w:ascii="宋体" w:eastAsia="宋体" w:hAnsi="宋体" w:hint="eastAsia"/>
          <w:sz w:val="24"/>
          <w:szCs w:val="24"/>
        </w:rPr>
        <w:t>00</w:t>
      </w:r>
      <w:r w:rsidR="00F10167" w:rsidRPr="00510AA3">
        <w:rPr>
          <w:rFonts w:ascii="宋体" w:eastAsia="宋体" w:hAnsi="宋体"/>
          <w:sz w:val="24"/>
          <w:szCs w:val="24"/>
        </w:rPr>
        <w:t>—</w:t>
      </w:r>
      <w:r>
        <w:rPr>
          <w:rFonts w:ascii="宋体" w:eastAsia="宋体" w:hAnsi="宋体" w:hint="eastAsia"/>
          <w:sz w:val="24"/>
          <w:szCs w:val="24"/>
        </w:rPr>
        <w:t>8</w:t>
      </w:r>
      <w:r w:rsidR="00F10167" w:rsidRPr="00510AA3">
        <w:rPr>
          <w:rFonts w:ascii="宋体" w:eastAsia="宋体" w:hAnsi="宋体" w:hint="eastAsia"/>
          <w:sz w:val="24"/>
          <w:szCs w:val="24"/>
        </w:rPr>
        <w:t>00。</w:t>
      </w:r>
    </w:p>
    <w:p w:rsidR="00F10167" w:rsidRPr="00BE7548" w:rsidRDefault="00BE7548" w:rsidP="00BE7548">
      <w:pPr>
        <w:spacing w:beforeLines="50" w:before="156" w:afterLines="50" w:after="156" w:line="360" w:lineRule="auto"/>
        <w:jc w:val="left"/>
        <w:rPr>
          <w:rFonts w:ascii="宋体" w:eastAsia="宋体" w:hAnsi="宋体"/>
          <w:b/>
          <w:sz w:val="28"/>
          <w:szCs w:val="24"/>
        </w:rPr>
      </w:pPr>
      <w:r w:rsidRPr="00BE7548">
        <w:rPr>
          <w:rFonts w:ascii="宋体" w:eastAsia="宋体" w:hAnsi="宋体" w:hint="eastAsia"/>
          <w:b/>
          <w:sz w:val="28"/>
          <w:szCs w:val="24"/>
        </w:rPr>
        <w:t>五</w:t>
      </w:r>
      <w:r w:rsidRPr="00BE7548">
        <w:rPr>
          <w:rFonts w:ascii="宋体" w:eastAsia="宋体" w:hAnsi="宋体"/>
          <w:b/>
          <w:sz w:val="28"/>
          <w:szCs w:val="24"/>
        </w:rPr>
        <w:t>、</w:t>
      </w:r>
      <w:r w:rsidR="00727FA4" w:rsidRPr="00BE7548">
        <w:rPr>
          <w:rFonts w:ascii="宋体" w:eastAsia="宋体" w:hAnsi="宋体" w:hint="eastAsia"/>
          <w:b/>
          <w:sz w:val="28"/>
          <w:szCs w:val="24"/>
        </w:rPr>
        <w:t>风险点</w:t>
      </w:r>
    </w:p>
    <w:p w:rsidR="00F10167" w:rsidRPr="00727FA4" w:rsidRDefault="00F10167" w:rsidP="00BE7548">
      <w:pPr>
        <w:spacing w:beforeLines="50" w:before="156" w:afterLines="50" w:after="156"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727FA4">
        <w:rPr>
          <w:rFonts w:ascii="宋体" w:eastAsia="宋体" w:hAnsi="宋体" w:hint="eastAsia"/>
          <w:sz w:val="24"/>
          <w:szCs w:val="24"/>
        </w:rPr>
        <w:t>由于汇率的不稳定，马币的贬值可能仍会导致豆油和棕榈油价差的扩大，因此需要特别关注汇率的走势。</w:t>
      </w:r>
      <w:r w:rsidR="00727FA4" w:rsidRPr="00727FA4">
        <w:rPr>
          <w:rFonts w:ascii="宋体" w:eastAsia="宋体" w:hAnsi="宋体" w:hint="eastAsia"/>
          <w:sz w:val="24"/>
          <w:szCs w:val="24"/>
        </w:rPr>
        <w:t>若</w:t>
      </w:r>
      <w:r w:rsidR="00727FA4">
        <w:rPr>
          <w:rFonts w:ascii="宋体" w:eastAsia="宋体" w:hAnsi="宋体" w:hint="eastAsia"/>
          <w:sz w:val="24"/>
          <w:szCs w:val="24"/>
        </w:rPr>
        <w:t>美元对</w:t>
      </w:r>
      <w:r w:rsidR="00727FA4" w:rsidRPr="00727FA4">
        <w:rPr>
          <w:rFonts w:ascii="宋体" w:eastAsia="宋体" w:hAnsi="宋体" w:hint="eastAsia"/>
          <w:sz w:val="24"/>
          <w:szCs w:val="24"/>
        </w:rPr>
        <w:t>马币持续贬值且突破前期的高点4.48，则</w:t>
      </w:r>
      <w:r w:rsidR="00BE7548">
        <w:rPr>
          <w:rFonts w:ascii="宋体" w:eastAsia="宋体" w:hAnsi="宋体" w:hint="eastAsia"/>
          <w:sz w:val="24"/>
          <w:szCs w:val="24"/>
        </w:rPr>
        <w:t>考虑</w:t>
      </w:r>
      <w:r w:rsidR="00727FA4" w:rsidRPr="00727FA4">
        <w:rPr>
          <w:rFonts w:ascii="宋体" w:eastAsia="宋体" w:hAnsi="宋体" w:hint="eastAsia"/>
          <w:sz w:val="24"/>
          <w:szCs w:val="24"/>
        </w:rPr>
        <w:t>暂时离场观望。</w:t>
      </w:r>
    </w:p>
    <w:sectPr w:rsidR="00F10167" w:rsidRPr="00727FA4" w:rsidSect="00B04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24" w:rsidRDefault="00544624" w:rsidP="00000871">
      <w:pPr>
        <w:ind w:firstLine="440"/>
      </w:pPr>
      <w:r>
        <w:separator/>
      </w:r>
    </w:p>
  </w:endnote>
  <w:endnote w:type="continuationSeparator" w:id="0">
    <w:p w:rsidR="00544624" w:rsidRDefault="00544624" w:rsidP="00000871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24" w:rsidRDefault="00544624" w:rsidP="00000871">
      <w:pPr>
        <w:ind w:firstLine="440"/>
      </w:pPr>
      <w:r>
        <w:separator/>
      </w:r>
    </w:p>
  </w:footnote>
  <w:footnote w:type="continuationSeparator" w:id="0">
    <w:p w:rsidR="00544624" w:rsidRDefault="00544624" w:rsidP="00000871"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871"/>
    <w:rsid w:val="00000871"/>
    <w:rsid w:val="000C4191"/>
    <w:rsid w:val="001B4A65"/>
    <w:rsid w:val="00276CEF"/>
    <w:rsid w:val="002C25A5"/>
    <w:rsid w:val="003B3837"/>
    <w:rsid w:val="00533E04"/>
    <w:rsid w:val="00544624"/>
    <w:rsid w:val="00571FF8"/>
    <w:rsid w:val="0057521E"/>
    <w:rsid w:val="005D6DA9"/>
    <w:rsid w:val="00633EE3"/>
    <w:rsid w:val="006941AC"/>
    <w:rsid w:val="00727FA4"/>
    <w:rsid w:val="008A438C"/>
    <w:rsid w:val="00990C1F"/>
    <w:rsid w:val="009A748B"/>
    <w:rsid w:val="00AD73D3"/>
    <w:rsid w:val="00B04CA0"/>
    <w:rsid w:val="00BC4241"/>
    <w:rsid w:val="00BD7BFA"/>
    <w:rsid w:val="00BE7548"/>
    <w:rsid w:val="00C57CE9"/>
    <w:rsid w:val="00C847E3"/>
    <w:rsid w:val="00CC6151"/>
    <w:rsid w:val="00CF148A"/>
    <w:rsid w:val="00D1060D"/>
    <w:rsid w:val="00DD679B"/>
    <w:rsid w:val="00E05912"/>
    <w:rsid w:val="00F10167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E8D5B-1E86-4A0F-B49F-A9D4D263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8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08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0871"/>
    <w:rPr>
      <w:sz w:val="18"/>
      <w:szCs w:val="18"/>
    </w:rPr>
  </w:style>
  <w:style w:type="table" w:styleId="a6">
    <w:name w:val="Table Grid"/>
    <w:basedOn w:val="a1"/>
    <w:uiPriority w:val="59"/>
    <w:rsid w:val="00BC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图表头 Char Char"/>
    <w:link w:val="a7"/>
    <w:rsid w:val="006941AC"/>
    <w:rPr>
      <w:rFonts w:eastAsia="华文细黑"/>
      <w:b/>
      <w:szCs w:val="21"/>
    </w:rPr>
  </w:style>
  <w:style w:type="character" w:customStyle="1" w:styleId="CharChar0">
    <w:name w:val="图表注 Char Char"/>
    <w:link w:val="a8"/>
    <w:rsid w:val="006941AC"/>
    <w:rPr>
      <w:rFonts w:eastAsia="华文细黑"/>
      <w:szCs w:val="21"/>
    </w:rPr>
  </w:style>
  <w:style w:type="paragraph" w:customStyle="1" w:styleId="a8">
    <w:name w:val="图表注"/>
    <w:basedOn w:val="a"/>
    <w:link w:val="CharChar0"/>
    <w:rsid w:val="006941AC"/>
    <w:pPr>
      <w:ind w:firstLineChars="200" w:firstLine="200"/>
      <w:jc w:val="center"/>
    </w:pPr>
    <w:rPr>
      <w:rFonts w:eastAsia="华文细黑"/>
      <w:szCs w:val="21"/>
    </w:rPr>
  </w:style>
  <w:style w:type="paragraph" w:customStyle="1" w:styleId="a7">
    <w:name w:val="图表头"/>
    <w:basedOn w:val="a"/>
    <w:link w:val="CharChar"/>
    <w:rsid w:val="006941AC"/>
    <w:pPr>
      <w:ind w:firstLineChars="200" w:firstLine="200"/>
      <w:jc w:val="center"/>
    </w:pPr>
    <w:rPr>
      <w:rFonts w:eastAsia="华文细黑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media/image5.png" Type="http://schemas.openxmlformats.org/officeDocument/2006/relationships/image"/>
<Relationship Id="rId11" Target="media/image6.png" Type="http://schemas.openxmlformats.org/officeDocument/2006/relationships/image"/>
<Relationship Id="rId12" Target="media/image7.png" Type="http://schemas.openxmlformats.org/officeDocument/2006/relationships/image"/>
<Relationship Id="rId13" Target="media/image8.png" Type="http://schemas.openxmlformats.org/officeDocument/2006/relationships/image"/>
<Relationship Id="rId14" Target="media/image9.png" Type="http://schemas.openxmlformats.org/officeDocument/2006/relationships/image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edia/image1.png" Type="http://schemas.openxmlformats.org/officeDocument/2006/relationships/image"/>
<Relationship Id="rId7" Target="media/image2.png" Type="http://schemas.openxmlformats.org/officeDocument/2006/relationships/image"/>
<Relationship Id="rId8" Target="media/image3.png" Type="http://schemas.openxmlformats.org/officeDocument/2006/relationships/image"/>
<Relationship Id="rId9" Target="media/image4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2015-11-02T12:13:00Z</dcterms:created>
  <dc:creator>李国强</dc:creator>
  <cp:lastModifiedBy>DELL</cp:lastModifiedBy>
  <dcterms:modified xsi:type="dcterms:W3CDTF">2015-11-02T12:13:00Z</dcterms:modified>
  <cp:revision>2</cp:revision>
</cp:coreProperties>
</file>