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ms-office.chartcolorstyle+xml" PartName="/word/charts/colors1.xml"/>
  <Override ContentType="application/vnd.ms-office.chartstyle+xml" PartName="/word/charts/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EC1" w:rsidRPr="009C0EC1" w:rsidRDefault="00627300">
      <w:pPr>
        <w:pStyle w:val="1"/>
        <w:spacing w:before="31" w:after="31"/>
        <w:rPr>
          <w:color w:val="FF0000"/>
        </w:rPr>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4794885</wp:posOffset>
                </wp:positionV>
                <wp:extent cx="3886200" cy="2971800"/>
                <wp:effectExtent l="0" t="0" r="0" b="0"/>
                <wp:wrapNone/>
                <wp:docPr id="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5D" w:rsidRDefault="004E065D" w:rsidP="000F5D56">
                            <w:pPr>
                              <w:ind w:firstLineChars="695" w:firstLine="2512"/>
                              <w:rPr>
                                <w:rFonts w:ascii="宋体" w:hAnsi="宋体" w:cs="Arial"/>
                                <w:b/>
                                <w:color w:val="000000"/>
                                <w:sz w:val="36"/>
                                <w:szCs w:val="36"/>
                              </w:rPr>
                            </w:pPr>
                            <w:r>
                              <w:rPr>
                                <w:rFonts w:ascii="宋体" w:hAnsi="宋体" w:cs="Arial" w:hint="eastAsia"/>
                                <w:b/>
                                <w:color w:val="000000"/>
                                <w:sz w:val="36"/>
                                <w:szCs w:val="36"/>
                              </w:rPr>
                              <w:t>摘  要</w:t>
                            </w:r>
                          </w:p>
                          <w:p w:rsidR="004E065D" w:rsidRDefault="004A3D73" w:rsidP="004A3D73">
                            <w:pPr>
                              <w:numPr>
                                <w:ilvl w:val="0"/>
                                <w:numId w:val="1"/>
                              </w:numPr>
                              <w:spacing w:line="360" w:lineRule="auto"/>
                              <w:rPr>
                                <w:rFonts w:ascii="宋体" w:hAnsi="宋体" w:cs="Arial"/>
                                <w:color w:val="000000"/>
                                <w:sz w:val="24"/>
                              </w:rPr>
                            </w:pPr>
                            <w:r w:rsidRPr="004A3D73">
                              <w:rPr>
                                <w:rFonts w:ascii="宋体" w:hAnsi="宋体" w:cs="Arial" w:hint="eastAsia"/>
                                <w:color w:val="000000"/>
                                <w:sz w:val="24"/>
                              </w:rPr>
                              <w:t>四季度铁矿供需格局好于明年</w:t>
                            </w:r>
                            <w:r w:rsidR="004E065D">
                              <w:rPr>
                                <w:rFonts w:ascii="宋体" w:hAnsi="宋体" w:cs="Arial" w:hint="eastAsia"/>
                                <w:color w:val="000000"/>
                                <w:sz w:val="24"/>
                              </w:rPr>
                              <w:t>；</w:t>
                            </w:r>
                          </w:p>
                          <w:p w:rsidR="004E065D" w:rsidRDefault="004A3D73" w:rsidP="004A3D73">
                            <w:pPr>
                              <w:numPr>
                                <w:ilvl w:val="0"/>
                                <w:numId w:val="1"/>
                              </w:numPr>
                              <w:spacing w:line="360" w:lineRule="auto"/>
                              <w:rPr>
                                <w:rFonts w:ascii="宋体" w:hAnsi="宋体" w:cs="Arial"/>
                                <w:color w:val="000000"/>
                                <w:sz w:val="24"/>
                              </w:rPr>
                            </w:pPr>
                            <w:r w:rsidRPr="004A3D73">
                              <w:rPr>
                                <w:rFonts w:ascii="宋体" w:hAnsi="宋体" w:cs="Arial" w:hint="eastAsia"/>
                                <w:color w:val="000000"/>
                                <w:sz w:val="24"/>
                              </w:rPr>
                              <w:t>贴水结构导致近月合约受现货拉动强</w:t>
                            </w:r>
                            <w:r w:rsidR="004E065D">
                              <w:rPr>
                                <w:rFonts w:ascii="宋体" w:hAnsi="宋体" w:cs="Arial" w:hint="eastAsia"/>
                                <w:color w:val="000000"/>
                                <w:sz w:val="24"/>
                              </w:rPr>
                              <w:t>；</w:t>
                            </w:r>
                          </w:p>
                          <w:p w:rsidR="00853A01" w:rsidRPr="004A3D73" w:rsidRDefault="004A3D73" w:rsidP="004A3D73">
                            <w:pPr>
                              <w:numPr>
                                <w:ilvl w:val="0"/>
                                <w:numId w:val="1"/>
                              </w:numPr>
                              <w:spacing w:line="360" w:lineRule="auto"/>
                              <w:rPr>
                                <w:rFonts w:ascii="宋体" w:hAnsi="宋体" w:cs="Arial"/>
                                <w:color w:val="000000"/>
                                <w:sz w:val="24"/>
                              </w:rPr>
                            </w:pPr>
                            <w:r w:rsidRPr="004A3D73">
                              <w:rPr>
                                <w:rFonts w:ascii="宋体" w:hAnsi="宋体" w:cs="Arial" w:hint="eastAsia"/>
                                <w:color w:val="000000"/>
                                <w:sz w:val="24"/>
                              </w:rPr>
                              <w:t>历史价差规律支持正套</w:t>
                            </w:r>
                            <w:r w:rsidR="009D2340">
                              <w:rPr>
                                <w:rFonts w:ascii="宋体" w:hAnsi="宋体" w:cs="Arial" w:hint="eastAsia"/>
                                <w:color w:val="00000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377.55pt;width:306pt;height:23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" filled="f" stroked="f">
                <v:textbox>
                  <w:txbxContent>
                    <w:p w:rsidR="004E065D" w:rsidRDefault="004E065D" w:rsidP="000F5D56">
                      <w:pPr>
                        <w:ind w:firstLineChars="695" w:firstLine="2512"/>
                        <w:rPr>
                          <w:rFonts w:ascii="宋体" w:hAnsi="宋体" w:cs="Arial"/>
                          <w:b/>
                          <w:color w:val="000000"/>
                          <w:sz w:val="36"/>
                          <w:szCs w:val="36"/>
                        </w:rPr>
                      </w:pPr>
                      <w:r>
                        <w:rPr>
                          <w:rFonts w:ascii="宋体" w:hAnsi="宋体" w:cs="Arial" w:hint="eastAsia"/>
                          <w:b/>
                          <w:color w:val="000000"/>
                          <w:sz w:val="36"/>
                          <w:szCs w:val="36"/>
                        </w:rPr>
                        <w:t>摘  要</w:t>
                      </w:r>
                    </w:p>
                    <w:p w:rsidR="004E065D" w:rsidRDefault="004A3D73" w:rsidP="004A3D73">
                      <w:pPr>
                        <w:numPr>
                          <w:ilvl w:val="0"/>
                          <w:numId w:val="1"/>
                        </w:numPr>
                        <w:spacing w:line="360" w:lineRule="auto"/>
                        <w:rPr>
                          <w:rFonts w:ascii="宋体" w:hAnsi="宋体" w:cs="Arial"/>
                          <w:color w:val="000000"/>
                          <w:sz w:val="24"/>
                        </w:rPr>
                      </w:pPr>
                      <w:r w:rsidRPr="004A3D73">
                        <w:rPr>
                          <w:rFonts w:ascii="宋体" w:hAnsi="宋体" w:cs="Arial" w:hint="eastAsia"/>
                          <w:color w:val="000000"/>
                          <w:sz w:val="24"/>
                        </w:rPr>
                        <w:t>四季度铁矿供需格局好于明年</w:t>
                      </w:r>
                      <w:r w:rsidR="004E065D">
                        <w:rPr>
                          <w:rFonts w:ascii="宋体" w:hAnsi="宋体" w:cs="Arial" w:hint="eastAsia"/>
                          <w:color w:val="000000"/>
                          <w:sz w:val="24"/>
                        </w:rPr>
                        <w:t>；</w:t>
                      </w:r>
                    </w:p>
                    <w:p w:rsidR="004E065D" w:rsidRDefault="004A3D73" w:rsidP="004A3D73">
                      <w:pPr>
                        <w:numPr>
                          <w:ilvl w:val="0"/>
                          <w:numId w:val="1"/>
                        </w:numPr>
                        <w:spacing w:line="360" w:lineRule="auto"/>
                        <w:rPr>
                          <w:rFonts w:ascii="宋体" w:hAnsi="宋体" w:cs="Arial"/>
                          <w:color w:val="000000"/>
                          <w:sz w:val="24"/>
                        </w:rPr>
                      </w:pPr>
                      <w:r w:rsidRPr="004A3D73">
                        <w:rPr>
                          <w:rFonts w:ascii="宋体" w:hAnsi="宋体" w:cs="Arial" w:hint="eastAsia"/>
                          <w:color w:val="000000"/>
                          <w:sz w:val="24"/>
                        </w:rPr>
                        <w:t>贴水结构导致近月合约受现货拉动强</w:t>
                      </w:r>
                      <w:r w:rsidR="004E065D">
                        <w:rPr>
                          <w:rFonts w:ascii="宋体" w:hAnsi="宋体" w:cs="Arial" w:hint="eastAsia"/>
                          <w:color w:val="000000"/>
                          <w:sz w:val="24"/>
                        </w:rPr>
                        <w:t>；</w:t>
                      </w:r>
                    </w:p>
                    <w:p w:rsidR="00853A01" w:rsidRPr="004A3D73" w:rsidRDefault="004A3D73" w:rsidP="004A3D73">
                      <w:pPr>
                        <w:numPr>
                          <w:ilvl w:val="0"/>
                          <w:numId w:val="1"/>
                        </w:numPr>
                        <w:spacing w:line="360" w:lineRule="auto"/>
                        <w:rPr>
                          <w:rFonts w:ascii="宋体" w:hAnsi="宋体" w:cs="Arial"/>
                          <w:color w:val="000000"/>
                          <w:sz w:val="24"/>
                        </w:rPr>
                      </w:pPr>
                      <w:r w:rsidRPr="004A3D73">
                        <w:rPr>
                          <w:rFonts w:ascii="宋体" w:hAnsi="宋体" w:cs="Arial" w:hint="eastAsia"/>
                          <w:color w:val="000000"/>
                          <w:sz w:val="24"/>
                        </w:rPr>
                        <w:t>历史价差规律支持正套</w:t>
                      </w:r>
                      <w:r w:rsidR="009D2340">
                        <w:rPr>
                          <w:rFonts w:ascii="宋体" w:hAnsi="宋体" w:cs="Arial" w:hint="eastAsia"/>
                          <w:color w:val="000000"/>
                          <w:sz w:val="24"/>
                        </w:rPr>
                        <w:t>。</w:t>
                      </w: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3867150</wp:posOffset>
                </wp:positionH>
                <wp:positionV relativeFrom="paragraph">
                  <wp:posOffset>4533900</wp:posOffset>
                </wp:positionV>
                <wp:extent cx="2718435" cy="3600450"/>
                <wp:effectExtent l="0" t="0" r="0" b="0"/>
                <wp:wrapNone/>
                <wp:docPr id="15" name="Quad Arrow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360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D9" w:rsidRDefault="000670D9">
                            <w:pPr>
                              <w:rPr>
                                <w:rFonts w:ascii="宋体" w:hAnsi="宋体" w:cs="Arial"/>
                                <w:b/>
                                <w:color w:val="000000"/>
                                <w:sz w:val="36"/>
                                <w:szCs w:val="36"/>
                              </w:rPr>
                            </w:pPr>
                          </w:p>
                          <w:p w:rsidR="00DA5386" w:rsidRDefault="00E540E6">
                            <w:pPr>
                              <w:rPr>
                                <w:rFonts w:ascii="宋体" w:hAnsi="宋体" w:cs="Arial"/>
                                <w:b/>
                                <w:color w:val="000000"/>
                                <w:sz w:val="30"/>
                                <w:szCs w:val="30"/>
                              </w:rPr>
                            </w:pPr>
                            <w:r>
                              <w:rPr>
                                <w:rFonts w:ascii="宋体" w:hAnsi="宋体" w:cs="Arial" w:hint="eastAsia"/>
                                <w:b/>
                                <w:color w:val="000000"/>
                                <w:sz w:val="30"/>
                                <w:szCs w:val="30"/>
                              </w:rPr>
                              <w:t>研究员：</w:t>
                            </w:r>
                            <w:r w:rsidR="00B7685D">
                              <w:rPr>
                                <w:rFonts w:ascii="宋体" w:hAnsi="宋体" w:cs="Arial" w:hint="eastAsia"/>
                                <w:b/>
                                <w:color w:val="000000"/>
                                <w:sz w:val="30"/>
                                <w:szCs w:val="30"/>
                              </w:rPr>
                              <w:t>王英</w:t>
                            </w:r>
                          </w:p>
                          <w:p w:rsidR="00DA5386" w:rsidRDefault="00E540E6">
                            <w:pPr>
                              <w:rPr>
                                <w:rFonts w:ascii="宋体" w:hAnsi="宋体" w:cs="Arial"/>
                                <w:b/>
                                <w:color w:val="000000"/>
                                <w:sz w:val="30"/>
                                <w:szCs w:val="30"/>
                              </w:rPr>
                            </w:pPr>
                            <w:r>
                              <w:rPr>
                                <w:rFonts w:ascii="宋体" w:hAnsi="宋体" w:cs="Arial" w:hint="eastAsia"/>
                                <w:b/>
                                <w:color w:val="000000"/>
                                <w:sz w:val="30"/>
                                <w:szCs w:val="30"/>
                              </w:rPr>
                              <w:sym w:font="Wingdings" w:char="F028"/>
                            </w:r>
                            <w:r>
                              <w:rPr>
                                <w:rFonts w:ascii="宋体" w:hAnsi="宋体" w:cs="Arial" w:hint="eastAsia"/>
                                <w:b/>
                                <w:color w:val="000000"/>
                                <w:sz w:val="30"/>
                                <w:szCs w:val="30"/>
                              </w:rPr>
                              <w:t>：021-6</w:t>
                            </w:r>
                            <w:r w:rsidR="004E065D">
                              <w:rPr>
                                <w:rFonts w:ascii="宋体" w:hAnsi="宋体" w:cs="Arial"/>
                                <w:b/>
                                <w:color w:val="000000"/>
                                <w:sz w:val="30"/>
                                <w:szCs w:val="30"/>
                              </w:rPr>
                              <w:t>0635736</w:t>
                            </w:r>
                          </w:p>
                          <w:p w:rsidR="00DA5386" w:rsidRDefault="00E540E6">
                            <w:pPr>
                              <w:rPr>
                                <w:rFonts w:ascii="宋体" w:hAnsi="宋体" w:cs="Arial"/>
                                <w:b/>
                                <w:color w:val="000000"/>
                                <w:sz w:val="30"/>
                                <w:szCs w:val="30"/>
                              </w:rPr>
                            </w:pPr>
                            <w:r>
                              <w:rPr>
                                <w:rFonts w:ascii="宋体" w:hAnsi="宋体" w:cs="Arial" w:hint="eastAsia"/>
                                <w:b/>
                                <w:color w:val="000000"/>
                                <w:sz w:val="30"/>
                                <w:szCs w:val="30"/>
                              </w:rPr>
                              <w:sym w:font="Wingdings" w:char="F02A"/>
                            </w:r>
                            <w:r>
                              <w:rPr>
                                <w:rFonts w:ascii="宋体" w:hAnsi="宋体" w:cs="Arial" w:hint="eastAsia"/>
                                <w:b/>
                                <w:color w:val="000000"/>
                                <w:sz w:val="30"/>
                                <w:szCs w:val="30"/>
                              </w:rPr>
                              <w:t>：</w:t>
                            </w:r>
                            <w:r w:rsidR="00B7685D">
                              <w:rPr>
                                <w:rFonts w:ascii="宋体" w:hAnsi="宋体" w:cs="Arial" w:hint="eastAsia"/>
                                <w:b/>
                                <w:color w:val="000000"/>
                                <w:sz w:val="30"/>
                                <w:szCs w:val="30"/>
                              </w:rPr>
                              <w:t>wangying</w:t>
                            </w:r>
                            <w:r>
                              <w:rPr>
                                <w:rFonts w:ascii="宋体" w:hAnsi="宋体" w:cs="Arial"/>
                                <w:b/>
                                <w:color w:val="000000"/>
                                <w:sz w:val="30"/>
                                <w:szCs w:val="30"/>
                              </w:rPr>
                              <w:t>@ccbfutures.com</w:t>
                            </w:r>
                          </w:p>
                          <w:p w:rsidR="00DA5386" w:rsidRDefault="00DA5386">
                            <w:pPr>
                              <w:ind w:firstLineChars="198" w:firstLine="596"/>
                              <w:rPr>
                                <w:rFonts w:ascii="宋体" w:hAnsi="宋体" w:cs="Arial"/>
                                <w:b/>
                                <w:color w:val="000000"/>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 Arrow 14" o:spid="_x0000_s1027" type="#_x0000_t202" style="position:absolute;left:0;text-align:left;margin-left:304.5pt;margin-top:357pt;width:214.05pt;height:2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" filled="f" stroked="f">
                <v:textbox>
                  <w:txbxContent>
                    <w:p w:rsidR="000670D9" w:rsidRDefault="000670D9">
                      <w:pPr>
                        <w:rPr>
                          <w:rFonts w:ascii="宋体" w:hAnsi="宋体" w:cs="Arial"/>
                          <w:b/>
                          <w:color w:val="000000"/>
                          <w:sz w:val="36"/>
                          <w:szCs w:val="36"/>
                        </w:rPr>
                      </w:pPr>
                    </w:p>
                    <w:p w:rsidR="00DA5386" w:rsidRDefault="00E540E6">
                      <w:pPr>
                        <w:rPr>
                          <w:rFonts w:ascii="宋体" w:hAnsi="宋体" w:cs="Arial"/>
                          <w:b/>
                          <w:color w:val="000000"/>
                          <w:sz w:val="30"/>
                          <w:szCs w:val="30"/>
                        </w:rPr>
                      </w:pPr>
                      <w:r>
                        <w:rPr>
                          <w:rFonts w:ascii="宋体" w:hAnsi="宋体" w:cs="Arial" w:hint="eastAsia"/>
                          <w:b/>
                          <w:color w:val="000000"/>
                          <w:sz w:val="30"/>
                          <w:szCs w:val="30"/>
                        </w:rPr>
                        <w:t>研究员：</w:t>
                      </w:r>
                      <w:r w:rsidR="00B7685D">
                        <w:rPr>
                          <w:rFonts w:ascii="宋体" w:hAnsi="宋体" w:cs="Arial" w:hint="eastAsia"/>
                          <w:b/>
                          <w:color w:val="000000"/>
                          <w:sz w:val="30"/>
                          <w:szCs w:val="30"/>
                        </w:rPr>
                        <w:t>王英</w:t>
                      </w:r>
                    </w:p>
                    <w:p w:rsidR="00DA5386" w:rsidRDefault="00E540E6">
                      <w:pPr>
                        <w:rPr>
                          <w:rFonts w:ascii="宋体" w:hAnsi="宋体" w:cs="Arial"/>
                          <w:b/>
                          <w:color w:val="000000"/>
                          <w:sz w:val="30"/>
                          <w:szCs w:val="30"/>
                        </w:rPr>
                      </w:pPr>
                      <w:r>
                        <w:rPr>
                          <w:rFonts w:ascii="宋体" w:hAnsi="宋体" w:cs="Arial" w:hint="eastAsia"/>
                          <w:b/>
                          <w:color w:val="000000"/>
                          <w:sz w:val="30"/>
                          <w:szCs w:val="30"/>
                        </w:rPr>
                        <w:sym w:font="Wingdings" w:char="F028"/>
                      </w:r>
                      <w:r>
                        <w:rPr>
                          <w:rFonts w:ascii="宋体" w:hAnsi="宋体" w:cs="Arial" w:hint="eastAsia"/>
                          <w:b/>
                          <w:color w:val="000000"/>
                          <w:sz w:val="30"/>
                          <w:szCs w:val="30"/>
                        </w:rPr>
                        <w:t>：021-6</w:t>
                      </w:r>
                      <w:r w:rsidR="004E065D">
                        <w:rPr>
                          <w:rFonts w:ascii="宋体" w:hAnsi="宋体" w:cs="Arial"/>
                          <w:b/>
                          <w:color w:val="000000"/>
                          <w:sz w:val="30"/>
                          <w:szCs w:val="30"/>
                        </w:rPr>
                        <w:t>0635736</w:t>
                      </w:r>
                    </w:p>
                    <w:p w:rsidR="00DA5386" w:rsidRDefault="00E540E6">
                      <w:pPr>
                        <w:rPr>
                          <w:rFonts w:ascii="宋体" w:hAnsi="宋体" w:cs="Arial"/>
                          <w:b/>
                          <w:color w:val="000000"/>
                          <w:sz w:val="30"/>
                          <w:szCs w:val="30"/>
                        </w:rPr>
                      </w:pPr>
                      <w:r>
                        <w:rPr>
                          <w:rFonts w:ascii="宋体" w:hAnsi="宋体" w:cs="Arial" w:hint="eastAsia"/>
                          <w:b/>
                          <w:color w:val="000000"/>
                          <w:sz w:val="30"/>
                          <w:szCs w:val="30"/>
                        </w:rPr>
                        <w:sym w:font="Wingdings" w:char="F02A"/>
                      </w:r>
                      <w:r>
                        <w:rPr>
                          <w:rFonts w:ascii="宋体" w:hAnsi="宋体" w:cs="Arial" w:hint="eastAsia"/>
                          <w:b/>
                          <w:color w:val="000000"/>
                          <w:sz w:val="30"/>
                          <w:szCs w:val="30"/>
                        </w:rPr>
                        <w:t>：</w:t>
                      </w:r>
                      <w:r w:rsidR="00B7685D">
                        <w:rPr>
                          <w:rFonts w:ascii="宋体" w:hAnsi="宋体" w:cs="Arial" w:hint="eastAsia"/>
                          <w:b/>
                          <w:color w:val="000000"/>
                          <w:sz w:val="30"/>
                          <w:szCs w:val="30"/>
                        </w:rPr>
                        <w:t>wangying</w:t>
                      </w:r>
                      <w:r>
                        <w:rPr>
                          <w:rFonts w:ascii="宋体" w:hAnsi="宋体" w:cs="Arial"/>
                          <w:b/>
                          <w:color w:val="000000"/>
                          <w:sz w:val="30"/>
                          <w:szCs w:val="30"/>
                        </w:rPr>
                        <w:t>@ccbfutures.com</w:t>
                      </w:r>
                    </w:p>
                    <w:p w:rsidR="00DA5386" w:rsidRDefault="00DA5386">
                      <w:pPr>
                        <w:ind w:firstLineChars="198" w:firstLine="596"/>
                        <w:rPr>
                          <w:rFonts w:ascii="宋体" w:hAnsi="宋体" w:cs="Arial"/>
                          <w:b/>
                          <w:color w:val="000000"/>
                          <w:sz w:val="30"/>
                          <w:szCs w:val="30"/>
                        </w:rPr>
                      </w:pP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4838700</wp:posOffset>
                </wp:positionH>
                <wp:positionV relativeFrom="paragraph">
                  <wp:posOffset>3798570</wp:posOffset>
                </wp:positionV>
                <wp:extent cx="1670685" cy="495300"/>
                <wp:effectExtent l="0" t="0" r="0" b="0"/>
                <wp:wrapNone/>
                <wp:docPr id="12" name="Quad Arrow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86" w:rsidRDefault="00E540E6">
                            <w:pPr>
                              <w:rPr>
                                <w:rFonts w:ascii="黑体" w:eastAsia="黑体" w:hAnsi="Arial" w:cs="Arial"/>
                                <w:b/>
                                <w:color w:val="FFFFFF"/>
                                <w:sz w:val="30"/>
                                <w:szCs w:val="30"/>
                              </w:rPr>
                            </w:pPr>
                            <w:r>
                              <w:rPr>
                                <w:rFonts w:ascii="黑体" w:eastAsia="黑体" w:hAnsi="Arial" w:cs="Arial" w:hint="eastAsia"/>
                                <w:b/>
                                <w:color w:val="FFFFFF"/>
                                <w:sz w:val="30"/>
                                <w:szCs w:val="30"/>
                              </w:rPr>
                              <w:t>201</w:t>
                            </w:r>
                            <w:r w:rsidR="00AE5C1A">
                              <w:rPr>
                                <w:rFonts w:ascii="黑体" w:eastAsia="黑体" w:hAnsi="Arial" w:cs="Arial"/>
                                <w:b/>
                                <w:color w:val="FFFFFF"/>
                                <w:sz w:val="30"/>
                                <w:szCs w:val="30"/>
                              </w:rPr>
                              <w:t>5</w:t>
                            </w:r>
                            <w:r>
                              <w:rPr>
                                <w:rFonts w:ascii="黑体" w:eastAsia="黑体" w:hAnsi="Arial" w:cs="Arial" w:hint="eastAsia"/>
                                <w:b/>
                                <w:color w:val="FFFFFF"/>
                                <w:sz w:val="30"/>
                                <w:szCs w:val="30"/>
                              </w:rPr>
                              <w:t>年</w:t>
                            </w:r>
                            <w:r w:rsidR="000F5D56">
                              <w:rPr>
                                <w:rFonts w:ascii="黑体" w:eastAsia="黑体" w:hAnsi="Arial" w:cs="Arial" w:hint="eastAsia"/>
                                <w:b/>
                                <w:color w:val="FFFFFF"/>
                                <w:sz w:val="30"/>
                                <w:szCs w:val="30"/>
                              </w:rPr>
                              <w:t>9</w:t>
                            </w:r>
                            <w:r>
                              <w:rPr>
                                <w:rFonts w:ascii="黑体" w:eastAsia="黑体" w:hAnsi="Arial" w:cs="Arial" w:hint="eastAsia"/>
                                <w:b/>
                                <w:color w:val="FFFFFF"/>
                                <w:sz w:val="30"/>
                                <w:szCs w:val="30"/>
                              </w:rPr>
                              <w:t>月</w:t>
                            </w:r>
                            <w:r w:rsidR="00D66BA5">
                              <w:rPr>
                                <w:rFonts w:ascii="黑体" w:eastAsia="黑体" w:hAnsi="Arial" w:cs="Arial"/>
                                <w:b/>
                                <w:color w:val="FFFFFF"/>
                                <w:sz w:val="30"/>
                                <w:szCs w:val="30"/>
                              </w:rPr>
                              <w:t>1</w:t>
                            </w:r>
                            <w:r w:rsidR="001B0AFB">
                              <w:rPr>
                                <w:rFonts w:ascii="黑体" w:eastAsia="黑体" w:hAnsi="Arial" w:cs="Arial"/>
                                <w:b/>
                                <w:color w:val="FFFFFF"/>
                                <w:sz w:val="30"/>
                                <w:szCs w:val="30"/>
                              </w:rPr>
                              <w:t>6</w:t>
                            </w:r>
                            <w:r>
                              <w:rPr>
                                <w:rFonts w:ascii="黑体" w:eastAsia="黑体" w:hAnsi="Arial" w:cs="Arial" w:hint="eastAsia"/>
                                <w:b/>
                                <w:color w:val="FFFFFF"/>
                                <w:sz w:val="30"/>
                                <w:szCs w:val="30"/>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 Arrow 12" o:spid="_x0000_s1028" type="#_x0000_t202" style="position:absolute;left:0;text-align:left;margin-left:381pt;margin-top:299.1pt;width:131.55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" filled="f" stroked="f">
                <v:textbox>
                  <w:txbxContent>
                    <w:p w:rsidR="00DA5386" w:rsidRDefault="00E540E6">
                      <w:pPr>
                        <w:rPr>
                          <w:rFonts w:ascii="黑体" w:eastAsia="黑体" w:hAnsi="Arial" w:cs="Arial"/>
                          <w:b/>
                          <w:color w:val="FFFFFF"/>
                          <w:sz w:val="30"/>
                          <w:szCs w:val="30"/>
                        </w:rPr>
                      </w:pPr>
                      <w:r>
                        <w:rPr>
                          <w:rFonts w:ascii="黑体" w:eastAsia="黑体" w:hAnsi="Arial" w:cs="Arial" w:hint="eastAsia"/>
                          <w:b/>
                          <w:color w:val="FFFFFF"/>
                          <w:sz w:val="30"/>
                          <w:szCs w:val="30"/>
                        </w:rPr>
                        <w:t>201</w:t>
                      </w:r>
                      <w:r w:rsidR="00AE5C1A">
                        <w:rPr>
                          <w:rFonts w:ascii="黑体" w:eastAsia="黑体" w:hAnsi="Arial" w:cs="Arial"/>
                          <w:b/>
                          <w:color w:val="FFFFFF"/>
                          <w:sz w:val="30"/>
                          <w:szCs w:val="30"/>
                        </w:rPr>
                        <w:t>5</w:t>
                      </w:r>
                      <w:r>
                        <w:rPr>
                          <w:rFonts w:ascii="黑体" w:eastAsia="黑体" w:hAnsi="Arial" w:cs="Arial" w:hint="eastAsia"/>
                          <w:b/>
                          <w:color w:val="FFFFFF"/>
                          <w:sz w:val="30"/>
                          <w:szCs w:val="30"/>
                        </w:rPr>
                        <w:t>年</w:t>
                      </w:r>
                      <w:r w:rsidR="000F5D56">
                        <w:rPr>
                          <w:rFonts w:ascii="黑体" w:eastAsia="黑体" w:hAnsi="Arial" w:cs="Arial" w:hint="eastAsia"/>
                          <w:b/>
                          <w:color w:val="FFFFFF"/>
                          <w:sz w:val="30"/>
                          <w:szCs w:val="30"/>
                        </w:rPr>
                        <w:t>9</w:t>
                      </w:r>
                      <w:r>
                        <w:rPr>
                          <w:rFonts w:ascii="黑体" w:eastAsia="黑体" w:hAnsi="Arial" w:cs="Arial" w:hint="eastAsia"/>
                          <w:b/>
                          <w:color w:val="FFFFFF"/>
                          <w:sz w:val="30"/>
                          <w:szCs w:val="30"/>
                        </w:rPr>
                        <w:t>月</w:t>
                      </w:r>
                      <w:r w:rsidR="00D66BA5">
                        <w:rPr>
                          <w:rFonts w:ascii="黑体" w:eastAsia="黑体" w:hAnsi="Arial" w:cs="Arial"/>
                          <w:b/>
                          <w:color w:val="FFFFFF"/>
                          <w:sz w:val="30"/>
                          <w:szCs w:val="30"/>
                        </w:rPr>
                        <w:t>1</w:t>
                      </w:r>
                      <w:r w:rsidR="001B0AFB">
                        <w:rPr>
                          <w:rFonts w:ascii="黑体" w:eastAsia="黑体" w:hAnsi="Arial" w:cs="Arial"/>
                          <w:b/>
                          <w:color w:val="FFFFFF"/>
                          <w:sz w:val="30"/>
                          <w:szCs w:val="30"/>
                        </w:rPr>
                        <w:t>6</w:t>
                      </w:r>
                      <w:r>
                        <w:rPr>
                          <w:rFonts w:ascii="黑体" w:eastAsia="黑体" w:hAnsi="Arial" w:cs="Arial" w:hint="eastAsia"/>
                          <w:b/>
                          <w:color w:val="FFFFFF"/>
                          <w:sz w:val="30"/>
                          <w:szCs w:val="30"/>
                        </w:rPr>
                        <w:t>日</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ragraph">
                  <wp:posOffset>3691890</wp:posOffset>
                </wp:positionV>
                <wp:extent cx="4733925" cy="990600"/>
                <wp:effectExtent l="0" t="0" r="0" b="0"/>
                <wp:wrapNone/>
                <wp:docPr id="13" name="Quad Arrow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86" w:rsidRDefault="00D66BA5">
                            <w:pPr>
                              <w:rPr>
                                <w:rFonts w:ascii="宋体" w:hAnsi="宋体" w:cs="Arial"/>
                                <w:b/>
                                <w:color w:val="FFFFFF"/>
                                <w:sz w:val="52"/>
                                <w:szCs w:val="52"/>
                              </w:rPr>
                            </w:pPr>
                            <w:r>
                              <w:rPr>
                                <w:rFonts w:ascii="宋体" w:hAnsi="宋体" w:cs="Arial" w:hint="eastAsia"/>
                                <w:b/>
                                <w:color w:val="FFFFFF"/>
                                <w:sz w:val="52"/>
                                <w:szCs w:val="52"/>
                              </w:rPr>
                              <w:t>铁矿买1抛5</w:t>
                            </w:r>
                            <w:proofErr w:type="gramStart"/>
                            <w:r>
                              <w:rPr>
                                <w:rFonts w:ascii="宋体" w:hAnsi="宋体" w:cs="Arial" w:hint="eastAsia"/>
                                <w:b/>
                                <w:color w:val="FFFFFF"/>
                                <w:sz w:val="52"/>
                                <w:szCs w:val="52"/>
                              </w:rPr>
                              <w:t>正套</w:t>
                            </w:r>
                            <w:r w:rsidR="00A672CB">
                              <w:rPr>
                                <w:rFonts w:ascii="宋体" w:hAnsi="宋体" w:cs="Arial" w:hint="eastAsia"/>
                                <w:b/>
                                <w:color w:val="FFFFFF"/>
                                <w:sz w:val="52"/>
                                <w:szCs w:val="52"/>
                              </w:rPr>
                              <w:t>方案</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 Arrow 41" o:spid="_x0000_s1029" type="#_x0000_t202" style="position:absolute;left:0;text-align:left;margin-left:-16.5pt;margin-top:290.7pt;width:372.7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" filled="f" stroked="f">
                <v:textbox>
                  <w:txbxContent>
                    <w:p w:rsidR="00DA5386" w:rsidRDefault="00D66BA5">
                      <w:pPr>
                        <w:rPr>
                          <w:rFonts w:ascii="宋体" w:hAnsi="宋体" w:cs="Arial"/>
                          <w:b/>
                          <w:color w:val="FFFFFF"/>
                          <w:sz w:val="52"/>
                          <w:szCs w:val="52"/>
                        </w:rPr>
                      </w:pPr>
                      <w:r>
                        <w:rPr>
                          <w:rFonts w:ascii="宋体" w:hAnsi="宋体" w:cs="Arial" w:hint="eastAsia"/>
                          <w:b/>
                          <w:color w:val="FFFFFF"/>
                          <w:sz w:val="52"/>
                          <w:szCs w:val="52"/>
                        </w:rPr>
                        <w:t>铁矿买1抛5</w:t>
                      </w:r>
                      <w:proofErr w:type="gramStart"/>
                      <w:r>
                        <w:rPr>
                          <w:rFonts w:ascii="宋体" w:hAnsi="宋体" w:cs="Arial" w:hint="eastAsia"/>
                          <w:b/>
                          <w:color w:val="FFFFFF"/>
                          <w:sz w:val="52"/>
                          <w:szCs w:val="52"/>
                        </w:rPr>
                        <w:t>正套</w:t>
                      </w:r>
                      <w:r w:rsidR="00A672CB">
                        <w:rPr>
                          <w:rFonts w:ascii="宋体" w:hAnsi="宋体" w:cs="Arial" w:hint="eastAsia"/>
                          <w:b/>
                          <w:color w:val="FFFFFF"/>
                          <w:sz w:val="52"/>
                          <w:szCs w:val="52"/>
                        </w:rPr>
                        <w:t>方案</w:t>
                      </w:r>
                      <w:proofErr w:type="gramEnd"/>
                    </w:p>
                  </w:txbxContent>
                </v:textbox>
              </v:shape>
            </w:pict>
          </mc:Fallback>
        </mc:AlternateContent>
      </w:r>
      <w:r w:rsidR="00BD57A4">
        <w:rPr>
          <w:noProof/>
        </w:rPr>
        <w:drawing>
          <wp:anchor distT="0" distB="0" distL="114300" distR="114300" simplePos="0" relativeHeight="251660288" behindDoc="1" locked="0" layoutInCell="1" allowOverlap="1">
            <wp:simplePos x="0" y="0"/>
            <wp:positionH relativeFrom="column">
              <wp:posOffset>-733425</wp:posOffset>
            </wp:positionH>
            <wp:positionV relativeFrom="paragraph">
              <wp:posOffset>-1003300</wp:posOffset>
            </wp:positionV>
            <wp:extent cx="7632700" cy="10782300"/>
            <wp:effectExtent l="0" t="0" r="6350" b="0"/>
            <wp:wrapNone/>
            <wp:docPr id="1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0" cy="10782300"/>
                    </a:xfrm>
                    <a:prstGeom prst="rect">
                      <a:avLst/>
                    </a:prstGeom>
                    <a:noFill/>
                  </pic:spPr>
                </pic:pic>
              </a:graphicData>
            </a:graphic>
          </wp:anchor>
        </w:drawing>
      </w:r>
      <w:r w:rsidR="00E540E6">
        <w:br w:type="page"/>
      </w:r>
      <w:bookmarkStart w:id="0" w:name="_Toc408218155"/>
    </w:p>
    <w:bookmarkEnd w:id="0"/>
    <w:p w:rsidR="00BD57A4" w:rsidRDefault="000670D9" w:rsidP="00BD57A4">
      <w:pPr>
        <w:pStyle w:val="1"/>
        <w:numPr>
          <w:ilvl w:val="0"/>
          <w:numId w:val="4"/>
        </w:numPr>
        <w:spacing w:before="31" w:after="31"/>
      </w:pPr>
      <w:r>
        <w:rPr>
          <w:rFonts w:hint="eastAsia"/>
        </w:rPr>
        <w:lastRenderedPageBreak/>
        <w:t>投资</w:t>
      </w:r>
      <w:r w:rsidR="00BD57A4">
        <w:rPr>
          <w:rFonts w:hint="eastAsia"/>
        </w:rPr>
        <w:t>策略</w:t>
      </w:r>
    </w:p>
    <w:p w:rsidR="005F146B" w:rsidRDefault="00DC03D6" w:rsidP="00DC03D6">
      <w:pPr>
        <w:spacing w:line="360" w:lineRule="auto"/>
      </w:pPr>
      <w:r w:rsidRPr="005412EE">
        <w:rPr>
          <w:rFonts w:hint="eastAsia"/>
          <w:b/>
        </w:rPr>
        <w:t>操作策略</w:t>
      </w:r>
      <w:r>
        <w:rPr>
          <w:rFonts w:hint="eastAsia"/>
          <w:b/>
        </w:rPr>
        <w:t>：</w:t>
      </w:r>
      <w:r w:rsidR="00D66BA5">
        <w:rPr>
          <w:rFonts w:hint="eastAsia"/>
        </w:rPr>
        <w:t>买入</w:t>
      </w:r>
      <w:r w:rsidR="00D66BA5">
        <w:t>铁矿</w:t>
      </w:r>
      <w:r w:rsidR="00D66BA5">
        <w:rPr>
          <w:rFonts w:hint="eastAsia"/>
        </w:rPr>
        <w:t>1601</w:t>
      </w:r>
      <w:r w:rsidR="005F146B">
        <w:rPr>
          <w:rFonts w:hint="eastAsia"/>
        </w:rPr>
        <w:t>同时</w:t>
      </w:r>
      <w:r w:rsidR="00D66BA5">
        <w:rPr>
          <w:rFonts w:hint="eastAsia"/>
        </w:rPr>
        <w:t>卖出</w:t>
      </w:r>
      <w:r w:rsidR="005F146B">
        <w:rPr>
          <w:rFonts w:hint="eastAsia"/>
        </w:rPr>
        <w:t>1605</w:t>
      </w:r>
      <w:r w:rsidR="004E065D">
        <w:rPr>
          <w:rFonts w:hint="eastAsia"/>
        </w:rPr>
        <w:t>，</w:t>
      </w:r>
      <w:proofErr w:type="gramStart"/>
      <w:r w:rsidR="005F146B">
        <w:rPr>
          <w:rFonts w:hint="eastAsia"/>
        </w:rPr>
        <w:t>做价</w:t>
      </w:r>
      <w:proofErr w:type="gramEnd"/>
      <w:r w:rsidR="005F146B">
        <w:rPr>
          <w:rFonts w:hint="eastAsia"/>
        </w:rPr>
        <w:t>差扩大。</w:t>
      </w:r>
      <w:r w:rsidR="002B2951">
        <w:rPr>
          <w:rFonts w:hint="eastAsia"/>
        </w:rPr>
        <w:t>合约预计持有</w:t>
      </w:r>
      <w:r w:rsidR="002B2951">
        <w:rPr>
          <w:rFonts w:hint="eastAsia"/>
        </w:rPr>
        <w:t>2</w:t>
      </w:r>
      <w:r w:rsidR="002B2951">
        <w:t>-3</w:t>
      </w:r>
      <w:r w:rsidR="002B2951">
        <w:rPr>
          <w:rFonts w:hint="eastAsia"/>
        </w:rPr>
        <w:t>个月。</w:t>
      </w:r>
    </w:p>
    <w:p w:rsidR="002B2951" w:rsidRDefault="005F146B" w:rsidP="002B2951">
      <w:pPr>
        <w:spacing w:line="360" w:lineRule="auto"/>
        <w:ind w:firstLineChars="500" w:firstLine="1050"/>
      </w:pPr>
      <w:r>
        <w:rPr>
          <w:rFonts w:hint="eastAsia"/>
        </w:rPr>
        <w:t>进场价差</w:t>
      </w:r>
      <w:r w:rsidR="002B2951">
        <w:t>25</w:t>
      </w:r>
      <w:r w:rsidR="002B2951">
        <w:t>左右</w:t>
      </w:r>
      <w:r>
        <w:rPr>
          <w:rFonts w:hint="eastAsia"/>
        </w:rPr>
        <w:t>，目标价差</w:t>
      </w:r>
      <w:r>
        <w:rPr>
          <w:rFonts w:hint="eastAsia"/>
        </w:rPr>
        <w:t>50</w:t>
      </w:r>
      <w:r>
        <w:rPr>
          <w:rFonts w:hint="eastAsia"/>
        </w:rPr>
        <w:t>以上</w:t>
      </w:r>
      <w:r w:rsidR="00832E87">
        <w:rPr>
          <w:rFonts w:hint="eastAsia"/>
        </w:rPr>
        <w:t>，</w:t>
      </w:r>
      <w:r>
        <w:rPr>
          <w:rFonts w:hint="eastAsia"/>
        </w:rPr>
        <w:t>止损</w:t>
      </w:r>
      <w:r w:rsidR="002B2951">
        <w:t>15</w:t>
      </w:r>
      <w:r>
        <w:t>以下</w:t>
      </w:r>
      <w:r w:rsidR="004E065D">
        <w:rPr>
          <w:rFonts w:hint="eastAsia"/>
        </w:rPr>
        <w:t>。</w:t>
      </w:r>
    </w:p>
    <w:p w:rsidR="00DC03D6" w:rsidRDefault="002B2951" w:rsidP="002B2951">
      <w:pPr>
        <w:spacing w:line="360" w:lineRule="auto"/>
        <w:ind w:firstLineChars="500" w:firstLine="1050"/>
      </w:pPr>
      <w:r>
        <w:t>跨期合约收单边保证金</w:t>
      </w:r>
      <w:r>
        <w:rPr>
          <w:rFonts w:hint="eastAsia"/>
        </w:rPr>
        <w:t>，首次建仓</w:t>
      </w:r>
      <w:r w:rsidR="00444056">
        <w:t>20</w:t>
      </w:r>
      <w:r>
        <w:rPr>
          <w:rFonts w:hint="eastAsia"/>
        </w:rPr>
        <w:t>%</w:t>
      </w:r>
      <w:r>
        <w:rPr>
          <w:rFonts w:hint="eastAsia"/>
        </w:rPr>
        <w:t>，最终</w:t>
      </w:r>
      <w:proofErr w:type="gramStart"/>
      <w:r>
        <w:rPr>
          <w:rFonts w:hint="eastAsia"/>
        </w:rPr>
        <w:t>仓位</w:t>
      </w:r>
      <w:proofErr w:type="gramEnd"/>
      <w:r>
        <w:rPr>
          <w:rFonts w:hint="eastAsia"/>
        </w:rPr>
        <w:t>不超过</w:t>
      </w:r>
      <w:r w:rsidR="00444056">
        <w:t>4</w:t>
      </w:r>
      <w:r>
        <w:rPr>
          <w:rFonts w:hint="eastAsia"/>
        </w:rPr>
        <w:t>0%</w:t>
      </w:r>
      <w:r>
        <w:rPr>
          <w:rFonts w:hint="eastAsia"/>
        </w:rPr>
        <w:t>。</w:t>
      </w:r>
    </w:p>
    <w:p w:rsidR="00154143" w:rsidRDefault="00154143" w:rsidP="00DC03D6">
      <w:pPr>
        <w:spacing w:line="360" w:lineRule="auto"/>
      </w:pPr>
      <w:r w:rsidRPr="00154143">
        <w:rPr>
          <w:rFonts w:hint="eastAsia"/>
          <w:b/>
        </w:rPr>
        <w:t>推荐级别</w:t>
      </w:r>
      <w:r w:rsidR="00117F43" w:rsidRPr="007D77A9">
        <w:rPr>
          <w:rFonts w:hint="eastAsia"/>
          <w:b/>
        </w:rPr>
        <w:t>：一般推荐</w:t>
      </w:r>
    </w:p>
    <w:p w:rsidR="008637F9" w:rsidRDefault="00CB2CD5" w:rsidP="005412EE">
      <w:pPr>
        <w:pStyle w:val="a9"/>
        <w:numPr>
          <w:ilvl w:val="0"/>
          <w:numId w:val="4"/>
        </w:numPr>
        <w:spacing w:line="360" w:lineRule="auto"/>
        <w:ind w:firstLineChars="0"/>
        <w:rPr>
          <w:b/>
          <w:sz w:val="32"/>
          <w:szCs w:val="32"/>
        </w:rPr>
      </w:pPr>
      <w:r>
        <w:rPr>
          <w:rFonts w:hint="eastAsia"/>
          <w:b/>
          <w:sz w:val="32"/>
          <w:szCs w:val="32"/>
        </w:rPr>
        <w:t>主要逻辑</w:t>
      </w:r>
    </w:p>
    <w:p w:rsidR="002D14C1" w:rsidRPr="00AE5C1A" w:rsidRDefault="00A2041B" w:rsidP="00AE5C1A">
      <w:pPr>
        <w:spacing w:line="360" w:lineRule="auto"/>
        <w:ind w:firstLineChars="200" w:firstLine="422"/>
        <w:rPr>
          <w:b/>
          <w:szCs w:val="21"/>
        </w:rPr>
      </w:pPr>
      <w:r>
        <w:rPr>
          <w:b/>
          <w:szCs w:val="21"/>
        </w:rPr>
        <w:t>1</w:t>
      </w:r>
      <w:r>
        <w:rPr>
          <w:rFonts w:hint="eastAsia"/>
          <w:b/>
          <w:szCs w:val="21"/>
        </w:rPr>
        <w:t>、</w:t>
      </w:r>
      <w:r w:rsidR="00447A35">
        <w:rPr>
          <w:rFonts w:hint="eastAsia"/>
          <w:b/>
          <w:szCs w:val="21"/>
        </w:rPr>
        <w:t>四季度</w:t>
      </w:r>
      <w:r w:rsidR="00877E0A">
        <w:rPr>
          <w:rFonts w:hint="eastAsia"/>
          <w:b/>
          <w:szCs w:val="21"/>
        </w:rPr>
        <w:t>铁矿</w:t>
      </w:r>
      <w:r w:rsidR="00823759">
        <w:rPr>
          <w:rFonts w:hint="eastAsia"/>
          <w:b/>
          <w:szCs w:val="21"/>
        </w:rPr>
        <w:t>供需格局</w:t>
      </w:r>
      <w:r w:rsidR="00447A35">
        <w:rPr>
          <w:rFonts w:hint="eastAsia"/>
          <w:b/>
          <w:szCs w:val="21"/>
        </w:rPr>
        <w:t>好于明年</w:t>
      </w:r>
    </w:p>
    <w:p w:rsidR="001943EE" w:rsidRDefault="006D1978" w:rsidP="00E50311">
      <w:pPr>
        <w:spacing w:line="360" w:lineRule="auto"/>
        <w:ind w:firstLineChars="200" w:firstLine="420"/>
      </w:pPr>
      <w:r w:rsidRPr="006D1978">
        <w:rPr>
          <w:rFonts w:hint="eastAsia"/>
        </w:rPr>
        <w:t>在过去的上半年，尽管矿石价格处于不断下跌中，但是根据不断下降的港口库存量，我们还是能够推导出铁矿上半年的供给和需求</w:t>
      </w:r>
      <w:proofErr w:type="gramStart"/>
      <w:r w:rsidRPr="006D1978">
        <w:rPr>
          <w:rFonts w:hint="eastAsia"/>
        </w:rPr>
        <w:t>变动量紧平衡</w:t>
      </w:r>
      <w:proofErr w:type="gramEnd"/>
      <w:r w:rsidRPr="006D1978">
        <w:rPr>
          <w:rFonts w:hint="eastAsia"/>
        </w:rPr>
        <w:t>的结论，因而我们看到了近期港口货源紧张局面以及铁矿现货成交指数加</w:t>
      </w:r>
      <w:r w:rsidRPr="006D1978">
        <w:rPr>
          <w:rFonts w:hint="eastAsia"/>
        </w:rPr>
        <w:t>3</w:t>
      </w:r>
      <w:r w:rsidRPr="006D1978">
        <w:rPr>
          <w:rFonts w:hint="eastAsia"/>
        </w:rPr>
        <w:t>的罕见情形。具体的原因是被挤出的高成本国产矿以及非主流进口矿的总量高于主流矿新增量，导致矿石的总供给量减少，进而供需紧平衡的局面。四季度，在下游需求没有加速萎缩的前提下，我们预计供需格局基本与三季度持平</w:t>
      </w:r>
      <w:r w:rsidR="00823759">
        <w:rPr>
          <w:rFonts w:hint="eastAsia"/>
        </w:rPr>
        <w:t>，但明年供需格局</w:t>
      </w:r>
      <w:proofErr w:type="gramStart"/>
      <w:r w:rsidR="00823759">
        <w:rPr>
          <w:rFonts w:hint="eastAsia"/>
        </w:rPr>
        <w:t>较当前转</w:t>
      </w:r>
      <w:proofErr w:type="gramEnd"/>
      <w:r w:rsidR="00823759">
        <w:rPr>
          <w:rFonts w:hint="eastAsia"/>
        </w:rPr>
        <w:t>差。主要原因如下：</w:t>
      </w:r>
    </w:p>
    <w:p w:rsidR="007B0828" w:rsidRDefault="009518EB" w:rsidP="009959C6">
      <w:pPr>
        <w:spacing w:line="360" w:lineRule="auto"/>
        <w:ind w:firstLineChars="200" w:firstLine="420"/>
      </w:pPr>
      <w:r>
        <w:t>首先</w:t>
      </w:r>
      <w:r w:rsidR="00823759">
        <w:rPr>
          <w:rFonts w:hint="eastAsia"/>
        </w:rPr>
        <w:t>，</w:t>
      </w:r>
      <w:r w:rsidR="00AC41A2">
        <w:rPr>
          <w:rFonts w:hint="eastAsia"/>
        </w:rPr>
        <w:t>从供给角度来看，</w:t>
      </w:r>
      <w:r w:rsidR="00823759">
        <w:rPr>
          <w:rFonts w:hint="eastAsia"/>
        </w:rPr>
        <w:t>随着矿山新增产能的不断释放，</w:t>
      </w:r>
      <w:r w:rsidR="00823759">
        <w:rPr>
          <w:rFonts w:hint="eastAsia"/>
        </w:rPr>
        <w:t>1605</w:t>
      </w:r>
      <w:r w:rsidR="00823759">
        <w:rPr>
          <w:rFonts w:hint="eastAsia"/>
        </w:rPr>
        <w:t>对应的供应会多于</w:t>
      </w:r>
      <w:r w:rsidR="00823759">
        <w:rPr>
          <w:rFonts w:hint="eastAsia"/>
        </w:rPr>
        <w:t>1601</w:t>
      </w:r>
      <w:r w:rsidR="00823759">
        <w:rPr>
          <w:rFonts w:hint="eastAsia"/>
        </w:rPr>
        <w:t>合约。</w:t>
      </w:r>
      <w:r w:rsidR="00877E0A">
        <w:rPr>
          <w:rFonts w:hint="eastAsia"/>
        </w:rPr>
        <w:t>在今年上半年的低价竞争下，国产高成本铁矿以及非主流进口矿被大量淘汰，剩下还在供应的矿山因各种原因具备相当的竞争力，因而在没有发生明显过剩的条件下，这些矿山退出市场的可能性比较小。</w:t>
      </w:r>
      <w:r w:rsidR="001878A0">
        <w:rPr>
          <w:rFonts w:hint="eastAsia"/>
        </w:rPr>
        <w:t>后面</w:t>
      </w:r>
      <w:r w:rsidR="007E2E63">
        <w:rPr>
          <w:rFonts w:hint="eastAsia"/>
        </w:rPr>
        <w:t>我们预计矿山淘汰的速度将逐渐变慢，因而</w:t>
      </w:r>
      <w:r w:rsidR="007E2E63">
        <w:rPr>
          <w:rFonts w:hint="eastAsia"/>
        </w:rPr>
        <w:t>随着矿山新增产能的不断释放，</w:t>
      </w:r>
      <w:r w:rsidR="001878A0">
        <w:rPr>
          <w:rFonts w:hint="eastAsia"/>
        </w:rPr>
        <w:t>产能可能会重新进入累积，</w:t>
      </w:r>
      <w:r w:rsidR="007E2E63">
        <w:rPr>
          <w:rFonts w:hint="eastAsia"/>
        </w:rPr>
        <w:t>1605</w:t>
      </w:r>
      <w:r w:rsidR="007E2E63">
        <w:rPr>
          <w:rFonts w:hint="eastAsia"/>
        </w:rPr>
        <w:t>对应的</w:t>
      </w:r>
      <w:r w:rsidR="007E2E63">
        <w:rPr>
          <w:rFonts w:hint="eastAsia"/>
        </w:rPr>
        <w:t>周期的</w:t>
      </w:r>
      <w:r w:rsidR="007E2E63">
        <w:rPr>
          <w:rFonts w:hint="eastAsia"/>
        </w:rPr>
        <w:t>供应会多于</w:t>
      </w:r>
      <w:r w:rsidR="007E2E63">
        <w:rPr>
          <w:rFonts w:hint="eastAsia"/>
        </w:rPr>
        <w:t>今年四季度</w:t>
      </w:r>
      <w:r w:rsidR="007E2E63">
        <w:rPr>
          <w:rFonts w:hint="eastAsia"/>
        </w:rPr>
        <w:t>。</w:t>
      </w:r>
    </w:p>
    <w:tbl>
      <w:tblPr>
        <w:tblW w:w="0" w:type="auto"/>
        <w:jc w:val="center"/>
        <w:tblBorders>
          <w:insideH w:val="single" w:sz="18" w:space="0" w:color="548DD4"/>
          <w:insideV w:val="single" w:sz="18" w:space="0" w:color="548DD4"/>
        </w:tblBorders>
        <w:tblLayout w:type="fixed"/>
        <w:tblLook w:val="0000" w:firstRow="0" w:lastRow="0" w:firstColumn="0" w:lastColumn="0" w:noHBand="0" w:noVBand="0"/>
      </w:tblPr>
      <w:tblGrid>
        <w:gridCol w:w="8853"/>
      </w:tblGrid>
      <w:tr w:rsidR="009602BD" w:rsidTr="00EC2840">
        <w:trPr>
          <w:trHeight w:val="240"/>
          <w:jc w:val="center"/>
        </w:trPr>
        <w:tc>
          <w:tcPr>
            <w:tcW w:w="8853" w:type="dxa"/>
          </w:tcPr>
          <w:p w:rsidR="009602BD" w:rsidRDefault="009602BD" w:rsidP="0039548A">
            <w:pPr>
              <w:pStyle w:val="aa"/>
            </w:pPr>
            <w:r>
              <w:rPr>
                <w:rFonts w:hint="eastAsia"/>
              </w:rPr>
              <w:t>表</w:t>
            </w:r>
            <w:r w:rsidR="0039548A">
              <w:t>1</w:t>
            </w:r>
            <w:r>
              <w:rPr>
                <w:rFonts w:hint="eastAsia"/>
              </w:rPr>
              <w:t>：</w:t>
            </w:r>
            <w:r>
              <w:t>年四大矿山铁矿供应增加量</w:t>
            </w:r>
            <w:r>
              <w:rPr>
                <w:rFonts w:hint="eastAsia"/>
              </w:rPr>
              <w:t>（</w:t>
            </w:r>
            <w:r w:rsidR="0039548A">
              <w:rPr>
                <w:rFonts w:hint="eastAsia"/>
              </w:rPr>
              <w:t>万</w:t>
            </w:r>
            <w:r>
              <w:t>吨</w:t>
            </w:r>
            <w:r>
              <w:rPr>
                <w:rFonts w:hint="eastAsia"/>
              </w:rPr>
              <w:t>）</w:t>
            </w:r>
          </w:p>
        </w:tc>
      </w:tr>
      <w:tr w:rsidR="009602BD" w:rsidRPr="008C1A19" w:rsidTr="00EC2840">
        <w:trPr>
          <w:trHeight w:val="1900"/>
          <w:jc w:val="center"/>
        </w:trPr>
        <w:tc>
          <w:tcPr>
            <w:tcW w:w="8853" w:type="dxa"/>
          </w:tcPr>
          <w:tbl>
            <w:tblPr>
              <w:tblW w:w="8246" w:type="dxa"/>
              <w:jc w:val="cente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1725"/>
              <w:gridCol w:w="1701"/>
              <w:gridCol w:w="1418"/>
              <w:gridCol w:w="1559"/>
              <w:gridCol w:w="1843"/>
            </w:tblGrid>
            <w:tr w:rsidR="0039548A" w:rsidRPr="009C1998" w:rsidTr="0039548A">
              <w:trPr>
                <w:trHeight w:val="219"/>
                <w:jc w:val="center"/>
              </w:trPr>
              <w:tc>
                <w:tcPr>
                  <w:tcW w:w="1725" w:type="dxa"/>
                  <w:tcBorders>
                    <w:bottom w:val="single" w:sz="12" w:space="0" w:color="9CC2E5"/>
                  </w:tcBorders>
                  <w:shd w:val="clear" w:color="auto" w:fill="auto"/>
                  <w:noWrap/>
                  <w:vAlign w:val="center"/>
                  <w:hideMark/>
                </w:tcPr>
                <w:p w:rsidR="0039548A" w:rsidRDefault="0039548A" w:rsidP="0039548A">
                  <w:pPr>
                    <w:widowControl/>
                    <w:rPr>
                      <w:b/>
                      <w:bCs/>
                      <w:color w:val="000000"/>
                      <w:kern w:val="0"/>
                      <w:szCs w:val="21"/>
                    </w:rPr>
                  </w:pPr>
                  <w:r>
                    <w:rPr>
                      <w:rFonts w:hint="eastAsia"/>
                      <w:b/>
                      <w:bCs/>
                      <w:color w:val="000000"/>
                      <w:szCs w:val="21"/>
                    </w:rPr>
                    <w:t xml:space="preserve">矿山　</w:t>
                  </w:r>
                </w:p>
              </w:tc>
              <w:tc>
                <w:tcPr>
                  <w:tcW w:w="1701" w:type="dxa"/>
                  <w:tcBorders>
                    <w:bottom w:val="single" w:sz="12" w:space="0" w:color="9CC2E5"/>
                  </w:tcBorders>
                  <w:shd w:val="clear" w:color="auto" w:fill="auto"/>
                  <w:noWrap/>
                  <w:vAlign w:val="center"/>
                  <w:hideMark/>
                </w:tcPr>
                <w:p w:rsidR="0039548A" w:rsidRDefault="0039548A" w:rsidP="0039548A">
                  <w:pPr>
                    <w:rPr>
                      <w:rFonts w:hint="eastAsia"/>
                      <w:b/>
                      <w:bCs/>
                      <w:color w:val="000000"/>
                      <w:szCs w:val="21"/>
                    </w:rPr>
                  </w:pPr>
                  <w:r>
                    <w:rPr>
                      <w:b/>
                      <w:bCs/>
                      <w:color w:val="000000"/>
                      <w:szCs w:val="21"/>
                    </w:rPr>
                    <w:t>2014</w:t>
                  </w:r>
                  <w:r>
                    <w:rPr>
                      <w:rFonts w:hint="eastAsia"/>
                      <w:b/>
                      <w:bCs/>
                      <w:color w:val="000000"/>
                      <w:szCs w:val="21"/>
                    </w:rPr>
                    <w:t>产量</w:t>
                  </w:r>
                </w:p>
              </w:tc>
              <w:tc>
                <w:tcPr>
                  <w:tcW w:w="1418" w:type="dxa"/>
                  <w:tcBorders>
                    <w:bottom w:val="single" w:sz="12" w:space="0" w:color="9CC2E5"/>
                  </w:tcBorders>
                  <w:shd w:val="clear" w:color="auto" w:fill="auto"/>
                  <w:noWrap/>
                  <w:vAlign w:val="center"/>
                  <w:hideMark/>
                </w:tcPr>
                <w:p w:rsidR="0039548A" w:rsidRDefault="0039548A" w:rsidP="0039548A">
                  <w:pPr>
                    <w:rPr>
                      <w:b/>
                      <w:bCs/>
                      <w:color w:val="000000"/>
                      <w:szCs w:val="21"/>
                    </w:rPr>
                  </w:pPr>
                  <w:r>
                    <w:rPr>
                      <w:b/>
                      <w:bCs/>
                      <w:color w:val="000000"/>
                      <w:szCs w:val="21"/>
                    </w:rPr>
                    <w:t>2015H1</w:t>
                  </w:r>
                </w:p>
              </w:tc>
              <w:tc>
                <w:tcPr>
                  <w:tcW w:w="1559" w:type="dxa"/>
                  <w:tcBorders>
                    <w:bottom w:val="single" w:sz="12" w:space="0" w:color="9CC2E5"/>
                  </w:tcBorders>
                  <w:shd w:val="clear" w:color="auto" w:fill="auto"/>
                  <w:noWrap/>
                  <w:vAlign w:val="center"/>
                  <w:hideMark/>
                </w:tcPr>
                <w:p w:rsidR="0039548A" w:rsidRDefault="0039548A" w:rsidP="0039548A">
                  <w:pPr>
                    <w:rPr>
                      <w:b/>
                      <w:bCs/>
                      <w:color w:val="000000"/>
                      <w:szCs w:val="21"/>
                    </w:rPr>
                  </w:pPr>
                  <w:r>
                    <w:rPr>
                      <w:b/>
                      <w:bCs/>
                      <w:color w:val="000000"/>
                      <w:szCs w:val="21"/>
                    </w:rPr>
                    <w:t>2015</w:t>
                  </w:r>
                  <w:proofErr w:type="gramStart"/>
                  <w:r>
                    <w:rPr>
                      <w:rFonts w:hint="eastAsia"/>
                      <w:b/>
                      <w:bCs/>
                      <w:color w:val="000000"/>
                      <w:szCs w:val="21"/>
                    </w:rPr>
                    <w:t>预增</w:t>
                  </w:r>
                  <w:proofErr w:type="gramEnd"/>
                </w:p>
              </w:tc>
              <w:tc>
                <w:tcPr>
                  <w:tcW w:w="1843" w:type="dxa"/>
                  <w:tcBorders>
                    <w:bottom w:val="single" w:sz="12" w:space="0" w:color="9CC2E5"/>
                  </w:tcBorders>
                  <w:shd w:val="clear" w:color="auto" w:fill="auto"/>
                  <w:noWrap/>
                  <w:vAlign w:val="center"/>
                  <w:hideMark/>
                </w:tcPr>
                <w:p w:rsidR="0039548A" w:rsidRDefault="0039548A" w:rsidP="0039548A">
                  <w:pPr>
                    <w:rPr>
                      <w:b/>
                      <w:bCs/>
                      <w:color w:val="000000"/>
                      <w:szCs w:val="21"/>
                    </w:rPr>
                  </w:pPr>
                  <w:r>
                    <w:rPr>
                      <w:b/>
                      <w:bCs/>
                      <w:color w:val="000000"/>
                      <w:szCs w:val="21"/>
                    </w:rPr>
                    <w:t>2016</w:t>
                  </w:r>
                  <w:proofErr w:type="gramStart"/>
                  <w:r>
                    <w:rPr>
                      <w:rFonts w:hint="eastAsia"/>
                      <w:b/>
                      <w:bCs/>
                      <w:color w:val="000000"/>
                      <w:szCs w:val="21"/>
                    </w:rPr>
                    <w:t>预增</w:t>
                  </w:r>
                  <w:proofErr w:type="gramEnd"/>
                </w:p>
              </w:tc>
            </w:tr>
            <w:tr w:rsidR="0039548A" w:rsidRPr="00CC6ED0" w:rsidTr="0039548A">
              <w:trPr>
                <w:trHeight w:val="219"/>
                <w:jc w:val="center"/>
              </w:trPr>
              <w:tc>
                <w:tcPr>
                  <w:tcW w:w="1725" w:type="dxa"/>
                  <w:shd w:val="clear" w:color="auto" w:fill="auto"/>
                  <w:noWrap/>
                  <w:vAlign w:val="center"/>
                  <w:hideMark/>
                </w:tcPr>
                <w:p w:rsidR="0039548A" w:rsidRDefault="0039548A" w:rsidP="0039548A">
                  <w:pPr>
                    <w:rPr>
                      <w:color w:val="000000"/>
                      <w:szCs w:val="21"/>
                    </w:rPr>
                  </w:pPr>
                  <w:r>
                    <w:rPr>
                      <w:color w:val="000000"/>
                      <w:szCs w:val="21"/>
                    </w:rPr>
                    <w:t>Rio Tinto</w:t>
                  </w:r>
                </w:p>
              </w:tc>
              <w:tc>
                <w:tcPr>
                  <w:tcW w:w="1701" w:type="dxa"/>
                  <w:shd w:val="clear" w:color="auto" w:fill="auto"/>
                  <w:noWrap/>
                  <w:vAlign w:val="center"/>
                  <w:hideMark/>
                </w:tcPr>
                <w:p w:rsidR="0039548A" w:rsidRDefault="0039548A" w:rsidP="0039548A">
                  <w:pPr>
                    <w:rPr>
                      <w:color w:val="000000"/>
                      <w:szCs w:val="21"/>
                    </w:rPr>
                  </w:pPr>
                  <w:r>
                    <w:rPr>
                      <w:color w:val="000000"/>
                      <w:szCs w:val="21"/>
                    </w:rPr>
                    <w:t>23356</w:t>
                  </w:r>
                </w:p>
              </w:tc>
              <w:tc>
                <w:tcPr>
                  <w:tcW w:w="1418" w:type="dxa"/>
                  <w:shd w:val="clear" w:color="auto" w:fill="auto"/>
                  <w:noWrap/>
                  <w:vAlign w:val="center"/>
                  <w:hideMark/>
                </w:tcPr>
                <w:p w:rsidR="0039548A" w:rsidRDefault="0039548A" w:rsidP="0039548A">
                  <w:pPr>
                    <w:rPr>
                      <w:color w:val="000000"/>
                      <w:szCs w:val="21"/>
                    </w:rPr>
                  </w:pPr>
                  <w:r>
                    <w:rPr>
                      <w:color w:val="000000"/>
                      <w:szCs w:val="21"/>
                    </w:rPr>
                    <w:t>12330</w:t>
                  </w:r>
                </w:p>
              </w:tc>
              <w:tc>
                <w:tcPr>
                  <w:tcW w:w="1559" w:type="dxa"/>
                  <w:shd w:val="clear" w:color="auto" w:fill="auto"/>
                  <w:noWrap/>
                  <w:vAlign w:val="center"/>
                  <w:hideMark/>
                </w:tcPr>
                <w:p w:rsidR="0039548A" w:rsidRDefault="0039548A" w:rsidP="0039548A">
                  <w:pPr>
                    <w:rPr>
                      <w:color w:val="000000"/>
                      <w:szCs w:val="21"/>
                    </w:rPr>
                  </w:pPr>
                  <w:r>
                    <w:rPr>
                      <w:color w:val="000000"/>
                      <w:szCs w:val="21"/>
                    </w:rPr>
                    <w:t>3,000</w:t>
                  </w:r>
                </w:p>
              </w:tc>
              <w:tc>
                <w:tcPr>
                  <w:tcW w:w="1843" w:type="dxa"/>
                  <w:shd w:val="clear" w:color="auto" w:fill="auto"/>
                  <w:noWrap/>
                  <w:vAlign w:val="center"/>
                  <w:hideMark/>
                </w:tcPr>
                <w:p w:rsidR="0039548A" w:rsidRDefault="0039548A" w:rsidP="0039548A">
                  <w:pPr>
                    <w:rPr>
                      <w:color w:val="000000"/>
                      <w:szCs w:val="21"/>
                    </w:rPr>
                  </w:pPr>
                  <w:r>
                    <w:rPr>
                      <w:color w:val="000000"/>
                      <w:szCs w:val="21"/>
                    </w:rPr>
                    <w:t>3,000</w:t>
                  </w:r>
                </w:p>
              </w:tc>
            </w:tr>
            <w:tr w:rsidR="0039548A" w:rsidRPr="00CC6ED0" w:rsidTr="0039548A">
              <w:trPr>
                <w:trHeight w:val="219"/>
                <w:jc w:val="center"/>
              </w:trPr>
              <w:tc>
                <w:tcPr>
                  <w:tcW w:w="1725" w:type="dxa"/>
                  <w:shd w:val="clear" w:color="auto" w:fill="auto"/>
                  <w:noWrap/>
                  <w:vAlign w:val="center"/>
                  <w:hideMark/>
                </w:tcPr>
                <w:p w:rsidR="0039548A" w:rsidRDefault="0039548A" w:rsidP="0039548A">
                  <w:pPr>
                    <w:rPr>
                      <w:color w:val="000000"/>
                      <w:szCs w:val="21"/>
                    </w:rPr>
                  </w:pPr>
                  <w:r>
                    <w:rPr>
                      <w:color w:val="000000"/>
                      <w:szCs w:val="21"/>
                    </w:rPr>
                    <w:t>BHP</w:t>
                  </w:r>
                </w:p>
              </w:tc>
              <w:tc>
                <w:tcPr>
                  <w:tcW w:w="1701" w:type="dxa"/>
                  <w:shd w:val="clear" w:color="auto" w:fill="auto"/>
                  <w:noWrap/>
                  <w:vAlign w:val="center"/>
                  <w:hideMark/>
                </w:tcPr>
                <w:p w:rsidR="0039548A" w:rsidRDefault="0039548A" w:rsidP="0039548A">
                  <w:pPr>
                    <w:rPr>
                      <w:color w:val="000000"/>
                      <w:szCs w:val="21"/>
                    </w:rPr>
                  </w:pPr>
                  <w:r>
                    <w:rPr>
                      <w:color w:val="000000"/>
                      <w:szCs w:val="21"/>
                    </w:rPr>
                    <w:t>21937</w:t>
                  </w:r>
                </w:p>
              </w:tc>
              <w:tc>
                <w:tcPr>
                  <w:tcW w:w="1418" w:type="dxa"/>
                  <w:shd w:val="clear" w:color="auto" w:fill="auto"/>
                  <w:noWrap/>
                  <w:vAlign w:val="center"/>
                  <w:hideMark/>
                </w:tcPr>
                <w:p w:rsidR="0039548A" w:rsidRDefault="0039548A" w:rsidP="0039548A">
                  <w:pPr>
                    <w:rPr>
                      <w:color w:val="000000"/>
                      <w:szCs w:val="21"/>
                    </w:rPr>
                  </w:pPr>
                  <w:r>
                    <w:rPr>
                      <w:color w:val="000000"/>
                      <w:szCs w:val="21"/>
                    </w:rPr>
                    <w:t>11906</w:t>
                  </w:r>
                </w:p>
              </w:tc>
              <w:tc>
                <w:tcPr>
                  <w:tcW w:w="1559" w:type="dxa"/>
                  <w:shd w:val="clear" w:color="auto" w:fill="auto"/>
                  <w:noWrap/>
                  <w:vAlign w:val="center"/>
                  <w:hideMark/>
                </w:tcPr>
                <w:p w:rsidR="0039548A" w:rsidRDefault="0039548A" w:rsidP="0039548A">
                  <w:pPr>
                    <w:rPr>
                      <w:color w:val="000000"/>
                      <w:szCs w:val="21"/>
                    </w:rPr>
                  </w:pPr>
                  <w:r>
                    <w:rPr>
                      <w:color w:val="000000"/>
                      <w:szCs w:val="21"/>
                    </w:rPr>
                    <w:t>2,000</w:t>
                  </w:r>
                </w:p>
              </w:tc>
              <w:tc>
                <w:tcPr>
                  <w:tcW w:w="1843" w:type="dxa"/>
                  <w:shd w:val="clear" w:color="auto" w:fill="auto"/>
                  <w:noWrap/>
                  <w:vAlign w:val="center"/>
                  <w:hideMark/>
                </w:tcPr>
                <w:p w:rsidR="0039548A" w:rsidRDefault="0039548A" w:rsidP="0039548A">
                  <w:pPr>
                    <w:rPr>
                      <w:color w:val="000000"/>
                      <w:szCs w:val="21"/>
                    </w:rPr>
                  </w:pPr>
                  <w:r>
                    <w:rPr>
                      <w:color w:val="000000"/>
                      <w:szCs w:val="21"/>
                    </w:rPr>
                    <w:t>1,000</w:t>
                  </w:r>
                </w:p>
              </w:tc>
            </w:tr>
            <w:tr w:rsidR="0039548A" w:rsidRPr="00CC6ED0" w:rsidTr="0039548A">
              <w:trPr>
                <w:trHeight w:val="219"/>
                <w:jc w:val="center"/>
              </w:trPr>
              <w:tc>
                <w:tcPr>
                  <w:tcW w:w="1725" w:type="dxa"/>
                  <w:shd w:val="clear" w:color="auto" w:fill="auto"/>
                  <w:noWrap/>
                  <w:vAlign w:val="center"/>
                  <w:hideMark/>
                </w:tcPr>
                <w:p w:rsidR="0039548A" w:rsidRDefault="0039548A" w:rsidP="0039548A">
                  <w:pPr>
                    <w:rPr>
                      <w:color w:val="000000"/>
                      <w:szCs w:val="21"/>
                    </w:rPr>
                  </w:pPr>
                  <w:r>
                    <w:rPr>
                      <w:color w:val="000000"/>
                      <w:szCs w:val="21"/>
                    </w:rPr>
                    <w:t>VALE</w:t>
                  </w:r>
                </w:p>
              </w:tc>
              <w:tc>
                <w:tcPr>
                  <w:tcW w:w="1701" w:type="dxa"/>
                  <w:shd w:val="clear" w:color="auto" w:fill="auto"/>
                  <w:noWrap/>
                  <w:vAlign w:val="center"/>
                  <w:hideMark/>
                </w:tcPr>
                <w:p w:rsidR="0039548A" w:rsidRDefault="0039548A" w:rsidP="0039548A">
                  <w:pPr>
                    <w:rPr>
                      <w:color w:val="000000"/>
                      <w:szCs w:val="21"/>
                    </w:rPr>
                  </w:pPr>
                  <w:r>
                    <w:rPr>
                      <w:color w:val="000000"/>
                      <w:szCs w:val="21"/>
                    </w:rPr>
                    <w:t>31921</w:t>
                  </w:r>
                </w:p>
              </w:tc>
              <w:tc>
                <w:tcPr>
                  <w:tcW w:w="1418" w:type="dxa"/>
                  <w:shd w:val="clear" w:color="auto" w:fill="auto"/>
                  <w:noWrap/>
                  <w:vAlign w:val="center"/>
                  <w:hideMark/>
                </w:tcPr>
                <w:p w:rsidR="0039548A" w:rsidRDefault="0039548A" w:rsidP="0039548A">
                  <w:pPr>
                    <w:rPr>
                      <w:color w:val="000000"/>
                      <w:szCs w:val="21"/>
                    </w:rPr>
                  </w:pPr>
                  <w:r>
                    <w:rPr>
                      <w:color w:val="000000"/>
                      <w:szCs w:val="21"/>
                    </w:rPr>
                    <w:t>159813</w:t>
                  </w:r>
                </w:p>
              </w:tc>
              <w:tc>
                <w:tcPr>
                  <w:tcW w:w="1559" w:type="dxa"/>
                  <w:shd w:val="clear" w:color="auto" w:fill="auto"/>
                  <w:noWrap/>
                  <w:vAlign w:val="center"/>
                  <w:hideMark/>
                </w:tcPr>
                <w:p w:rsidR="0039548A" w:rsidRDefault="0039548A" w:rsidP="0039548A">
                  <w:pPr>
                    <w:rPr>
                      <w:color w:val="000000"/>
                      <w:szCs w:val="21"/>
                    </w:rPr>
                  </w:pPr>
                  <w:r>
                    <w:rPr>
                      <w:color w:val="000000"/>
                      <w:szCs w:val="21"/>
                    </w:rPr>
                    <w:t>3,000</w:t>
                  </w:r>
                </w:p>
              </w:tc>
              <w:tc>
                <w:tcPr>
                  <w:tcW w:w="1843" w:type="dxa"/>
                  <w:shd w:val="clear" w:color="auto" w:fill="auto"/>
                  <w:noWrap/>
                  <w:vAlign w:val="center"/>
                  <w:hideMark/>
                </w:tcPr>
                <w:p w:rsidR="0039548A" w:rsidRDefault="0039548A" w:rsidP="0039548A">
                  <w:pPr>
                    <w:rPr>
                      <w:color w:val="000000"/>
                      <w:szCs w:val="21"/>
                    </w:rPr>
                  </w:pPr>
                  <w:r>
                    <w:rPr>
                      <w:color w:val="000000"/>
                      <w:szCs w:val="21"/>
                    </w:rPr>
                    <w:t>3,500</w:t>
                  </w:r>
                </w:p>
              </w:tc>
            </w:tr>
            <w:tr w:rsidR="0039548A" w:rsidRPr="00CC6ED0" w:rsidTr="0039548A">
              <w:trPr>
                <w:trHeight w:val="219"/>
                <w:jc w:val="center"/>
              </w:trPr>
              <w:tc>
                <w:tcPr>
                  <w:tcW w:w="1725" w:type="dxa"/>
                  <w:shd w:val="clear" w:color="auto" w:fill="auto"/>
                  <w:noWrap/>
                  <w:vAlign w:val="center"/>
                  <w:hideMark/>
                </w:tcPr>
                <w:p w:rsidR="0039548A" w:rsidRDefault="0039548A" w:rsidP="0039548A">
                  <w:pPr>
                    <w:rPr>
                      <w:color w:val="000000"/>
                      <w:szCs w:val="21"/>
                    </w:rPr>
                  </w:pPr>
                  <w:r>
                    <w:rPr>
                      <w:color w:val="000000"/>
                      <w:szCs w:val="21"/>
                    </w:rPr>
                    <w:t>FMG</w:t>
                  </w:r>
                </w:p>
              </w:tc>
              <w:tc>
                <w:tcPr>
                  <w:tcW w:w="1701" w:type="dxa"/>
                  <w:shd w:val="clear" w:color="auto" w:fill="auto"/>
                  <w:noWrap/>
                  <w:vAlign w:val="center"/>
                  <w:hideMark/>
                </w:tcPr>
                <w:p w:rsidR="0039548A" w:rsidRDefault="0039548A" w:rsidP="0039548A">
                  <w:pPr>
                    <w:rPr>
                      <w:color w:val="000000"/>
                      <w:szCs w:val="21"/>
                    </w:rPr>
                  </w:pPr>
                  <w:r>
                    <w:rPr>
                      <w:color w:val="000000"/>
                      <w:szCs w:val="21"/>
                    </w:rPr>
                    <w:t>15990</w:t>
                  </w:r>
                </w:p>
              </w:tc>
              <w:tc>
                <w:tcPr>
                  <w:tcW w:w="1418" w:type="dxa"/>
                  <w:shd w:val="clear" w:color="auto" w:fill="auto"/>
                  <w:noWrap/>
                  <w:vAlign w:val="center"/>
                  <w:hideMark/>
                </w:tcPr>
                <w:p w:rsidR="0039548A" w:rsidRDefault="0039548A" w:rsidP="0039548A">
                  <w:pPr>
                    <w:rPr>
                      <w:color w:val="000000"/>
                      <w:szCs w:val="21"/>
                    </w:rPr>
                  </w:pPr>
                  <w:r>
                    <w:rPr>
                      <w:color w:val="000000"/>
                      <w:szCs w:val="21"/>
                    </w:rPr>
                    <w:t>7760</w:t>
                  </w:r>
                </w:p>
              </w:tc>
              <w:tc>
                <w:tcPr>
                  <w:tcW w:w="1559" w:type="dxa"/>
                  <w:shd w:val="clear" w:color="auto" w:fill="auto"/>
                  <w:noWrap/>
                  <w:vAlign w:val="center"/>
                  <w:hideMark/>
                </w:tcPr>
                <w:p w:rsidR="0039548A" w:rsidRDefault="0039548A" w:rsidP="0039548A">
                  <w:pPr>
                    <w:rPr>
                      <w:color w:val="000000"/>
                      <w:szCs w:val="21"/>
                    </w:rPr>
                  </w:pPr>
                  <w:r>
                    <w:rPr>
                      <w:color w:val="000000"/>
                      <w:szCs w:val="21"/>
                    </w:rPr>
                    <w:t>500</w:t>
                  </w:r>
                </w:p>
              </w:tc>
              <w:tc>
                <w:tcPr>
                  <w:tcW w:w="1843" w:type="dxa"/>
                  <w:shd w:val="clear" w:color="auto" w:fill="auto"/>
                  <w:noWrap/>
                  <w:vAlign w:val="center"/>
                  <w:hideMark/>
                </w:tcPr>
                <w:p w:rsidR="0039548A" w:rsidRDefault="0039548A" w:rsidP="0039548A">
                  <w:pPr>
                    <w:rPr>
                      <w:color w:val="000000"/>
                      <w:szCs w:val="21"/>
                    </w:rPr>
                  </w:pPr>
                  <w:r>
                    <w:rPr>
                      <w:color w:val="000000"/>
                      <w:szCs w:val="21"/>
                    </w:rPr>
                    <w:t>0</w:t>
                  </w:r>
                </w:p>
              </w:tc>
            </w:tr>
            <w:tr w:rsidR="0039548A" w:rsidRPr="00CC6ED0" w:rsidTr="0039548A">
              <w:trPr>
                <w:trHeight w:val="219"/>
                <w:jc w:val="center"/>
              </w:trPr>
              <w:tc>
                <w:tcPr>
                  <w:tcW w:w="1725" w:type="dxa"/>
                  <w:shd w:val="clear" w:color="auto" w:fill="auto"/>
                  <w:noWrap/>
                  <w:vAlign w:val="center"/>
                  <w:hideMark/>
                </w:tcPr>
                <w:p w:rsidR="0039548A" w:rsidRDefault="0039548A" w:rsidP="0039548A">
                  <w:pPr>
                    <w:rPr>
                      <w:rFonts w:ascii="宋体" w:hAnsi="宋体" w:cs="宋体"/>
                      <w:color w:val="000000"/>
                      <w:szCs w:val="21"/>
                    </w:rPr>
                  </w:pPr>
                  <w:r>
                    <w:rPr>
                      <w:rFonts w:hint="eastAsia"/>
                      <w:color w:val="000000"/>
                      <w:szCs w:val="21"/>
                    </w:rPr>
                    <w:t>合计</w:t>
                  </w:r>
                </w:p>
              </w:tc>
              <w:tc>
                <w:tcPr>
                  <w:tcW w:w="1701" w:type="dxa"/>
                  <w:shd w:val="clear" w:color="auto" w:fill="auto"/>
                  <w:noWrap/>
                  <w:vAlign w:val="center"/>
                  <w:hideMark/>
                </w:tcPr>
                <w:p w:rsidR="0039548A" w:rsidRDefault="0039548A" w:rsidP="0039548A">
                  <w:pPr>
                    <w:rPr>
                      <w:rFonts w:hint="eastAsia"/>
                      <w:color w:val="000000"/>
                      <w:szCs w:val="21"/>
                    </w:rPr>
                  </w:pPr>
                  <w:r>
                    <w:rPr>
                      <w:color w:val="000000"/>
                      <w:szCs w:val="21"/>
                    </w:rPr>
                    <w:t>93204</w:t>
                  </w:r>
                </w:p>
              </w:tc>
              <w:tc>
                <w:tcPr>
                  <w:tcW w:w="1418" w:type="dxa"/>
                  <w:shd w:val="clear" w:color="auto" w:fill="auto"/>
                  <w:noWrap/>
                  <w:vAlign w:val="center"/>
                  <w:hideMark/>
                </w:tcPr>
                <w:p w:rsidR="0039548A" w:rsidRDefault="0039548A" w:rsidP="0039548A">
                  <w:pPr>
                    <w:rPr>
                      <w:color w:val="000000"/>
                      <w:szCs w:val="21"/>
                    </w:rPr>
                  </w:pPr>
                  <w:r>
                    <w:rPr>
                      <w:color w:val="000000"/>
                      <w:szCs w:val="21"/>
                    </w:rPr>
                    <w:t>191809</w:t>
                  </w:r>
                </w:p>
              </w:tc>
              <w:tc>
                <w:tcPr>
                  <w:tcW w:w="1559" w:type="dxa"/>
                  <w:shd w:val="clear" w:color="auto" w:fill="auto"/>
                  <w:noWrap/>
                  <w:vAlign w:val="center"/>
                  <w:hideMark/>
                </w:tcPr>
                <w:p w:rsidR="0039548A" w:rsidRDefault="0039548A" w:rsidP="0039548A">
                  <w:pPr>
                    <w:rPr>
                      <w:color w:val="000000"/>
                      <w:szCs w:val="21"/>
                    </w:rPr>
                  </w:pPr>
                  <w:r>
                    <w:rPr>
                      <w:color w:val="000000"/>
                      <w:szCs w:val="21"/>
                    </w:rPr>
                    <w:t>8500</w:t>
                  </w:r>
                </w:p>
              </w:tc>
              <w:tc>
                <w:tcPr>
                  <w:tcW w:w="1843" w:type="dxa"/>
                  <w:shd w:val="clear" w:color="auto" w:fill="auto"/>
                  <w:noWrap/>
                  <w:vAlign w:val="center"/>
                  <w:hideMark/>
                </w:tcPr>
                <w:p w:rsidR="0039548A" w:rsidRDefault="0039548A" w:rsidP="0039548A">
                  <w:pPr>
                    <w:rPr>
                      <w:color w:val="000000"/>
                      <w:szCs w:val="21"/>
                    </w:rPr>
                  </w:pPr>
                  <w:r>
                    <w:rPr>
                      <w:color w:val="000000"/>
                      <w:szCs w:val="21"/>
                    </w:rPr>
                    <w:t>7500</w:t>
                  </w:r>
                </w:p>
              </w:tc>
            </w:tr>
          </w:tbl>
          <w:p w:rsidR="009602BD" w:rsidRPr="008C1A19" w:rsidRDefault="009602BD" w:rsidP="00EC2840">
            <w:pPr>
              <w:ind w:firstLine="420"/>
              <w:rPr>
                <w:rFonts w:hint="eastAsia"/>
              </w:rPr>
            </w:pPr>
          </w:p>
        </w:tc>
      </w:tr>
      <w:tr w:rsidR="009602BD" w:rsidTr="00EC2840">
        <w:trPr>
          <w:trHeight w:val="228"/>
          <w:jc w:val="center"/>
        </w:trPr>
        <w:tc>
          <w:tcPr>
            <w:tcW w:w="8853" w:type="dxa"/>
          </w:tcPr>
          <w:p w:rsidR="009602BD" w:rsidRDefault="009602BD" w:rsidP="00EC2840">
            <w:pPr>
              <w:pStyle w:val="aa"/>
            </w:pPr>
            <w:r>
              <w:rPr>
                <w:rFonts w:hint="eastAsia"/>
              </w:rPr>
              <w:t>数据来源：</w:t>
            </w:r>
            <w:r>
              <w:rPr>
                <w:rFonts w:hint="eastAsia"/>
              </w:rPr>
              <w:t>w</w:t>
            </w:r>
            <w:r>
              <w:t>ind</w:t>
            </w:r>
            <w:r>
              <w:rPr>
                <w:rFonts w:hint="eastAsia"/>
              </w:rPr>
              <w:t xml:space="preserve"> </w:t>
            </w:r>
            <w:r>
              <w:t>建信期货</w:t>
            </w:r>
          </w:p>
        </w:tc>
      </w:tr>
    </w:tbl>
    <w:p w:rsidR="00903B0C" w:rsidRDefault="00823759" w:rsidP="00903B0C">
      <w:pPr>
        <w:spacing w:line="360" w:lineRule="auto"/>
        <w:ind w:firstLineChars="200" w:firstLine="420"/>
      </w:pPr>
      <w:r>
        <w:rPr>
          <w:rFonts w:hint="eastAsia"/>
        </w:rPr>
        <w:t>第二，</w:t>
      </w:r>
      <w:r w:rsidR="00AC41A2">
        <w:rPr>
          <w:rFonts w:hint="eastAsia"/>
        </w:rPr>
        <w:t>从需求角度来看，中国经济下滑的实情正在延续</w:t>
      </w:r>
      <w:r w:rsidR="00903B0C">
        <w:rPr>
          <w:rFonts w:hint="eastAsia"/>
        </w:rPr>
        <w:t>。目前主要用钢行业中除了基建外都在大幅下滑，从各项指标暂时看不到好转的迹象，终端用钢需求在明年可能会继续恶化。</w:t>
      </w:r>
    </w:p>
    <w:p w:rsidR="005678FF" w:rsidRDefault="0045076E" w:rsidP="00ED25D4">
      <w:pPr>
        <w:spacing w:line="360" w:lineRule="auto"/>
        <w:ind w:firstLine="435"/>
        <w:rPr>
          <w:b/>
        </w:rPr>
      </w:pPr>
      <w:r>
        <w:rPr>
          <w:rFonts w:hint="eastAsia"/>
          <w:b/>
        </w:rPr>
        <w:t>2</w:t>
      </w:r>
      <w:r w:rsidR="005273E7">
        <w:rPr>
          <w:rFonts w:hint="eastAsia"/>
          <w:b/>
        </w:rPr>
        <w:t>、</w:t>
      </w:r>
      <w:r w:rsidR="007C1576">
        <w:rPr>
          <w:rFonts w:hint="eastAsia"/>
          <w:b/>
          <w:szCs w:val="21"/>
        </w:rPr>
        <w:t>贴水结构导致近月合约受现货拉动强</w:t>
      </w:r>
    </w:p>
    <w:p w:rsidR="007B0828" w:rsidRDefault="003636FE" w:rsidP="0039548A">
      <w:pPr>
        <w:spacing w:line="360" w:lineRule="auto"/>
        <w:ind w:firstLineChars="200" w:firstLine="420"/>
      </w:pPr>
      <w:r>
        <w:t>首先</w:t>
      </w:r>
      <w:r>
        <w:rPr>
          <w:rFonts w:hint="eastAsia"/>
        </w:rPr>
        <w:t>，</w:t>
      </w:r>
      <w:r>
        <w:t>基于对铁矿基本面的分析</w:t>
      </w:r>
      <w:r>
        <w:rPr>
          <w:rFonts w:hint="eastAsia"/>
        </w:rPr>
        <w:t>，</w:t>
      </w:r>
      <w:r>
        <w:t>我们认为</w:t>
      </w:r>
      <w:r w:rsidR="001878A0">
        <w:t>四季度</w:t>
      </w:r>
      <w:r>
        <w:t>现货维持在</w:t>
      </w:r>
      <w:r w:rsidR="001878A0">
        <w:t>50-60</w:t>
      </w:r>
      <w:r>
        <w:rPr>
          <w:rFonts w:hint="eastAsia"/>
        </w:rPr>
        <w:t>美金的可能性比较大。</w:t>
      </w:r>
      <w:r w:rsidR="007B0828">
        <w:rPr>
          <w:rFonts w:hint="eastAsia"/>
        </w:rPr>
        <w:t>根据四大矿山</w:t>
      </w:r>
      <w:r w:rsidR="007B0828">
        <w:rPr>
          <w:rFonts w:hint="eastAsia"/>
        </w:rPr>
        <w:t>2015</w:t>
      </w:r>
      <w:r w:rsidR="007B0828">
        <w:rPr>
          <w:rFonts w:hint="eastAsia"/>
        </w:rPr>
        <w:t>年增产</w:t>
      </w:r>
      <w:r w:rsidR="007B0828">
        <w:rPr>
          <w:rFonts w:hint="eastAsia"/>
        </w:rPr>
        <w:t>8500</w:t>
      </w:r>
      <w:r w:rsidR="007B0828">
        <w:t>万吨</w:t>
      </w:r>
      <w:r w:rsidR="00873985">
        <w:t>的计划</w:t>
      </w:r>
      <w:r w:rsidR="007B0828">
        <w:rPr>
          <w:rFonts w:hint="eastAsia"/>
        </w:rPr>
        <w:t>，预计</w:t>
      </w:r>
      <w:r w:rsidR="007B0828">
        <w:rPr>
          <w:rFonts w:hint="eastAsia"/>
        </w:rPr>
        <w:t>2015</w:t>
      </w:r>
      <w:r w:rsidR="007B0828">
        <w:rPr>
          <w:rFonts w:hint="eastAsia"/>
        </w:rPr>
        <w:t>年下半年还相比上半年还有</w:t>
      </w:r>
      <w:r w:rsidR="007B0828">
        <w:rPr>
          <w:rFonts w:hint="eastAsia"/>
        </w:rPr>
        <w:t>5700</w:t>
      </w:r>
      <w:r w:rsidR="007B0828">
        <w:rPr>
          <w:rFonts w:hint="eastAsia"/>
        </w:rPr>
        <w:t>万吨的增量。其中三季度</w:t>
      </w:r>
      <w:r w:rsidR="007B0828">
        <w:rPr>
          <w:rFonts w:hint="eastAsia"/>
        </w:rPr>
        <w:lastRenderedPageBreak/>
        <w:t>澳洲、巴西的发货量相比前两季度预计增量</w:t>
      </w:r>
      <w:r w:rsidR="007B0828">
        <w:rPr>
          <w:rFonts w:hint="eastAsia"/>
        </w:rPr>
        <w:t>2200</w:t>
      </w:r>
      <w:r w:rsidR="007B0828">
        <w:rPr>
          <w:rFonts w:hint="eastAsia"/>
        </w:rPr>
        <w:t>万吨，也就是说四季度预计澳、巴发货量增加</w:t>
      </w:r>
      <w:r w:rsidR="007B0828">
        <w:rPr>
          <w:rFonts w:hint="eastAsia"/>
        </w:rPr>
        <w:t>3500</w:t>
      </w:r>
      <w:r w:rsidR="007B0828">
        <w:rPr>
          <w:rFonts w:hint="eastAsia"/>
        </w:rPr>
        <w:t>万吨。那么这</w:t>
      </w:r>
      <w:r w:rsidR="007B0828">
        <w:rPr>
          <w:rFonts w:hint="eastAsia"/>
        </w:rPr>
        <w:t>3500</w:t>
      </w:r>
      <w:r w:rsidR="007B0828">
        <w:rPr>
          <w:rFonts w:hint="eastAsia"/>
        </w:rPr>
        <w:t>万吨是否会构成四季度铁矿的过剩？</w:t>
      </w:r>
      <w:r w:rsidR="00873985">
        <w:rPr>
          <w:rFonts w:hint="eastAsia"/>
        </w:rPr>
        <w:t>从三季度港口库存维持在</w:t>
      </w:r>
      <w:r w:rsidR="00873985">
        <w:rPr>
          <w:rFonts w:hint="eastAsia"/>
        </w:rPr>
        <w:t>8000</w:t>
      </w:r>
      <w:r w:rsidR="00873985">
        <w:rPr>
          <w:rFonts w:hint="eastAsia"/>
        </w:rPr>
        <w:t>万吨上下波动这一指标上，我们可以推测这一时期铁矿的供应和需求基本达到平衡。这一时期</w:t>
      </w:r>
      <w:r w:rsidR="0039548A">
        <w:rPr>
          <w:rFonts w:hint="eastAsia"/>
        </w:rPr>
        <w:t>澳洲、巴西两国发货量增加</w:t>
      </w:r>
      <w:r w:rsidR="0039548A">
        <w:rPr>
          <w:rFonts w:hint="eastAsia"/>
        </w:rPr>
        <w:t>2200</w:t>
      </w:r>
      <w:r w:rsidR="0039548A">
        <w:rPr>
          <w:rFonts w:hint="eastAsia"/>
        </w:rPr>
        <w:t>万吨</w:t>
      </w:r>
      <w:r w:rsidR="00873985">
        <w:rPr>
          <w:rFonts w:hint="eastAsia"/>
        </w:rPr>
        <w:t>，同时</w:t>
      </w:r>
      <w:r w:rsidR="00873985">
        <w:t>日均粗钢产量下降</w:t>
      </w:r>
      <w:r w:rsidR="00873985">
        <w:rPr>
          <w:rFonts w:hint="eastAsia"/>
        </w:rPr>
        <w:t>10</w:t>
      </w:r>
      <w:r w:rsidR="00873985">
        <w:rPr>
          <w:rFonts w:hint="eastAsia"/>
        </w:rPr>
        <w:t>万吨，</w:t>
      </w:r>
      <w:r w:rsidR="00873985" w:rsidRPr="00873985">
        <w:rPr>
          <w:rFonts w:hint="eastAsia"/>
        </w:rPr>
        <w:t>相当于对铁矿的需求减少</w:t>
      </w:r>
      <w:r w:rsidR="00873985" w:rsidRPr="00873985">
        <w:rPr>
          <w:rFonts w:hint="eastAsia"/>
        </w:rPr>
        <w:t>1440</w:t>
      </w:r>
      <w:r w:rsidR="00C61882">
        <w:rPr>
          <w:rFonts w:hint="eastAsia"/>
        </w:rPr>
        <w:t>，</w:t>
      </w:r>
      <w:r w:rsidR="00873985" w:rsidRPr="00873985">
        <w:rPr>
          <w:rFonts w:hint="eastAsia"/>
        </w:rPr>
        <w:t>也就是说如果钢厂不减产的话，</w:t>
      </w:r>
      <w:r w:rsidR="00C61882">
        <w:rPr>
          <w:rFonts w:hint="eastAsia"/>
        </w:rPr>
        <w:t>铁矿供应增加</w:t>
      </w:r>
      <w:r w:rsidR="00873985" w:rsidRPr="00873985">
        <w:rPr>
          <w:rFonts w:hint="eastAsia"/>
        </w:rPr>
        <w:t>3600</w:t>
      </w:r>
      <w:r w:rsidR="00873985" w:rsidRPr="00873985">
        <w:rPr>
          <w:rFonts w:hint="eastAsia"/>
        </w:rPr>
        <w:t>万吨</w:t>
      </w:r>
      <w:r w:rsidR="00C61882">
        <w:rPr>
          <w:rFonts w:hint="eastAsia"/>
        </w:rPr>
        <w:t>左右的时候也能够基本</w:t>
      </w:r>
      <w:r w:rsidR="00873985" w:rsidRPr="00873985">
        <w:rPr>
          <w:rFonts w:hint="eastAsia"/>
        </w:rPr>
        <w:t>达到平衡</w:t>
      </w:r>
      <w:r w:rsidR="00C61882">
        <w:rPr>
          <w:rFonts w:hint="eastAsia"/>
        </w:rPr>
        <w:t>。根据目前钢厂检修复工的情况，我们预测四季度</w:t>
      </w:r>
      <w:proofErr w:type="gramStart"/>
      <w:r w:rsidR="00C61882">
        <w:rPr>
          <w:rFonts w:hint="eastAsia"/>
        </w:rPr>
        <w:t>粗钢日均</w:t>
      </w:r>
      <w:proofErr w:type="gramEnd"/>
      <w:r w:rsidR="00C61882">
        <w:rPr>
          <w:rFonts w:hint="eastAsia"/>
        </w:rPr>
        <w:t>产量高于三季度但略小于一、二季度，因此对铁矿的需求基本能够满足，下降空间不大，从而我们</w:t>
      </w:r>
      <w:r w:rsidR="001878A0">
        <w:rPr>
          <w:rFonts w:hint="eastAsia"/>
        </w:rPr>
        <w:t>判断</w:t>
      </w:r>
      <w:r w:rsidR="00C61882">
        <w:rPr>
          <w:rFonts w:hint="eastAsia"/>
        </w:rPr>
        <w:t>四季度</w:t>
      </w:r>
      <w:r w:rsidR="00C61882">
        <w:t>现货维持在</w:t>
      </w:r>
      <w:r w:rsidR="00C61882">
        <w:rPr>
          <w:rFonts w:hint="eastAsia"/>
        </w:rPr>
        <w:t>5</w:t>
      </w:r>
      <w:r w:rsidR="001878A0">
        <w:rPr>
          <w:rFonts w:hint="eastAsia"/>
        </w:rPr>
        <w:t>0</w:t>
      </w:r>
      <w:r w:rsidR="001878A0">
        <w:t>-60</w:t>
      </w:r>
      <w:r w:rsidR="00C61882">
        <w:rPr>
          <w:rFonts w:hint="eastAsia"/>
        </w:rPr>
        <w:t>美金的可能性比较大</w:t>
      </w:r>
      <w:r w:rsidR="00C61882">
        <w:rPr>
          <w:rFonts w:hint="eastAsia"/>
        </w:rPr>
        <w:t>。</w:t>
      </w:r>
    </w:p>
    <w:p w:rsidR="003A1C24" w:rsidRDefault="00C61882" w:rsidP="00EC1EE8">
      <w:pPr>
        <w:spacing w:line="360" w:lineRule="auto"/>
        <w:ind w:firstLineChars="200" w:firstLine="420"/>
      </w:pPr>
      <w:r>
        <w:rPr>
          <w:rFonts w:hint="eastAsia"/>
        </w:rPr>
        <w:t>其次，</w:t>
      </w:r>
      <w:r w:rsidR="00555E7A">
        <w:rPr>
          <w:rFonts w:hint="eastAsia"/>
        </w:rPr>
        <w:t>铁矿的贴水结构导致合约</w:t>
      </w:r>
      <w:r w:rsidR="00EC1EE8">
        <w:rPr>
          <w:rFonts w:hint="eastAsia"/>
        </w:rPr>
        <w:t>在距离交割日期越近的合约</w:t>
      </w:r>
      <w:r w:rsidR="00555E7A">
        <w:rPr>
          <w:rFonts w:hint="eastAsia"/>
        </w:rPr>
        <w:t>受</w:t>
      </w:r>
      <w:r w:rsidR="00EC1EE8">
        <w:rPr>
          <w:rFonts w:hint="eastAsia"/>
        </w:rPr>
        <w:t>现货</w:t>
      </w:r>
      <w:r w:rsidR="00555E7A">
        <w:rPr>
          <w:rFonts w:hint="eastAsia"/>
        </w:rPr>
        <w:t>拉动的力量较大</w:t>
      </w:r>
      <w:r w:rsidR="00EC1EE8">
        <w:rPr>
          <w:rFonts w:hint="eastAsia"/>
        </w:rPr>
        <w:t>。</w:t>
      </w:r>
      <w:r w:rsidR="003636FE">
        <w:rPr>
          <w:rFonts w:hint="eastAsia"/>
        </w:rPr>
        <w:t>随着铁矿期货的日臻完善，产业资金参与程度提高，期</w:t>
      </w:r>
      <w:proofErr w:type="gramStart"/>
      <w:r w:rsidR="003636FE">
        <w:rPr>
          <w:rFonts w:hint="eastAsia"/>
        </w:rPr>
        <w:t>现回归要求</w:t>
      </w:r>
      <w:proofErr w:type="gramEnd"/>
      <w:r w:rsidR="003636FE">
        <w:rPr>
          <w:rFonts w:hint="eastAsia"/>
        </w:rPr>
        <w:t>更加强烈。</w:t>
      </w:r>
      <w:r w:rsidR="00555E7A">
        <w:rPr>
          <w:rFonts w:hint="eastAsia"/>
        </w:rPr>
        <w:t>1601</w:t>
      </w:r>
      <w:r w:rsidR="00555E7A">
        <w:rPr>
          <w:rFonts w:hint="eastAsia"/>
        </w:rPr>
        <w:t>合约自</w:t>
      </w:r>
      <w:r w:rsidR="003636FE">
        <w:rPr>
          <w:rFonts w:hint="eastAsia"/>
        </w:rPr>
        <w:t>成为主力合约</w:t>
      </w:r>
      <w:r w:rsidR="00F6346C">
        <w:t>以来</w:t>
      </w:r>
      <w:r w:rsidR="003636FE">
        <w:rPr>
          <w:rFonts w:hint="eastAsia"/>
        </w:rPr>
        <w:t>一直深度贴水于现货，其中</w:t>
      </w:r>
      <w:r w:rsidR="00F6346C">
        <w:rPr>
          <w:rFonts w:hint="eastAsia"/>
        </w:rPr>
        <w:t>70%</w:t>
      </w:r>
      <w:r w:rsidR="00F6346C">
        <w:rPr>
          <w:rFonts w:hint="eastAsia"/>
        </w:rPr>
        <w:t>的天数贴水</w:t>
      </w:r>
      <w:r w:rsidR="003636FE">
        <w:rPr>
          <w:rFonts w:hint="eastAsia"/>
        </w:rPr>
        <w:t>幅度高达</w:t>
      </w:r>
      <w:r w:rsidR="00F6346C">
        <w:rPr>
          <w:rFonts w:hint="eastAsia"/>
        </w:rPr>
        <w:t>25%</w:t>
      </w:r>
      <w:r w:rsidR="00F6346C">
        <w:rPr>
          <w:rFonts w:hint="eastAsia"/>
        </w:rPr>
        <w:t>以上。</w:t>
      </w:r>
      <w:r w:rsidR="00EC1EE8">
        <w:t>深度贴水结构</w:t>
      </w:r>
      <w:r w:rsidR="003636FE">
        <w:t>一方面</w:t>
      </w:r>
      <w:r w:rsidR="00EC1EE8">
        <w:t>导致产业空头无法介入</w:t>
      </w:r>
      <w:r w:rsidR="00EC1EE8">
        <w:rPr>
          <w:rFonts w:hint="eastAsia"/>
        </w:rPr>
        <w:t>，</w:t>
      </w:r>
      <w:r w:rsidR="003636FE">
        <w:rPr>
          <w:rFonts w:hint="eastAsia"/>
        </w:rPr>
        <w:t>另一方面也有利于产业多头资金的介入，因而时间越往后推迟，</w:t>
      </w:r>
      <w:r w:rsidR="003636FE">
        <w:rPr>
          <w:rFonts w:hint="eastAsia"/>
        </w:rPr>
        <w:t>1601</w:t>
      </w:r>
      <w:r w:rsidR="003636FE">
        <w:rPr>
          <w:rFonts w:hint="eastAsia"/>
        </w:rPr>
        <w:t>受现货</w:t>
      </w:r>
      <w:proofErr w:type="gramStart"/>
      <w:r w:rsidR="003636FE">
        <w:rPr>
          <w:rFonts w:hint="eastAsia"/>
        </w:rPr>
        <w:t>拉动越</w:t>
      </w:r>
      <w:proofErr w:type="gramEnd"/>
      <w:r w:rsidR="003636FE">
        <w:rPr>
          <w:rFonts w:hint="eastAsia"/>
        </w:rPr>
        <w:t>强烈，而</w:t>
      </w:r>
      <w:r w:rsidR="003636FE">
        <w:rPr>
          <w:rFonts w:hint="eastAsia"/>
        </w:rPr>
        <w:t>1605</w:t>
      </w:r>
      <w:r w:rsidR="003636FE">
        <w:rPr>
          <w:rFonts w:hint="eastAsia"/>
        </w:rPr>
        <w:t>因为时间较远受预期</w:t>
      </w:r>
      <w:r w:rsidR="001878A0">
        <w:rPr>
          <w:rFonts w:hint="eastAsia"/>
        </w:rPr>
        <w:t>的</w:t>
      </w:r>
      <w:r w:rsidR="003636FE">
        <w:rPr>
          <w:rFonts w:hint="eastAsia"/>
        </w:rPr>
        <w:t>影响更大。</w:t>
      </w:r>
    </w:p>
    <w:tbl>
      <w:tblPr>
        <w:tblW w:w="0" w:type="auto"/>
        <w:jc w:val="center"/>
        <w:tblBorders>
          <w:insideH w:val="single" w:sz="18" w:space="0" w:color="548DD4"/>
          <w:insideV w:val="single" w:sz="18" w:space="0" w:color="548DD4"/>
        </w:tblBorders>
        <w:tblLayout w:type="fixed"/>
        <w:tblLook w:val="0000" w:firstRow="0" w:lastRow="0" w:firstColumn="0" w:lastColumn="0" w:noHBand="0" w:noVBand="0"/>
      </w:tblPr>
      <w:tblGrid>
        <w:gridCol w:w="8493"/>
      </w:tblGrid>
      <w:tr w:rsidR="00EC1EE8" w:rsidTr="00EC2840">
        <w:trPr>
          <w:trHeight w:val="260"/>
          <w:jc w:val="center"/>
        </w:trPr>
        <w:tc>
          <w:tcPr>
            <w:tcW w:w="8493" w:type="dxa"/>
          </w:tcPr>
          <w:p w:rsidR="00EC1EE8" w:rsidRDefault="00EC1EE8" w:rsidP="00EC2840">
            <w:pPr>
              <w:pStyle w:val="aa"/>
            </w:pPr>
            <w:r>
              <w:rPr>
                <w:rFonts w:hint="eastAsia"/>
              </w:rPr>
              <w:t>图</w:t>
            </w:r>
            <w:r>
              <w:rPr>
                <w:rFonts w:hint="eastAsia"/>
              </w:rPr>
              <w:t>1</w:t>
            </w:r>
            <w:r>
              <w:rPr>
                <w:rFonts w:hint="eastAsia"/>
              </w:rPr>
              <w:t>：螺纹</w:t>
            </w:r>
            <w:r>
              <w:rPr>
                <w:rFonts w:hint="eastAsia"/>
              </w:rPr>
              <w:t>1601</w:t>
            </w:r>
            <w:r>
              <w:rPr>
                <w:rFonts w:hint="eastAsia"/>
              </w:rPr>
              <w:t>合约和现货价差</w:t>
            </w:r>
          </w:p>
        </w:tc>
      </w:tr>
      <w:tr w:rsidR="00EC1EE8" w:rsidTr="00EC2840">
        <w:trPr>
          <w:trHeight w:val="3585"/>
          <w:jc w:val="center"/>
        </w:trPr>
        <w:tc>
          <w:tcPr>
            <w:tcW w:w="8493" w:type="dxa"/>
          </w:tcPr>
          <w:p w:rsidR="00EC1EE8" w:rsidRDefault="00EC1EE8" w:rsidP="00EC2840">
            <w:pPr>
              <w:jc w:val="center"/>
            </w:pPr>
            <w:r>
              <w:rPr>
                <w:noProof/>
              </w:rPr>
              <w:drawing>
                <wp:inline distT="0" distB="0" distL="0" distR="0" wp14:anchorId="74CBDACC" wp14:editId="4B95BBEB">
                  <wp:extent cx="5015230" cy="2720963"/>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7014" cy="2738207"/>
                          </a:xfrm>
                          <a:prstGeom prst="rect">
                            <a:avLst/>
                          </a:prstGeom>
                        </pic:spPr>
                      </pic:pic>
                    </a:graphicData>
                  </a:graphic>
                </wp:inline>
              </w:drawing>
            </w:r>
          </w:p>
        </w:tc>
      </w:tr>
      <w:tr w:rsidR="00EC1EE8" w:rsidTr="00EC2840">
        <w:trPr>
          <w:trHeight w:val="247"/>
          <w:jc w:val="center"/>
        </w:trPr>
        <w:tc>
          <w:tcPr>
            <w:tcW w:w="8493" w:type="dxa"/>
          </w:tcPr>
          <w:p w:rsidR="00EC1EE8" w:rsidRDefault="00EC1EE8" w:rsidP="00EC2840">
            <w:pPr>
              <w:pStyle w:val="aa"/>
            </w:pPr>
            <w:r>
              <w:rPr>
                <w:rFonts w:hint="eastAsia"/>
              </w:rPr>
              <w:t>图表来源：</w:t>
            </w:r>
            <w:r>
              <w:rPr>
                <w:rFonts w:hint="eastAsia"/>
              </w:rPr>
              <w:t>wind</w:t>
            </w:r>
            <w:r>
              <w:rPr>
                <w:rFonts w:hint="eastAsia"/>
              </w:rPr>
              <w:t>，建信期货研究中心</w:t>
            </w:r>
          </w:p>
        </w:tc>
      </w:tr>
    </w:tbl>
    <w:p w:rsidR="0091275A" w:rsidRDefault="0091275A" w:rsidP="0091275A">
      <w:pPr>
        <w:spacing w:line="360" w:lineRule="auto"/>
        <w:ind w:firstLine="435"/>
        <w:rPr>
          <w:b/>
        </w:rPr>
      </w:pPr>
      <w:r>
        <w:rPr>
          <w:b/>
        </w:rPr>
        <w:t>3</w:t>
      </w:r>
      <w:r>
        <w:rPr>
          <w:rFonts w:hint="eastAsia"/>
          <w:b/>
        </w:rPr>
        <w:t>、</w:t>
      </w:r>
      <w:r w:rsidR="00447A35">
        <w:rPr>
          <w:rFonts w:hint="eastAsia"/>
          <w:b/>
        </w:rPr>
        <w:t>历史价差规律支持正套</w:t>
      </w:r>
    </w:p>
    <w:p w:rsidR="0045076E" w:rsidRDefault="00447A35" w:rsidP="008F228C">
      <w:pPr>
        <w:spacing w:line="360" w:lineRule="auto"/>
        <w:ind w:firstLineChars="200" w:firstLine="420"/>
      </w:pPr>
      <w:r>
        <w:rPr>
          <w:rFonts w:hint="eastAsia"/>
        </w:rPr>
        <w:t>历史</w:t>
      </w:r>
      <w:r w:rsidR="007568F4">
        <w:rPr>
          <w:rFonts w:hint="eastAsia"/>
        </w:rPr>
        <w:t>统计</w:t>
      </w:r>
      <w:r>
        <w:rPr>
          <w:rFonts w:hint="eastAsia"/>
        </w:rPr>
        <w:t>价差</w:t>
      </w:r>
      <w:r w:rsidR="007568F4">
        <w:rPr>
          <w:rFonts w:hint="eastAsia"/>
        </w:rPr>
        <w:t>规律表明</w:t>
      </w:r>
      <w:r w:rsidR="00E07E8C">
        <w:rPr>
          <w:rFonts w:hint="eastAsia"/>
        </w:rPr>
        <w:t>，</w:t>
      </w:r>
      <w:r>
        <w:rPr>
          <w:rFonts w:hint="eastAsia"/>
        </w:rPr>
        <w:t>随着时间</w:t>
      </w:r>
      <w:r w:rsidR="007568F4">
        <w:rPr>
          <w:rFonts w:hint="eastAsia"/>
        </w:rPr>
        <w:t>的推进</w:t>
      </w:r>
      <w:r w:rsidR="00E07E8C">
        <w:rPr>
          <w:rFonts w:hint="eastAsia"/>
        </w:rPr>
        <w:t>，</w:t>
      </w:r>
      <w:r w:rsidR="007568F4">
        <w:rPr>
          <w:rFonts w:hint="eastAsia"/>
        </w:rPr>
        <w:t>正套价差放大的概率大。在</w:t>
      </w:r>
      <w:r w:rsidR="00E07E8C">
        <w:rPr>
          <w:rFonts w:hint="eastAsia"/>
        </w:rPr>
        <w:t>历史</w:t>
      </w:r>
      <w:r w:rsidR="007568F4">
        <w:rPr>
          <w:rFonts w:hint="eastAsia"/>
        </w:rPr>
        <w:t>5</w:t>
      </w:r>
      <w:r w:rsidR="007568F4">
        <w:rPr>
          <w:rFonts w:hint="eastAsia"/>
        </w:rPr>
        <w:t>次主力合约交割中有</w:t>
      </w:r>
      <w:r w:rsidR="007568F4">
        <w:rPr>
          <w:rFonts w:hint="eastAsia"/>
        </w:rPr>
        <w:t>4</w:t>
      </w:r>
      <w:r w:rsidR="007568F4">
        <w:rPr>
          <w:rFonts w:hint="eastAsia"/>
        </w:rPr>
        <w:t>次价差扩大。</w:t>
      </w:r>
      <w:r w:rsidR="007568F4">
        <w:rPr>
          <w:rFonts w:hint="eastAsia"/>
        </w:rPr>
        <w:t>1409-1501</w:t>
      </w:r>
      <w:r w:rsidR="007568F4">
        <w:rPr>
          <w:rFonts w:hint="eastAsia"/>
        </w:rPr>
        <w:t>价差缩小是因为当时铁矿上市不久，</w:t>
      </w:r>
      <w:r w:rsidR="007568F4">
        <w:rPr>
          <w:rFonts w:hint="eastAsia"/>
        </w:rPr>
        <w:t>1409</w:t>
      </w:r>
      <w:r w:rsidR="007568F4">
        <w:rPr>
          <w:rFonts w:hint="eastAsia"/>
        </w:rPr>
        <w:t>合约临近交割时</w:t>
      </w:r>
      <w:r w:rsidR="007568F4" w:rsidRPr="007568F4">
        <w:rPr>
          <w:rFonts w:hint="eastAsia"/>
        </w:rPr>
        <w:t>道通</w:t>
      </w:r>
      <w:r w:rsidR="007568F4">
        <w:rPr>
          <w:rFonts w:hint="eastAsia"/>
        </w:rPr>
        <w:t>席位</w:t>
      </w:r>
      <w:r w:rsidR="007568F4" w:rsidRPr="007568F4">
        <w:rPr>
          <w:rFonts w:hint="eastAsia"/>
        </w:rPr>
        <w:t>1</w:t>
      </w:r>
      <w:r w:rsidR="007568F4">
        <w:t>5</w:t>
      </w:r>
      <w:r w:rsidR="007568F4" w:rsidRPr="007568F4">
        <w:rPr>
          <w:rFonts w:hint="eastAsia"/>
        </w:rPr>
        <w:t>00</w:t>
      </w:r>
      <w:r w:rsidR="007568F4" w:rsidRPr="007568F4">
        <w:rPr>
          <w:rFonts w:hint="eastAsia"/>
        </w:rPr>
        <w:t>张空单意图明显，</w:t>
      </w:r>
      <w:r w:rsidR="007568F4">
        <w:rPr>
          <w:rFonts w:hint="eastAsia"/>
        </w:rPr>
        <w:t>而当时</w:t>
      </w:r>
      <w:r w:rsidR="007568F4">
        <w:rPr>
          <w:rFonts w:hint="eastAsia"/>
        </w:rPr>
        <w:t>产业资金买盘参与程度低，</w:t>
      </w:r>
      <w:r w:rsidR="00E07E8C">
        <w:rPr>
          <w:rFonts w:hint="eastAsia"/>
        </w:rPr>
        <w:t>众多</w:t>
      </w:r>
      <w:r w:rsidR="007568F4" w:rsidRPr="007568F4">
        <w:rPr>
          <w:rFonts w:hint="eastAsia"/>
        </w:rPr>
        <w:t>散</w:t>
      </w:r>
      <w:r w:rsidR="00E07E8C">
        <w:rPr>
          <w:rFonts w:hint="eastAsia"/>
        </w:rPr>
        <w:t>户多头无力接货，</w:t>
      </w:r>
      <w:proofErr w:type="gramStart"/>
      <w:r w:rsidR="007568F4" w:rsidRPr="007568F4">
        <w:rPr>
          <w:rFonts w:hint="eastAsia"/>
        </w:rPr>
        <w:t>互踩离场</w:t>
      </w:r>
      <w:proofErr w:type="gramEnd"/>
      <w:r w:rsidR="007568F4">
        <w:rPr>
          <w:rFonts w:hint="eastAsia"/>
        </w:rPr>
        <w:t>，最终导致了</w:t>
      </w:r>
      <w:r w:rsidR="007568F4">
        <w:rPr>
          <w:rFonts w:hint="eastAsia"/>
        </w:rPr>
        <w:t>1409</w:t>
      </w:r>
      <w:r w:rsidR="007568F4">
        <w:rPr>
          <w:rFonts w:hint="eastAsia"/>
        </w:rPr>
        <w:t>贴水交割。</w:t>
      </w:r>
    </w:p>
    <w:p w:rsidR="00C61882" w:rsidRDefault="00C61882" w:rsidP="008F228C">
      <w:pPr>
        <w:spacing w:line="360" w:lineRule="auto"/>
        <w:ind w:firstLineChars="200" w:firstLine="420"/>
        <w:rPr>
          <w:rFonts w:hint="eastAsia"/>
        </w:rPr>
      </w:pPr>
    </w:p>
    <w:tbl>
      <w:tblPr>
        <w:tblW w:w="0" w:type="auto"/>
        <w:jc w:val="center"/>
        <w:tblBorders>
          <w:insideH w:val="single" w:sz="18" w:space="0" w:color="548DD4"/>
          <w:insideV w:val="single" w:sz="18" w:space="0" w:color="548DD4"/>
        </w:tblBorders>
        <w:tblLayout w:type="fixed"/>
        <w:tblLook w:val="0000" w:firstRow="0" w:lastRow="0" w:firstColumn="0" w:lastColumn="0" w:noHBand="0" w:noVBand="0"/>
      </w:tblPr>
      <w:tblGrid>
        <w:gridCol w:w="8493"/>
      </w:tblGrid>
      <w:tr w:rsidR="00467497" w:rsidTr="00FD0787">
        <w:trPr>
          <w:trHeight w:val="260"/>
          <w:jc w:val="center"/>
        </w:trPr>
        <w:tc>
          <w:tcPr>
            <w:tcW w:w="8493" w:type="dxa"/>
          </w:tcPr>
          <w:p w:rsidR="00467497" w:rsidRDefault="00467497" w:rsidP="004A3D73">
            <w:pPr>
              <w:pStyle w:val="aa"/>
              <w:rPr>
                <w:rFonts w:hint="eastAsia"/>
              </w:rPr>
            </w:pPr>
            <w:r>
              <w:rPr>
                <w:rFonts w:hint="eastAsia"/>
              </w:rPr>
              <w:lastRenderedPageBreak/>
              <w:t>图</w:t>
            </w:r>
            <w:r w:rsidR="004A3D73">
              <w:t>2</w:t>
            </w:r>
            <w:r>
              <w:rPr>
                <w:rFonts w:hint="eastAsia"/>
              </w:rPr>
              <w:t>：</w:t>
            </w:r>
            <w:r w:rsidR="00AD75C1" w:rsidRPr="00AD75C1">
              <w:t>铁矿合约价差分析</w:t>
            </w:r>
          </w:p>
        </w:tc>
      </w:tr>
      <w:tr w:rsidR="00467497" w:rsidTr="00465707">
        <w:trPr>
          <w:trHeight w:val="3585"/>
          <w:jc w:val="center"/>
        </w:trPr>
        <w:tc>
          <w:tcPr>
            <w:tcW w:w="8493" w:type="dxa"/>
          </w:tcPr>
          <w:p w:rsidR="00467497" w:rsidRDefault="00465707" w:rsidP="00FD0787">
            <w:pPr>
              <w:jc w:val="center"/>
            </w:pPr>
            <w:r>
              <w:rPr>
                <w:noProof/>
              </w:rPr>
              <w:drawing>
                <wp:inline distT="0" distB="0" distL="0" distR="0" wp14:anchorId="62257BF1" wp14:editId="5310C70F">
                  <wp:extent cx="5029200" cy="2314575"/>
                  <wp:effectExtent l="0" t="0" r="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467497" w:rsidTr="00FD0787">
        <w:trPr>
          <w:trHeight w:val="247"/>
          <w:jc w:val="center"/>
        </w:trPr>
        <w:tc>
          <w:tcPr>
            <w:tcW w:w="8493" w:type="dxa"/>
          </w:tcPr>
          <w:p w:rsidR="00467497" w:rsidRDefault="00467497" w:rsidP="00FD0787">
            <w:pPr>
              <w:pStyle w:val="aa"/>
            </w:pPr>
            <w:r>
              <w:rPr>
                <w:rFonts w:hint="eastAsia"/>
              </w:rPr>
              <w:t>图表来源：</w:t>
            </w:r>
            <w:r w:rsidR="00B51E8F">
              <w:rPr>
                <w:rFonts w:hint="eastAsia"/>
              </w:rPr>
              <w:t>wind</w:t>
            </w:r>
            <w:r>
              <w:rPr>
                <w:rFonts w:hint="eastAsia"/>
              </w:rPr>
              <w:t>，建信</w:t>
            </w:r>
            <w:r w:rsidR="0091275A">
              <w:rPr>
                <w:rFonts w:hint="eastAsia"/>
              </w:rPr>
              <w:t>期货研究中心</w:t>
            </w:r>
          </w:p>
        </w:tc>
      </w:tr>
    </w:tbl>
    <w:p w:rsidR="00131D38" w:rsidRDefault="00131D38" w:rsidP="00131D38">
      <w:pPr>
        <w:pStyle w:val="a9"/>
        <w:numPr>
          <w:ilvl w:val="0"/>
          <w:numId w:val="4"/>
        </w:numPr>
        <w:spacing w:line="360" w:lineRule="auto"/>
        <w:ind w:firstLineChars="0"/>
        <w:rPr>
          <w:b/>
          <w:sz w:val="32"/>
          <w:szCs w:val="32"/>
        </w:rPr>
      </w:pPr>
      <w:r>
        <w:rPr>
          <w:rFonts w:hint="eastAsia"/>
          <w:b/>
          <w:sz w:val="32"/>
          <w:szCs w:val="32"/>
        </w:rPr>
        <w:t>风险分析</w:t>
      </w:r>
      <w:bookmarkStart w:id="1" w:name="_GoBack"/>
      <w:bookmarkEnd w:id="1"/>
    </w:p>
    <w:p w:rsidR="000F01DC" w:rsidRDefault="00C61882" w:rsidP="00FE49E5">
      <w:pPr>
        <w:spacing w:line="360" w:lineRule="auto"/>
        <w:ind w:firstLine="435"/>
        <w:rPr>
          <w:b/>
        </w:rPr>
      </w:pPr>
      <w:r>
        <w:rPr>
          <w:b/>
        </w:rPr>
        <w:t>1</w:t>
      </w:r>
      <w:r w:rsidR="00B51E8F">
        <w:rPr>
          <w:rFonts w:hint="eastAsia"/>
          <w:b/>
        </w:rPr>
        <w:t>、</w:t>
      </w:r>
      <w:proofErr w:type="gramStart"/>
      <w:r w:rsidR="000F01DC">
        <w:rPr>
          <w:rFonts w:hint="eastAsia"/>
          <w:b/>
        </w:rPr>
        <w:t>正套操作</w:t>
      </w:r>
      <w:proofErr w:type="gramEnd"/>
      <w:r w:rsidR="000F01DC">
        <w:rPr>
          <w:rFonts w:hint="eastAsia"/>
          <w:b/>
        </w:rPr>
        <w:t>与终端钢材需求季节性不符</w:t>
      </w:r>
    </w:p>
    <w:p w:rsidR="00AD75C1" w:rsidRPr="00AD75C1" w:rsidRDefault="00AD75C1" w:rsidP="00FE49E5">
      <w:pPr>
        <w:spacing w:line="360" w:lineRule="auto"/>
        <w:ind w:firstLine="435"/>
        <w:rPr>
          <w:rFonts w:hint="eastAsia"/>
        </w:rPr>
      </w:pPr>
      <w:r w:rsidRPr="00AD75C1">
        <w:t>终端钢材的消耗反向影响钢厂对矿石的需求</w:t>
      </w:r>
      <w:r>
        <w:rPr>
          <w:rFonts w:hint="eastAsia"/>
        </w:rPr>
        <w:t>。从季节性角度来看，四季度终端工地施工面积逐渐减少，</w:t>
      </w:r>
      <w:r w:rsidR="00C61882">
        <w:rPr>
          <w:rFonts w:hint="eastAsia"/>
        </w:rPr>
        <w:t>需求走向淡季，</w:t>
      </w:r>
      <w:r>
        <w:rPr>
          <w:rFonts w:hint="eastAsia"/>
        </w:rPr>
        <w:t>而一、二季度施工呈正向增加趋势，无论从实际需求角度还是心理预期角度与铁矿买</w:t>
      </w:r>
      <w:r>
        <w:rPr>
          <w:rFonts w:hint="eastAsia"/>
        </w:rPr>
        <w:t>1</w:t>
      </w:r>
      <w:r>
        <w:rPr>
          <w:rFonts w:hint="eastAsia"/>
        </w:rPr>
        <w:t>抛</w:t>
      </w:r>
      <w:r>
        <w:rPr>
          <w:rFonts w:hint="eastAsia"/>
        </w:rPr>
        <w:t>5</w:t>
      </w:r>
      <w:r>
        <w:rPr>
          <w:rFonts w:hint="eastAsia"/>
        </w:rPr>
        <w:t>不相符。</w:t>
      </w:r>
    </w:p>
    <w:p w:rsidR="00FE49E5" w:rsidRDefault="00C61882" w:rsidP="00FE49E5">
      <w:pPr>
        <w:spacing w:line="360" w:lineRule="auto"/>
        <w:ind w:firstLine="435"/>
        <w:rPr>
          <w:b/>
        </w:rPr>
      </w:pPr>
      <w:r>
        <w:rPr>
          <w:b/>
        </w:rPr>
        <w:t>2</w:t>
      </w:r>
      <w:r w:rsidR="000F01DC">
        <w:rPr>
          <w:rFonts w:hint="eastAsia"/>
          <w:b/>
        </w:rPr>
        <w:t>、</w:t>
      </w:r>
      <w:r w:rsidR="00FE49E5">
        <w:rPr>
          <w:rFonts w:hint="eastAsia"/>
          <w:b/>
        </w:rPr>
        <w:t>短期内</w:t>
      </w:r>
      <w:r w:rsidR="00FE49E5">
        <w:rPr>
          <w:rFonts w:hint="eastAsia"/>
          <w:b/>
        </w:rPr>
        <w:t>经济格局剧烈变动，系统性经济风险仍未消除。</w:t>
      </w:r>
    </w:p>
    <w:p w:rsidR="009D7F74" w:rsidRPr="00DF6638" w:rsidRDefault="00FE49E5" w:rsidP="00FE49E5">
      <w:pPr>
        <w:spacing w:line="360" w:lineRule="auto"/>
        <w:ind w:firstLine="435"/>
        <w:rPr>
          <w:b/>
          <w:szCs w:val="21"/>
        </w:rPr>
      </w:pPr>
      <w:r>
        <w:rPr>
          <w:rFonts w:hint="eastAsia"/>
        </w:rPr>
        <w:t>目前</w:t>
      </w:r>
      <w:proofErr w:type="gramStart"/>
      <w:r>
        <w:t>整处于</w:t>
      </w:r>
      <w:proofErr w:type="gramEnd"/>
      <w:r w:rsidR="000F01DC">
        <w:rPr>
          <w:rFonts w:hint="eastAsia"/>
        </w:rPr>
        <w:t>经济</w:t>
      </w:r>
      <w:r w:rsidR="000F01DC">
        <w:t>剧烈</w:t>
      </w:r>
      <w:r>
        <w:t>动荡期</w:t>
      </w:r>
      <w:r>
        <w:rPr>
          <w:rFonts w:hint="eastAsia"/>
        </w:rPr>
        <w:t>，</w:t>
      </w:r>
      <w:r w:rsidR="000F01DC">
        <w:rPr>
          <w:rFonts w:hint="eastAsia"/>
        </w:rPr>
        <w:t>四季度</w:t>
      </w:r>
      <w:r w:rsidR="000F01DC">
        <w:t>系统性</w:t>
      </w:r>
      <w:r w:rsidR="004A3D73">
        <w:rPr>
          <w:rFonts w:hint="eastAsia"/>
        </w:rPr>
        <w:t>经济</w:t>
      </w:r>
      <w:r w:rsidR="000F01DC">
        <w:t>下滑风险</w:t>
      </w:r>
      <w:r w:rsidR="00C61882">
        <w:t>仍存</w:t>
      </w:r>
      <w:r w:rsidR="00C61882">
        <w:rPr>
          <w:rFonts w:hint="eastAsia"/>
        </w:rPr>
        <w:t>，如果发生的话，主力合约受影响比较大。</w:t>
      </w:r>
    </w:p>
    <w:p w:rsidR="009619D7" w:rsidRDefault="00131D38" w:rsidP="009619D7">
      <w:pPr>
        <w:spacing w:line="360" w:lineRule="auto"/>
        <w:rPr>
          <w:b/>
          <w:sz w:val="28"/>
          <w:szCs w:val="28"/>
        </w:rPr>
      </w:pPr>
      <w:r>
        <w:rPr>
          <w:b/>
          <w:szCs w:val="21"/>
        </w:rPr>
        <w:br w:type="page"/>
      </w:r>
      <w:r w:rsidR="009619D7">
        <w:rPr>
          <w:rFonts w:hint="eastAsia"/>
          <w:b/>
          <w:sz w:val="28"/>
          <w:szCs w:val="28"/>
        </w:rPr>
        <w:lastRenderedPageBreak/>
        <w:t>投资评级说明</w:t>
      </w:r>
    </w:p>
    <w:p w:rsidR="009619D7" w:rsidRDefault="009619D7" w:rsidP="009619D7">
      <w:pPr>
        <w:spacing w:line="360" w:lineRule="auto"/>
        <w:rPr>
          <w:b/>
          <w:szCs w:val="21"/>
        </w:rPr>
      </w:pPr>
      <w:r>
        <w:rPr>
          <w:rFonts w:hint="eastAsia"/>
          <w:b/>
          <w:szCs w:val="21"/>
        </w:rPr>
        <w:t>以报告日价格或价差为起点，按照</w:t>
      </w:r>
      <w:r>
        <w:rPr>
          <w:b/>
          <w:szCs w:val="21"/>
        </w:rPr>
        <w:t>3</w:t>
      </w:r>
      <w:r>
        <w:rPr>
          <w:rFonts w:hint="eastAsia"/>
          <w:b/>
          <w:szCs w:val="21"/>
        </w:rPr>
        <w:t>成</w:t>
      </w:r>
      <w:proofErr w:type="gramStart"/>
      <w:r>
        <w:rPr>
          <w:rFonts w:hint="eastAsia"/>
          <w:b/>
          <w:szCs w:val="21"/>
        </w:rPr>
        <w:t>仓位</w:t>
      </w:r>
      <w:proofErr w:type="gramEnd"/>
      <w:r>
        <w:rPr>
          <w:rFonts w:hint="eastAsia"/>
          <w:b/>
          <w:szCs w:val="21"/>
        </w:rPr>
        <w:t>投资，达到报告期望的最大波动幅度时所获得的收益率，划分标准为：</w:t>
      </w:r>
    </w:p>
    <w:p w:rsidR="009619D7" w:rsidRDefault="009619D7" w:rsidP="009619D7">
      <w:pPr>
        <w:pStyle w:val="11"/>
        <w:numPr>
          <w:ilvl w:val="0"/>
          <w:numId w:val="6"/>
        </w:numPr>
        <w:spacing w:line="360" w:lineRule="auto"/>
        <w:ind w:firstLineChars="0"/>
        <w:rPr>
          <w:b/>
          <w:szCs w:val="21"/>
        </w:rPr>
      </w:pPr>
      <w:r>
        <w:rPr>
          <w:rFonts w:hint="eastAsia"/>
          <w:b/>
          <w:szCs w:val="21"/>
        </w:rPr>
        <w:t>强烈推荐：收益率</w:t>
      </w:r>
      <w:r>
        <w:rPr>
          <w:b/>
          <w:szCs w:val="21"/>
        </w:rPr>
        <w:t>&gt;50%</w:t>
      </w:r>
    </w:p>
    <w:p w:rsidR="009619D7" w:rsidRDefault="009619D7" w:rsidP="009619D7">
      <w:pPr>
        <w:pStyle w:val="11"/>
        <w:numPr>
          <w:ilvl w:val="0"/>
          <w:numId w:val="6"/>
        </w:numPr>
        <w:spacing w:line="360" w:lineRule="auto"/>
        <w:ind w:firstLineChars="0"/>
        <w:rPr>
          <w:b/>
          <w:szCs w:val="21"/>
        </w:rPr>
      </w:pPr>
      <w:r>
        <w:rPr>
          <w:rFonts w:hint="eastAsia"/>
          <w:b/>
          <w:szCs w:val="21"/>
        </w:rPr>
        <w:t>一般推荐：收益率</w:t>
      </w:r>
      <w:r>
        <w:rPr>
          <w:b/>
          <w:szCs w:val="21"/>
        </w:rPr>
        <w:t>&gt;30%</w:t>
      </w:r>
    </w:p>
    <w:p w:rsidR="009619D7" w:rsidRDefault="009619D7" w:rsidP="009619D7">
      <w:pPr>
        <w:pStyle w:val="11"/>
        <w:numPr>
          <w:ilvl w:val="0"/>
          <w:numId w:val="6"/>
        </w:numPr>
        <w:spacing w:line="360" w:lineRule="auto"/>
        <w:ind w:firstLineChars="0"/>
        <w:rPr>
          <w:b/>
          <w:szCs w:val="21"/>
        </w:rPr>
      </w:pPr>
      <w:r>
        <w:rPr>
          <w:rFonts w:hint="eastAsia"/>
          <w:b/>
          <w:szCs w:val="21"/>
        </w:rPr>
        <w:t>审慎推荐：收益率</w:t>
      </w:r>
      <w:r>
        <w:rPr>
          <w:b/>
          <w:szCs w:val="21"/>
        </w:rPr>
        <w:t>&gt;15%</w:t>
      </w:r>
    </w:p>
    <w:p w:rsidR="009619D7" w:rsidRDefault="009619D7" w:rsidP="009619D7">
      <w:pPr>
        <w:spacing w:line="360" w:lineRule="auto"/>
        <w:rPr>
          <w:b/>
          <w:szCs w:val="21"/>
        </w:rPr>
      </w:pPr>
    </w:p>
    <w:p w:rsidR="009619D7" w:rsidRDefault="00627300" w:rsidP="009619D7">
      <w:pPr>
        <w:jc w:val="left"/>
        <w:rPr>
          <w:b/>
          <w:szCs w:val="21"/>
        </w:rPr>
      </w:pPr>
      <w:r>
        <w:rPr>
          <w:noProof/>
        </w:rPr>
        <mc:AlternateContent>
          <mc:Choice Requires="wps">
            <w:drawing>
              <wp:anchor distT="0" distB="0" distL="114300" distR="114300" simplePos="0" relativeHeight="251663360" behindDoc="1" locked="0" layoutInCell="1" allowOverlap="1">
                <wp:simplePos x="0" y="0"/>
                <wp:positionH relativeFrom="column">
                  <wp:posOffset>-114300</wp:posOffset>
                </wp:positionH>
                <wp:positionV relativeFrom="paragraph">
                  <wp:posOffset>0</wp:posOffset>
                </wp:positionV>
                <wp:extent cx="6286500" cy="2179320"/>
                <wp:effectExtent l="0" t="0" r="19050" b="1143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179320"/>
                        </a:xfrm>
                        <a:prstGeom prst="rect">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60893" id="Rectangle 48" o:spid="_x0000_s1026" style="position:absolute;left:0;text-align:left;margin-left:-9pt;margin-top:0;width:495pt;height:17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WIwIAAD4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">
                <v:stroke miterlimit="2"/>
              </v:rect>
            </w:pict>
          </mc:Fallback>
        </mc:AlternateContent>
      </w:r>
      <w:r w:rsidR="009619D7">
        <w:rPr>
          <w:rFonts w:hint="eastAsia"/>
          <w:b/>
          <w:szCs w:val="21"/>
        </w:rPr>
        <w:t>重要申明：</w:t>
      </w:r>
    </w:p>
    <w:p w:rsidR="009619D7" w:rsidRDefault="009619D7" w:rsidP="009619D7">
      <w:pPr>
        <w:ind w:firstLineChars="200" w:firstLine="360"/>
        <w:jc w:val="left"/>
        <w:rPr>
          <w:sz w:val="18"/>
          <w:szCs w:val="18"/>
        </w:rPr>
      </w:pPr>
      <w:r>
        <w:rPr>
          <w:rFonts w:hint="eastAsia"/>
          <w:sz w:val="18"/>
          <w:szCs w:val="18"/>
        </w:rPr>
        <w:t>此报告</w:t>
      </w:r>
      <w:proofErr w:type="gramStart"/>
      <w:r>
        <w:rPr>
          <w:rFonts w:hint="eastAsia"/>
          <w:sz w:val="18"/>
          <w:szCs w:val="18"/>
        </w:rPr>
        <w:t>谨提供</w:t>
      </w:r>
      <w:proofErr w:type="gramEnd"/>
      <w:r>
        <w:rPr>
          <w:rFonts w:hint="eastAsia"/>
          <w:sz w:val="18"/>
          <w:szCs w:val="18"/>
        </w:rPr>
        <w:t>给建信期货有限责任公司（以下简称“建信期货”）的特定客户及其他专业人士。未经建信期货事先书面明文批准，不得更改或以任何方式传送、复印或派发此报告的材料、内容及其复印</w:t>
      </w:r>
      <w:proofErr w:type="gramStart"/>
      <w:r>
        <w:rPr>
          <w:rFonts w:hint="eastAsia"/>
          <w:sz w:val="18"/>
          <w:szCs w:val="18"/>
        </w:rPr>
        <w:t>本予任何</w:t>
      </w:r>
      <w:proofErr w:type="gramEnd"/>
      <w:r>
        <w:rPr>
          <w:rFonts w:hint="eastAsia"/>
          <w:sz w:val="18"/>
          <w:szCs w:val="18"/>
        </w:rPr>
        <w:t>其它人。如引用、刊发，需注明出处为建信期货，且不得对本报告进行有悖原意的引用、删节和修改。</w:t>
      </w:r>
    </w:p>
    <w:p w:rsidR="009619D7" w:rsidRDefault="009619D7" w:rsidP="009619D7">
      <w:pPr>
        <w:ind w:firstLineChars="200" w:firstLine="360"/>
        <w:jc w:val="left"/>
        <w:rPr>
          <w:sz w:val="18"/>
          <w:szCs w:val="18"/>
        </w:rPr>
      </w:pPr>
      <w:r>
        <w:rPr>
          <w:rFonts w:hint="eastAsia"/>
          <w:sz w:val="18"/>
          <w:szCs w:val="18"/>
        </w:rPr>
        <w:t>本报告的信息均来源于公开资料，我公司对这些信息的准确性和完整性不作任何保证，也不保证所包含的信息和建议不会发生任何变更。我们已力求报告内容的客观、公正，但文中的观点、结论和建议仅供参考，报告中的信息或意见并不构成所述品种的买卖出价，投资者据此做出的任何投资决策与本公司和作者无关。</w:t>
      </w:r>
    </w:p>
    <w:p w:rsidR="009619D7" w:rsidRDefault="009619D7" w:rsidP="009619D7">
      <w:pPr>
        <w:ind w:firstLineChars="200" w:firstLine="360"/>
        <w:jc w:val="left"/>
        <w:rPr>
          <w:sz w:val="18"/>
          <w:szCs w:val="18"/>
        </w:rPr>
      </w:pPr>
      <w:r>
        <w:rPr>
          <w:rFonts w:hint="eastAsia"/>
          <w:sz w:val="18"/>
          <w:szCs w:val="18"/>
        </w:rPr>
        <w:t>建信期货可发出其它与本报告所载资料不一致及有不同结论的报告。本报告及该等报告反映编写分析员的不同设想、见解及分析方法。报告所载资料、意见及推测仅反映分析员于发出此报告日期当日的判断，可随时更改。此报告所指的期货品种价格可跌可升。为免生疑问，此报告所载观点并不代表建信期货有限责任公司的立场。</w:t>
      </w:r>
    </w:p>
    <w:p w:rsidR="009619D7" w:rsidRDefault="009619D7" w:rsidP="009619D7">
      <w:pPr>
        <w:spacing w:line="360" w:lineRule="auto"/>
        <w:rPr>
          <w:b/>
          <w:sz w:val="24"/>
        </w:rPr>
      </w:pPr>
      <w:r>
        <w:rPr>
          <w:rFonts w:hint="eastAsia"/>
          <w:b/>
          <w:sz w:val="24"/>
        </w:rPr>
        <w:t>建信期货有限责任公司营业部</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1"/>
        <w:gridCol w:w="4920"/>
        <w:gridCol w:w="2235"/>
        <w:gridCol w:w="779"/>
      </w:tblGrid>
      <w:tr w:rsidR="009619D7" w:rsidTr="009619D7">
        <w:tc>
          <w:tcPr>
            <w:tcW w:w="1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b/>
                <w:sz w:val="18"/>
                <w:szCs w:val="18"/>
              </w:rPr>
            </w:pPr>
            <w:r>
              <w:rPr>
                <w:rFonts w:hint="eastAsia"/>
                <w:b/>
                <w:sz w:val="18"/>
                <w:szCs w:val="18"/>
              </w:rPr>
              <w:t>营业部</w:t>
            </w:r>
          </w:p>
        </w:tc>
        <w:tc>
          <w:tcPr>
            <w:tcW w:w="4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b/>
                <w:sz w:val="18"/>
                <w:szCs w:val="18"/>
              </w:rPr>
            </w:pPr>
            <w:r>
              <w:rPr>
                <w:rFonts w:hint="eastAsia"/>
                <w:b/>
                <w:sz w:val="18"/>
                <w:szCs w:val="18"/>
              </w:rPr>
              <w:t>地址</w:t>
            </w:r>
          </w:p>
        </w:tc>
        <w:tc>
          <w:tcPr>
            <w:tcW w:w="2235"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b/>
                <w:sz w:val="18"/>
                <w:szCs w:val="18"/>
              </w:rPr>
            </w:pPr>
            <w:r>
              <w:rPr>
                <w:rFonts w:hint="eastAsia"/>
                <w:b/>
                <w:sz w:val="18"/>
                <w:szCs w:val="18"/>
              </w:rPr>
              <w:t>联系电话</w:t>
            </w:r>
          </w:p>
        </w:tc>
        <w:tc>
          <w:tcPr>
            <w:tcW w:w="779"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b/>
                <w:sz w:val="18"/>
                <w:szCs w:val="18"/>
              </w:rPr>
            </w:pPr>
            <w:r>
              <w:rPr>
                <w:rFonts w:hint="eastAsia"/>
                <w:b/>
                <w:sz w:val="18"/>
                <w:szCs w:val="18"/>
              </w:rPr>
              <w:t>邮编</w:t>
            </w:r>
          </w:p>
        </w:tc>
      </w:tr>
      <w:tr w:rsidR="009619D7" w:rsidTr="009619D7">
        <w:tc>
          <w:tcPr>
            <w:tcW w:w="1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hint="eastAsia"/>
                <w:sz w:val="18"/>
                <w:szCs w:val="18"/>
              </w:rPr>
              <w:t>总部营业部</w:t>
            </w:r>
          </w:p>
        </w:tc>
        <w:tc>
          <w:tcPr>
            <w:tcW w:w="4920" w:type="dxa"/>
            <w:tcBorders>
              <w:top w:val="single" w:sz="4" w:space="0" w:color="000000"/>
              <w:left w:val="single" w:sz="4" w:space="0" w:color="000000"/>
              <w:bottom w:val="single" w:sz="4" w:space="0" w:color="000000"/>
              <w:right w:val="single" w:sz="4" w:space="0" w:color="000000"/>
            </w:tcBorders>
            <w:hideMark/>
          </w:tcPr>
          <w:p w:rsidR="009619D7" w:rsidRPr="0006471D" w:rsidRDefault="0006471D" w:rsidP="0006471D">
            <w:pPr>
              <w:jc w:val="center"/>
              <w:rPr>
                <w:rFonts w:ascii="宋体" w:hAnsi="宋体" w:cs="Arial"/>
                <w:kern w:val="0"/>
                <w:sz w:val="18"/>
                <w:szCs w:val="18"/>
              </w:rPr>
            </w:pPr>
            <w:r w:rsidRPr="0006471D">
              <w:rPr>
                <w:rFonts w:ascii="宋体" w:hAnsi="宋体" w:cs="Arial" w:hint="eastAsia"/>
                <w:kern w:val="0"/>
                <w:sz w:val="18"/>
                <w:szCs w:val="18"/>
              </w:rPr>
              <w:t>上海市浦东</w:t>
            </w:r>
            <w:proofErr w:type="gramStart"/>
            <w:r w:rsidRPr="0006471D">
              <w:rPr>
                <w:rFonts w:ascii="宋体" w:hAnsi="宋体" w:cs="Arial" w:hint="eastAsia"/>
                <w:kern w:val="0"/>
                <w:sz w:val="18"/>
                <w:szCs w:val="18"/>
              </w:rPr>
              <w:t>新区银</w:t>
            </w:r>
            <w:proofErr w:type="gramEnd"/>
            <w:r w:rsidRPr="0006471D">
              <w:rPr>
                <w:rFonts w:ascii="宋体" w:hAnsi="宋体" w:cs="Arial" w:hint="eastAsia"/>
                <w:kern w:val="0"/>
                <w:sz w:val="18"/>
                <w:szCs w:val="18"/>
              </w:rPr>
              <w:t>城路 99 号（建行大厦）5 楼</w:t>
            </w:r>
            <w:r>
              <w:rPr>
                <w:rFonts w:ascii="宋体" w:hAnsi="宋体" w:cs="Arial" w:hint="eastAsia"/>
                <w:kern w:val="0"/>
                <w:sz w:val="18"/>
                <w:szCs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9619D7" w:rsidRDefault="0006471D">
            <w:pPr>
              <w:jc w:val="center"/>
              <w:rPr>
                <w:sz w:val="18"/>
                <w:szCs w:val="18"/>
              </w:rPr>
            </w:pPr>
            <w:r w:rsidRPr="0006471D">
              <w:rPr>
                <w:rFonts w:ascii="宋体" w:hAnsi="宋体" w:cs="Arial" w:hint="eastAsia"/>
                <w:kern w:val="0"/>
                <w:sz w:val="18"/>
                <w:szCs w:val="18"/>
              </w:rPr>
              <w:t>021-60635551</w:t>
            </w:r>
          </w:p>
        </w:tc>
        <w:tc>
          <w:tcPr>
            <w:tcW w:w="779" w:type="dxa"/>
            <w:tcBorders>
              <w:top w:val="single" w:sz="4" w:space="0" w:color="000000"/>
              <w:left w:val="single" w:sz="4" w:space="0" w:color="000000"/>
              <w:bottom w:val="single" w:sz="4" w:space="0" w:color="000000"/>
              <w:right w:val="single" w:sz="4" w:space="0" w:color="000000"/>
            </w:tcBorders>
            <w:hideMark/>
          </w:tcPr>
          <w:p w:rsidR="009619D7" w:rsidRDefault="0006471D">
            <w:pPr>
              <w:jc w:val="center"/>
              <w:rPr>
                <w:sz w:val="18"/>
                <w:szCs w:val="18"/>
              </w:rPr>
            </w:pPr>
            <w:r w:rsidRPr="0006471D">
              <w:rPr>
                <w:rFonts w:ascii="宋体" w:hAnsi="宋体" w:cs="Arial" w:hint="eastAsia"/>
                <w:kern w:val="0"/>
                <w:sz w:val="18"/>
                <w:szCs w:val="18"/>
              </w:rPr>
              <w:t>200120</w:t>
            </w:r>
          </w:p>
        </w:tc>
      </w:tr>
      <w:tr w:rsidR="009619D7" w:rsidTr="009619D7">
        <w:tc>
          <w:tcPr>
            <w:tcW w:w="1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bCs/>
                <w:spacing w:val="25"/>
                <w:kern w:val="0"/>
                <w:sz w:val="18"/>
                <w:szCs w:val="18"/>
              </w:rPr>
              <w:t>宣化路营业部</w:t>
            </w:r>
          </w:p>
        </w:tc>
        <w:tc>
          <w:tcPr>
            <w:tcW w:w="4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kern w:val="0"/>
                <w:sz w:val="18"/>
                <w:szCs w:val="18"/>
              </w:rPr>
              <w:t>上海市宣化路157号</w:t>
            </w:r>
          </w:p>
        </w:tc>
        <w:tc>
          <w:tcPr>
            <w:tcW w:w="2235"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kern w:val="0"/>
                <w:sz w:val="18"/>
                <w:szCs w:val="18"/>
              </w:rPr>
              <w:t>021-63097530/62522298</w:t>
            </w:r>
          </w:p>
        </w:tc>
        <w:tc>
          <w:tcPr>
            <w:tcW w:w="779"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kern w:val="0"/>
                <w:sz w:val="18"/>
                <w:szCs w:val="18"/>
              </w:rPr>
              <w:t>200050</w:t>
            </w:r>
          </w:p>
        </w:tc>
      </w:tr>
      <w:tr w:rsidR="009619D7" w:rsidTr="009619D7">
        <w:tc>
          <w:tcPr>
            <w:tcW w:w="1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bCs/>
                <w:spacing w:val="25"/>
                <w:kern w:val="0"/>
                <w:sz w:val="18"/>
                <w:szCs w:val="18"/>
              </w:rPr>
            </w:pPr>
            <w:r>
              <w:rPr>
                <w:rFonts w:ascii="宋体" w:hAnsi="宋体" w:cs="Arial" w:hint="eastAsia"/>
                <w:bCs/>
                <w:spacing w:val="25"/>
                <w:kern w:val="0"/>
                <w:sz w:val="18"/>
                <w:szCs w:val="18"/>
              </w:rPr>
              <w:t>四川北路营业部</w:t>
            </w:r>
          </w:p>
        </w:tc>
        <w:tc>
          <w:tcPr>
            <w:tcW w:w="4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bCs/>
                <w:spacing w:val="25"/>
                <w:kern w:val="0"/>
                <w:sz w:val="18"/>
                <w:szCs w:val="18"/>
              </w:rPr>
            </w:pPr>
            <w:r>
              <w:rPr>
                <w:rFonts w:ascii="宋体" w:hAnsi="宋体" w:cs="Arial" w:hint="eastAsia"/>
                <w:kern w:val="0"/>
                <w:sz w:val="18"/>
                <w:szCs w:val="18"/>
              </w:rPr>
              <w:t>上海市四川北路525号宇航大厦2312室</w:t>
            </w:r>
          </w:p>
        </w:tc>
        <w:tc>
          <w:tcPr>
            <w:tcW w:w="2235"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021-63097527</w:t>
            </w:r>
          </w:p>
        </w:tc>
        <w:tc>
          <w:tcPr>
            <w:tcW w:w="779"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200085</w:t>
            </w:r>
          </w:p>
        </w:tc>
      </w:tr>
      <w:tr w:rsidR="009619D7" w:rsidTr="009619D7">
        <w:tc>
          <w:tcPr>
            <w:tcW w:w="1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bCs/>
                <w:spacing w:val="25"/>
                <w:kern w:val="0"/>
                <w:sz w:val="18"/>
                <w:szCs w:val="18"/>
              </w:rPr>
              <w:t>北京营业部</w:t>
            </w:r>
          </w:p>
        </w:tc>
        <w:tc>
          <w:tcPr>
            <w:tcW w:w="4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kern w:val="0"/>
                <w:sz w:val="18"/>
                <w:szCs w:val="18"/>
              </w:rPr>
              <w:t>北京市西城区宣武门西大街28号大成广场7门5层501室</w:t>
            </w:r>
          </w:p>
        </w:tc>
        <w:tc>
          <w:tcPr>
            <w:tcW w:w="2235"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kern w:val="0"/>
                <w:sz w:val="18"/>
                <w:szCs w:val="18"/>
              </w:rPr>
              <w:t>010-83120360</w:t>
            </w:r>
          </w:p>
        </w:tc>
        <w:tc>
          <w:tcPr>
            <w:tcW w:w="779"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kern w:val="0"/>
                <w:sz w:val="18"/>
                <w:szCs w:val="18"/>
              </w:rPr>
              <w:t>100031</w:t>
            </w:r>
          </w:p>
        </w:tc>
      </w:tr>
      <w:tr w:rsidR="009619D7" w:rsidTr="009619D7">
        <w:tc>
          <w:tcPr>
            <w:tcW w:w="1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bCs/>
                <w:spacing w:val="25"/>
                <w:kern w:val="0"/>
                <w:sz w:val="18"/>
                <w:szCs w:val="18"/>
              </w:rPr>
              <w:t>郑州营业部</w:t>
            </w:r>
          </w:p>
        </w:tc>
        <w:tc>
          <w:tcPr>
            <w:tcW w:w="4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kern w:val="0"/>
                <w:sz w:val="18"/>
                <w:szCs w:val="18"/>
              </w:rPr>
              <w:t>郑州市未来大道69号未来大厦2008A</w:t>
            </w:r>
          </w:p>
        </w:tc>
        <w:tc>
          <w:tcPr>
            <w:tcW w:w="2235"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kern w:val="0"/>
                <w:sz w:val="18"/>
                <w:szCs w:val="18"/>
              </w:rPr>
              <w:t>0371-65613455</w:t>
            </w:r>
          </w:p>
        </w:tc>
        <w:tc>
          <w:tcPr>
            <w:tcW w:w="779"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kern w:val="0"/>
                <w:sz w:val="18"/>
                <w:szCs w:val="18"/>
              </w:rPr>
              <w:t>450008</w:t>
            </w:r>
          </w:p>
        </w:tc>
      </w:tr>
      <w:tr w:rsidR="009619D7" w:rsidTr="009619D7">
        <w:tc>
          <w:tcPr>
            <w:tcW w:w="1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bCs/>
                <w:spacing w:val="25"/>
                <w:kern w:val="0"/>
                <w:sz w:val="18"/>
                <w:szCs w:val="18"/>
              </w:rPr>
              <w:t>福清营业部</w:t>
            </w:r>
          </w:p>
        </w:tc>
        <w:tc>
          <w:tcPr>
            <w:tcW w:w="4920" w:type="dxa"/>
            <w:tcBorders>
              <w:top w:val="single" w:sz="4" w:space="0" w:color="000000"/>
              <w:left w:val="single" w:sz="4" w:space="0" w:color="000000"/>
              <w:bottom w:val="single" w:sz="4" w:space="0" w:color="000000"/>
              <w:right w:val="single" w:sz="4" w:space="0" w:color="000000"/>
            </w:tcBorders>
            <w:hideMark/>
          </w:tcPr>
          <w:p w:rsidR="009619D7" w:rsidRDefault="0006471D">
            <w:pPr>
              <w:jc w:val="center"/>
              <w:rPr>
                <w:sz w:val="18"/>
                <w:szCs w:val="18"/>
              </w:rPr>
            </w:pPr>
            <w:r w:rsidRPr="0006471D">
              <w:rPr>
                <w:rFonts w:ascii="宋体" w:hAnsi="宋体" w:cs="Arial" w:hint="eastAsia"/>
                <w:kern w:val="0"/>
                <w:sz w:val="18"/>
                <w:szCs w:val="18"/>
              </w:rPr>
              <w:t>福清市音西街道福清万达广场A1号楼21层2105室、2106室</w:t>
            </w:r>
          </w:p>
        </w:tc>
        <w:tc>
          <w:tcPr>
            <w:tcW w:w="2235"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kern w:val="0"/>
                <w:sz w:val="18"/>
                <w:szCs w:val="18"/>
              </w:rPr>
              <w:t>0591-86006777/86005193</w:t>
            </w:r>
          </w:p>
        </w:tc>
        <w:tc>
          <w:tcPr>
            <w:tcW w:w="779"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sz w:val="18"/>
                <w:szCs w:val="18"/>
              </w:rPr>
            </w:pPr>
            <w:r>
              <w:rPr>
                <w:rFonts w:ascii="宋体" w:hAnsi="宋体" w:cs="Arial" w:hint="eastAsia"/>
                <w:kern w:val="0"/>
                <w:sz w:val="18"/>
                <w:szCs w:val="18"/>
              </w:rPr>
              <w:t>350300</w:t>
            </w:r>
          </w:p>
        </w:tc>
      </w:tr>
      <w:tr w:rsidR="009619D7" w:rsidTr="009619D7">
        <w:tc>
          <w:tcPr>
            <w:tcW w:w="1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bCs/>
                <w:spacing w:val="25"/>
                <w:kern w:val="0"/>
                <w:sz w:val="18"/>
                <w:szCs w:val="18"/>
              </w:rPr>
            </w:pPr>
            <w:r>
              <w:rPr>
                <w:rFonts w:ascii="宋体" w:hAnsi="宋体" w:cs="Arial" w:hint="eastAsia"/>
                <w:bCs/>
                <w:spacing w:val="25"/>
                <w:kern w:val="0"/>
                <w:sz w:val="18"/>
                <w:szCs w:val="18"/>
              </w:rPr>
              <w:t>泉州营业部</w:t>
            </w:r>
          </w:p>
        </w:tc>
        <w:tc>
          <w:tcPr>
            <w:tcW w:w="4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福建省泉州</w:t>
            </w:r>
            <w:proofErr w:type="gramStart"/>
            <w:r>
              <w:rPr>
                <w:rFonts w:ascii="宋体" w:hAnsi="宋体" w:cs="Arial" w:hint="eastAsia"/>
                <w:kern w:val="0"/>
                <w:sz w:val="18"/>
                <w:szCs w:val="18"/>
              </w:rPr>
              <w:t>市温陵</w:t>
            </w:r>
            <w:proofErr w:type="gramEnd"/>
            <w:r>
              <w:rPr>
                <w:rFonts w:ascii="宋体" w:hAnsi="宋体" w:cs="Arial" w:hint="eastAsia"/>
                <w:kern w:val="0"/>
                <w:sz w:val="18"/>
                <w:szCs w:val="18"/>
              </w:rPr>
              <w:t>北路72号</w:t>
            </w:r>
          </w:p>
        </w:tc>
        <w:tc>
          <w:tcPr>
            <w:tcW w:w="2235"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0591-86006777/86005193</w:t>
            </w:r>
          </w:p>
        </w:tc>
        <w:tc>
          <w:tcPr>
            <w:tcW w:w="779"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362000</w:t>
            </w:r>
          </w:p>
        </w:tc>
      </w:tr>
      <w:tr w:rsidR="009619D7" w:rsidTr="009619D7">
        <w:tc>
          <w:tcPr>
            <w:tcW w:w="1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bCs/>
                <w:spacing w:val="25"/>
                <w:kern w:val="0"/>
                <w:sz w:val="18"/>
                <w:szCs w:val="18"/>
              </w:rPr>
            </w:pPr>
            <w:r>
              <w:rPr>
                <w:rFonts w:ascii="宋体" w:hAnsi="宋体" w:cs="Arial" w:hint="eastAsia"/>
                <w:bCs/>
                <w:spacing w:val="25"/>
                <w:kern w:val="0"/>
                <w:sz w:val="18"/>
                <w:szCs w:val="18"/>
              </w:rPr>
              <w:t>宁德营业部</w:t>
            </w:r>
          </w:p>
        </w:tc>
        <w:tc>
          <w:tcPr>
            <w:tcW w:w="4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福建省宁德市闽东大广场华隆大厦7层</w:t>
            </w:r>
          </w:p>
        </w:tc>
        <w:tc>
          <w:tcPr>
            <w:tcW w:w="2235"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0593-7186777/7185193</w:t>
            </w:r>
          </w:p>
        </w:tc>
        <w:tc>
          <w:tcPr>
            <w:tcW w:w="779"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352100</w:t>
            </w:r>
          </w:p>
        </w:tc>
      </w:tr>
      <w:tr w:rsidR="009619D7" w:rsidTr="009619D7">
        <w:tc>
          <w:tcPr>
            <w:tcW w:w="1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bCs/>
                <w:spacing w:val="25"/>
                <w:kern w:val="0"/>
                <w:sz w:val="18"/>
                <w:szCs w:val="18"/>
              </w:rPr>
            </w:pPr>
            <w:r>
              <w:rPr>
                <w:rFonts w:ascii="宋体" w:hAnsi="宋体" w:cs="Arial" w:hint="eastAsia"/>
                <w:bCs/>
                <w:spacing w:val="25"/>
                <w:kern w:val="0"/>
                <w:sz w:val="18"/>
                <w:szCs w:val="18"/>
              </w:rPr>
              <w:t>厦门营业部</w:t>
            </w:r>
          </w:p>
        </w:tc>
        <w:tc>
          <w:tcPr>
            <w:tcW w:w="4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厦门思明区鹭江道98号建行大厦2908</w:t>
            </w:r>
          </w:p>
        </w:tc>
        <w:tc>
          <w:tcPr>
            <w:tcW w:w="2235"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0592-3248888</w:t>
            </w:r>
          </w:p>
        </w:tc>
        <w:tc>
          <w:tcPr>
            <w:tcW w:w="779"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361000</w:t>
            </w:r>
          </w:p>
        </w:tc>
      </w:tr>
      <w:tr w:rsidR="009619D7" w:rsidTr="009619D7">
        <w:tc>
          <w:tcPr>
            <w:tcW w:w="1920"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bCs/>
                <w:spacing w:val="25"/>
                <w:kern w:val="0"/>
                <w:sz w:val="18"/>
                <w:szCs w:val="18"/>
              </w:rPr>
            </w:pPr>
            <w:r>
              <w:rPr>
                <w:rFonts w:ascii="宋体" w:hAnsi="宋体" w:cs="Arial" w:hint="eastAsia"/>
                <w:bCs/>
                <w:spacing w:val="25"/>
                <w:kern w:val="0"/>
                <w:sz w:val="18"/>
                <w:szCs w:val="18"/>
              </w:rPr>
              <w:t>大连办事处</w:t>
            </w:r>
          </w:p>
        </w:tc>
        <w:tc>
          <w:tcPr>
            <w:tcW w:w="4920" w:type="dxa"/>
            <w:tcBorders>
              <w:top w:val="single" w:sz="4" w:space="0" w:color="000000"/>
              <w:left w:val="single" w:sz="4" w:space="0" w:color="000000"/>
              <w:bottom w:val="single" w:sz="4" w:space="0" w:color="000000"/>
              <w:right w:val="single" w:sz="4" w:space="0" w:color="000000"/>
            </w:tcBorders>
            <w:hideMark/>
          </w:tcPr>
          <w:p w:rsidR="009619D7" w:rsidRDefault="0006471D">
            <w:pPr>
              <w:jc w:val="center"/>
              <w:rPr>
                <w:rFonts w:ascii="宋体" w:hAnsi="宋体" w:cs="Arial"/>
                <w:kern w:val="0"/>
                <w:sz w:val="18"/>
                <w:szCs w:val="18"/>
              </w:rPr>
            </w:pPr>
            <w:r w:rsidRPr="00F32C9E">
              <w:rPr>
                <w:rFonts w:ascii="宋体" w:hAnsi="宋体" w:cs="Arial" w:hint="eastAsia"/>
                <w:kern w:val="0"/>
                <w:sz w:val="18"/>
                <w:szCs w:val="18"/>
              </w:rPr>
              <w:t>大连市沙河口区</w:t>
            </w:r>
            <w:proofErr w:type="gramStart"/>
            <w:r w:rsidRPr="00F32C9E">
              <w:rPr>
                <w:rFonts w:ascii="宋体" w:hAnsi="宋体" w:cs="Arial" w:hint="eastAsia"/>
                <w:kern w:val="0"/>
                <w:sz w:val="18"/>
                <w:szCs w:val="18"/>
              </w:rPr>
              <w:t>会展路</w:t>
            </w:r>
            <w:proofErr w:type="gramEnd"/>
            <w:r w:rsidRPr="00F32C9E">
              <w:rPr>
                <w:rFonts w:ascii="宋体" w:hAnsi="宋体" w:cs="Arial" w:hint="eastAsia"/>
                <w:kern w:val="0"/>
                <w:sz w:val="18"/>
                <w:szCs w:val="18"/>
              </w:rPr>
              <w:t>129号期货大厦2006A</w:t>
            </w:r>
          </w:p>
        </w:tc>
        <w:tc>
          <w:tcPr>
            <w:tcW w:w="2235"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0411-84807961</w:t>
            </w:r>
          </w:p>
        </w:tc>
        <w:tc>
          <w:tcPr>
            <w:tcW w:w="779" w:type="dxa"/>
            <w:tcBorders>
              <w:top w:val="single" w:sz="4" w:space="0" w:color="000000"/>
              <w:left w:val="single" w:sz="4" w:space="0" w:color="000000"/>
              <w:bottom w:val="single" w:sz="4" w:space="0" w:color="000000"/>
              <w:right w:val="single" w:sz="4" w:space="0" w:color="000000"/>
            </w:tcBorders>
            <w:hideMark/>
          </w:tcPr>
          <w:p w:rsidR="009619D7" w:rsidRDefault="009619D7">
            <w:pPr>
              <w:jc w:val="center"/>
              <w:rPr>
                <w:rFonts w:ascii="宋体" w:hAnsi="宋体" w:cs="Arial"/>
                <w:kern w:val="0"/>
                <w:sz w:val="18"/>
                <w:szCs w:val="18"/>
              </w:rPr>
            </w:pPr>
            <w:r>
              <w:rPr>
                <w:rFonts w:ascii="宋体" w:hAnsi="宋体" w:cs="Arial" w:hint="eastAsia"/>
                <w:kern w:val="0"/>
                <w:sz w:val="18"/>
                <w:szCs w:val="18"/>
              </w:rPr>
              <w:t>116023</w:t>
            </w:r>
          </w:p>
        </w:tc>
      </w:tr>
    </w:tbl>
    <w:p w:rsidR="009619D7" w:rsidRDefault="009619D7" w:rsidP="009619D7">
      <w:pPr>
        <w:rPr>
          <w:rFonts w:ascii="黑体" w:eastAsia="黑体"/>
          <w:b/>
          <w:sz w:val="24"/>
        </w:rPr>
      </w:pPr>
    </w:p>
    <w:p w:rsidR="009619D7" w:rsidRDefault="009619D7" w:rsidP="009619D7">
      <w:pPr>
        <w:rPr>
          <w:rFonts w:ascii="黑体" w:eastAsia="黑体"/>
          <w:b/>
          <w:sz w:val="24"/>
        </w:rPr>
      </w:pPr>
      <w:r>
        <w:rPr>
          <w:rFonts w:ascii="黑体" w:eastAsia="黑体" w:hint="eastAsia"/>
          <w:b/>
          <w:sz w:val="24"/>
        </w:rPr>
        <w:t>建信期货有限责任公司</w:t>
      </w:r>
    </w:p>
    <w:p w:rsidR="0006471D" w:rsidRPr="0006471D" w:rsidRDefault="0006471D" w:rsidP="0006471D">
      <w:pPr>
        <w:rPr>
          <w:sz w:val="18"/>
          <w:szCs w:val="18"/>
        </w:rPr>
      </w:pPr>
      <w:r w:rsidRPr="0006471D">
        <w:rPr>
          <w:rFonts w:hint="eastAsia"/>
          <w:sz w:val="18"/>
          <w:szCs w:val="18"/>
        </w:rPr>
        <w:t>地址：上海市浦东</w:t>
      </w:r>
      <w:proofErr w:type="gramStart"/>
      <w:r w:rsidRPr="0006471D">
        <w:rPr>
          <w:rFonts w:hint="eastAsia"/>
          <w:sz w:val="18"/>
          <w:szCs w:val="18"/>
        </w:rPr>
        <w:t>新区银</w:t>
      </w:r>
      <w:proofErr w:type="gramEnd"/>
      <w:r w:rsidRPr="0006471D">
        <w:rPr>
          <w:rFonts w:hint="eastAsia"/>
          <w:sz w:val="18"/>
          <w:szCs w:val="18"/>
        </w:rPr>
        <w:t>城路</w:t>
      </w:r>
      <w:r w:rsidRPr="0006471D">
        <w:rPr>
          <w:rFonts w:hint="eastAsia"/>
          <w:sz w:val="18"/>
          <w:szCs w:val="18"/>
        </w:rPr>
        <w:t xml:space="preserve"> 99 </w:t>
      </w:r>
      <w:r w:rsidRPr="0006471D">
        <w:rPr>
          <w:rFonts w:hint="eastAsia"/>
          <w:sz w:val="18"/>
          <w:szCs w:val="18"/>
        </w:rPr>
        <w:t>号（建行大厦）</w:t>
      </w:r>
      <w:r w:rsidRPr="0006471D">
        <w:rPr>
          <w:rFonts w:hint="eastAsia"/>
          <w:sz w:val="18"/>
          <w:szCs w:val="18"/>
        </w:rPr>
        <w:t xml:space="preserve">5 </w:t>
      </w:r>
      <w:r w:rsidRPr="0006471D">
        <w:rPr>
          <w:rFonts w:hint="eastAsia"/>
          <w:sz w:val="18"/>
          <w:szCs w:val="18"/>
        </w:rPr>
        <w:t>楼</w:t>
      </w:r>
      <w:r w:rsidRPr="0006471D">
        <w:rPr>
          <w:rFonts w:hint="eastAsia"/>
          <w:sz w:val="18"/>
          <w:szCs w:val="18"/>
        </w:rPr>
        <w:t xml:space="preserve"> </w:t>
      </w:r>
    </w:p>
    <w:p w:rsidR="0006471D" w:rsidRDefault="0006471D" w:rsidP="0006471D">
      <w:pPr>
        <w:rPr>
          <w:sz w:val="18"/>
          <w:szCs w:val="18"/>
        </w:rPr>
      </w:pPr>
      <w:r w:rsidRPr="0006471D">
        <w:rPr>
          <w:rFonts w:hint="eastAsia"/>
          <w:sz w:val="18"/>
          <w:szCs w:val="18"/>
        </w:rPr>
        <w:t>邮编：</w:t>
      </w:r>
      <w:r w:rsidRPr="0006471D">
        <w:rPr>
          <w:rFonts w:hint="eastAsia"/>
          <w:sz w:val="18"/>
          <w:szCs w:val="18"/>
        </w:rPr>
        <w:t>200120</w:t>
      </w:r>
    </w:p>
    <w:p w:rsidR="009619D7" w:rsidRDefault="009619D7" w:rsidP="0006471D">
      <w:pPr>
        <w:rPr>
          <w:sz w:val="18"/>
          <w:szCs w:val="18"/>
        </w:rPr>
      </w:pPr>
      <w:r>
        <w:rPr>
          <w:rFonts w:hint="eastAsia"/>
          <w:sz w:val="18"/>
          <w:szCs w:val="18"/>
        </w:rPr>
        <w:t>邮箱：</w:t>
      </w:r>
      <w:r>
        <w:rPr>
          <w:sz w:val="18"/>
          <w:szCs w:val="18"/>
        </w:rPr>
        <w:t>khb@ccbfutures.com</w:t>
      </w:r>
    </w:p>
    <w:p w:rsidR="009619D7" w:rsidRDefault="009619D7" w:rsidP="009619D7">
      <w:pPr>
        <w:rPr>
          <w:sz w:val="18"/>
          <w:szCs w:val="18"/>
        </w:rPr>
      </w:pPr>
      <w:r>
        <w:rPr>
          <w:rFonts w:hint="eastAsia"/>
          <w:sz w:val="18"/>
          <w:szCs w:val="18"/>
        </w:rPr>
        <w:t>网址：</w:t>
      </w:r>
      <w:r>
        <w:rPr>
          <w:sz w:val="18"/>
          <w:szCs w:val="18"/>
        </w:rPr>
        <w:t>http://www.ccbfutures.com</w:t>
      </w:r>
    </w:p>
    <w:p w:rsidR="00131D38" w:rsidRPr="009619D7" w:rsidRDefault="009619D7" w:rsidP="009619D7">
      <w:pPr>
        <w:jc w:val="left"/>
      </w:pPr>
      <w:r>
        <w:rPr>
          <w:rFonts w:hint="eastAsia"/>
          <w:sz w:val="18"/>
          <w:szCs w:val="18"/>
        </w:rPr>
        <w:t>全国客服电话：</w:t>
      </w:r>
      <w:r>
        <w:rPr>
          <w:sz w:val="18"/>
          <w:szCs w:val="18"/>
        </w:rPr>
        <w:t>400-90- 95533</w:t>
      </w:r>
    </w:p>
    <w:sectPr w:rsidR="00131D38" w:rsidRPr="009619D7" w:rsidSect="00E92681">
      <w:headerReference w:type="default" r:id="rId12"/>
      <w:footerReference w:type="default" r:id="rId13"/>
      <w:pgSz w:w="11906" w:h="16838"/>
      <w:pgMar w:top="1440" w:right="1134" w:bottom="1440" w:left="1134" w:header="850" w:footer="992" w:gutter="0"/>
      <w:pgNumType w:start="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FC0" w:rsidRDefault="00CA1FC0">
      <w:r>
        <w:separator/>
      </w:r>
    </w:p>
  </w:endnote>
  <w:endnote w:type="continuationSeparator" w:id="0">
    <w:p w:rsidR="00CA1FC0" w:rsidRDefault="00CA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行楷">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86" w:rsidRDefault="00E540E6">
    <w:pPr>
      <w:pStyle w:val="a5"/>
      <w:pBdr>
        <w:top w:val="thinThickSmallGap" w:sz="24" w:space="1" w:color="000080"/>
      </w:pBdr>
      <w:tabs>
        <w:tab w:val="clear" w:pos="4153"/>
        <w:tab w:val="clear" w:pos="8306"/>
        <w:tab w:val="right" w:pos="9638"/>
      </w:tabs>
      <w:rPr>
        <w:rFonts w:ascii="楷体" w:eastAsia="楷体" w:hAnsi="楷体"/>
        <w:color w:val="000080"/>
        <w:sz w:val="24"/>
        <w:szCs w:val="24"/>
      </w:rPr>
    </w:pPr>
    <w:r>
      <w:rPr>
        <w:rFonts w:ascii="楷体" w:eastAsia="楷体" w:hAnsi="楷体" w:hint="eastAsia"/>
        <w:color w:val="000080"/>
        <w:sz w:val="24"/>
        <w:szCs w:val="24"/>
      </w:rPr>
      <w:t>请阅读正文后的声明</w:t>
    </w:r>
    <w:r>
      <w:rPr>
        <w:rFonts w:ascii="楷体" w:eastAsia="楷体" w:hAnsi="楷体"/>
        <w:color w:val="F79646"/>
        <w:sz w:val="24"/>
        <w:szCs w:val="24"/>
        <w:lang w:val="zh-CN"/>
      </w:rPr>
      <w:tab/>
    </w:r>
    <w:r w:rsidR="00BD14FF">
      <w:rPr>
        <w:rFonts w:ascii="楷体" w:eastAsia="楷体" w:hAnsi="楷体"/>
        <w:color w:val="000080"/>
        <w:sz w:val="24"/>
        <w:szCs w:val="24"/>
      </w:rPr>
      <w:fldChar w:fldCharType="begin"/>
    </w:r>
    <w:r>
      <w:rPr>
        <w:rFonts w:ascii="楷体" w:eastAsia="楷体" w:hAnsi="楷体"/>
        <w:color w:val="000080"/>
        <w:sz w:val="24"/>
        <w:szCs w:val="24"/>
      </w:rPr>
      <w:instrText xml:space="preserve"> PAGE   \* MERGEFORMAT </w:instrText>
    </w:r>
    <w:r w:rsidR="00BD14FF">
      <w:rPr>
        <w:rFonts w:ascii="楷体" w:eastAsia="楷体" w:hAnsi="楷体"/>
        <w:color w:val="000080"/>
        <w:sz w:val="24"/>
        <w:szCs w:val="24"/>
      </w:rPr>
      <w:fldChar w:fldCharType="separate"/>
    </w:r>
    <w:r w:rsidR="0065679A" w:rsidRPr="0065679A">
      <w:rPr>
        <w:rFonts w:ascii="楷体" w:eastAsia="楷体" w:hAnsi="楷体"/>
        <w:noProof/>
        <w:color w:val="000080"/>
        <w:sz w:val="24"/>
        <w:szCs w:val="24"/>
        <w:lang w:val="zh-CN"/>
      </w:rPr>
      <w:t>0</w:t>
    </w:r>
    <w:r w:rsidR="00BD14FF">
      <w:rPr>
        <w:rFonts w:ascii="楷体" w:eastAsia="楷体" w:hAnsi="楷体"/>
        <w:color w:val="000080"/>
        <w:sz w:val="24"/>
        <w:szCs w:val="24"/>
      </w:rPr>
      <w:fldChar w:fldCharType="end"/>
    </w:r>
  </w:p>
  <w:p w:rsidR="00DA5386" w:rsidRDefault="00DA5386">
    <w:pPr>
      <w:pStyle w:val="a5"/>
      <w:rPr>
        <w:rFonts w:ascii="楷体" w:eastAsia="楷体" w:hAnsi="楷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FC0" w:rsidRDefault="00CA1FC0">
      <w:r>
        <w:separator/>
      </w:r>
    </w:p>
  </w:footnote>
  <w:footnote w:type="continuationSeparator" w:id="0">
    <w:p w:rsidR="00CA1FC0" w:rsidRDefault="00CA1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86" w:rsidRDefault="00DA5386">
    <w:pPr>
      <w:pStyle w:val="a6"/>
      <w:pBdr>
        <w:bottom w:val="single" w:sz="6" w:space="1" w:color="000080"/>
      </w:pBdr>
      <w:jc w:val="both"/>
    </w:pPr>
  </w:p>
  <w:p w:rsidR="00DA5386" w:rsidRDefault="00E540E6">
    <w:pPr>
      <w:pStyle w:val="a6"/>
      <w:pBdr>
        <w:bottom w:val="single" w:sz="6" w:space="1" w:color="000080"/>
      </w:pBdr>
      <w:jc w:val="left"/>
    </w:pPr>
    <w:r>
      <w:rPr>
        <w:rFonts w:ascii="楷体" w:eastAsia="楷体" w:hAnsi="楷体" w:hint="eastAsia"/>
        <w:b/>
        <w:color w:val="000080"/>
        <w:sz w:val="28"/>
        <w:szCs w:val="28"/>
      </w:rPr>
      <w:t>建信期货研究中心投资报告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91D81"/>
    <w:multiLevelType w:val="hybridMultilevel"/>
    <w:tmpl w:val="F39AE53C"/>
    <w:lvl w:ilvl="0" w:tplc="32A08BA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108476F"/>
    <w:multiLevelType w:val="hybridMultilevel"/>
    <w:tmpl w:val="E5CE948A"/>
    <w:lvl w:ilvl="0" w:tplc="6FC8ED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DF2556"/>
    <w:multiLevelType w:val="hybridMultilevel"/>
    <w:tmpl w:val="6B32E84C"/>
    <w:lvl w:ilvl="0" w:tplc="098ED972">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C66066"/>
    <w:multiLevelType w:val="multilevel"/>
    <w:tmpl w:val="3BC6606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54B84ECB"/>
    <w:multiLevelType w:val="hybridMultilevel"/>
    <w:tmpl w:val="5E86BB06"/>
    <w:lvl w:ilvl="0" w:tplc="7D34C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354AFC"/>
    <w:multiLevelType w:val="multilevel"/>
    <w:tmpl w:val="7C354AFC"/>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EA"/>
    <w:rsid w:val="00010648"/>
    <w:rsid w:val="0003416E"/>
    <w:rsid w:val="00043E0C"/>
    <w:rsid w:val="00055861"/>
    <w:rsid w:val="0006471D"/>
    <w:rsid w:val="000670D9"/>
    <w:rsid w:val="00073944"/>
    <w:rsid w:val="00083157"/>
    <w:rsid w:val="000957B9"/>
    <w:rsid w:val="000A5269"/>
    <w:rsid w:val="000B0A5D"/>
    <w:rsid w:val="000C06BB"/>
    <w:rsid w:val="000F01DC"/>
    <w:rsid w:val="000F5D56"/>
    <w:rsid w:val="00102590"/>
    <w:rsid w:val="00115819"/>
    <w:rsid w:val="00117F43"/>
    <w:rsid w:val="00120D3A"/>
    <w:rsid w:val="00131D38"/>
    <w:rsid w:val="001428DA"/>
    <w:rsid w:val="00143B8F"/>
    <w:rsid w:val="0015387C"/>
    <w:rsid w:val="00154143"/>
    <w:rsid w:val="00165DF9"/>
    <w:rsid w:val="001878A0"/>
    <w:rsid w:val="00192839"/>
    <w:rsid w:val="001943EE"/>
    <w:rsid w:val="001A7CF6"/>
    <w:rsid w:val="001B06B7"/>
    <w:rsid w:val="001B0AFB"/>
    <w:rsid w:val="001B150A"/>
    <w:rsid w:val="001B5EAA"/>
    <w:rsid w:val="001C6809"/>
    <w:rsid w:val="001D1258"/>
    <w:rsid w:val="001D529F"/>
    <w:rsid w:val="002003D6"/>
    <w:rsid w:val="00204D29"/>
    <w:rsid w:val="00221ACB"/>
    <w:rsid w:val="0025321F"/>
    <w:rsid w:val="002A172C"/>
    <w:rsid w:val="002A514A"/>
    <w:rsid w:val="002B2037"/>
    <w:rsid w:val="002B2951"/>
    <w:rsid w:val="002B4784"/>
    <w:rsid w:val="002B6EEC"/>
    <w:rsid w:val="002C634E"/>
    <w:rsid w:val="002D0F2C"/>
    <w:rsid w:val="002D14C1"/>
    <w:rsid w:val="002D328C"/>
    <w:rsid w:val="002F32A8"/>
    <w:rsid w:val="00342BA4"/>
    <w:rsid w:val="00343557"/>
    <w:rsid w:val="00355BAA"/>
    <w:rsid w:val="00356C8D"/>
    <w:rsid w:val="0036024D"/>
    <w:rsid w:val="003636FE"/>
    <w:rsid w:val="0037050C"/>
    <w:rsid w:val="0037609E"/>
    <w:rsid w:val="00380DF5"/>
    <w:rsid w:val="003902A4"/>
    <w:rsid w:val="00391C45"/>
    <w:rsid w:val="00392748"/>
    <w:rsid w:val="0039548A"/>
    <w:rsid w:val="003A1425"/>
    <w:rsid w:val="003A1C24"/>
    <w:rsid w:val="003A4FFF"/>
    <w:rsid w:val="003C1F84"/>
    <w:rsid w:val="003C6E1F"/>
    <w:rsid w:val="003F64AA"/>
    <w:rsid w:val="004069A8"/>
    <w:rsid w:val="004138AC"/>
    <w:rsid w:val="00421216"/>
    <w:rsid w:val="0042191B"/>
    <w:rsid w:val="00431704"/>
    <w:rsid w:val="0044148C"/>
    <w:rsid w:val="00444056"/>
    <w:rsid w:val="00447A35"/>
    <w:rsid w:val="0045076E"/>
    <w:rsid w:val="00452B13"/>
    <w:rsid w:val="004570DE"/>
    <w:rsid w:val="00465707"/>
    <w:rsid w:val="00466994"/>
    <w:rsid w:val="004669E2"/>
    <w:rsid w:val="00467497"/>
    <w:rsid w:val="0048022D"/>
    <w:rsid w:val="00482452"/>
    <w:rsid w:val="00483575"/>
    <w:rsid w:val="00485EB1"/>
    <w:rsid w:val="00487BFF"/>
    <w:rsid w:val="004974B3"/>
    <w:rsid w:val="004A07E5"/>
    <w:rsid w:val="004A3D73"/>
    <w:rsid w:val="004B4974"/>
    <w:rsid w:val="004B6683"/>
    <w:rsid w:val="004C32EC"/>
    <w:rsid w:val="004C76F9"/>
    <w:rsid w:val="004D2F46"/>
    <w:rsid w:val="004D5CB6"/>
    <w:rsid w:val="004E065D"/>
    <w:rsid w:val="00524DE1"/>
    <w:rsid w:val="005273E7"/>
    <w:rsid w:val="00532F14"/>
    <w:rsid w:val="005412EE"/>
    <w:rsid w:val="00546919"/>
    <w:rsid w:val="005502CB"/>
    <w:rsid w:val="00555E7A"/>
    <w:rsid w:val="00556770"/>
    <w:rsid w:val="005567DD"/>
    <w:rsid w:val="00557E53"/>
    <w:rsid w:val="00563440"/>
    <w:rsid w:val="0056513E"/>
    <w:rsid w:val="005678FF"/>
    <w:rsid w:val="0057381C"/>
    <w:rsid w:val="0058682E"/>
    <w:rsid w:val="00592141"/>
    <w:rsid w:val="005A0D17"/>
    <w:rsid w:val="005B5003"/>
    <w:rsid w:val="005B732D"/>
    <w:rsid w:val="005D532C"/>
    <w:rsid w:val="005E00FC"/>
    <w:rsid w:val="005E7C6A"/>
    <w:rsid w:val="005F146B"/>
    <w:rsid w:val="005F14A7"/>
    <w:rsid w:val="005F1C3A"/>
    <w:rsid w:val="005F2458"/>
    <w:rsid w:val="005F2868"/>
    <w:rsid w:val="00612DA6"/>
    <w:rsid w:val="00615F77"/>
    <w:rsid w:val="00617CBE"/>
    <w:rsid w:val="00621468"/>
    <w:rsid w:val="00627300"/>
    <w:rsid w:val="00640737"/>
    <w:rsid w:val="0064692B"/>
    <w:rsid w:val="00654B72"/>
    <w:rsid w:val="0065679A"/>
    <w:rsid w:val="00670C2B"/>
    <w:rsid w:val="0067488A"/>
    <w:rsid w:val="00674D2B"/>
    <w:rsid w:val="006816AC"/>
    <w:rsid w:val="006848CA"/>
    <w:rsid w:val="006A1E70"/>
    <w:rsid w:val="006A252A"/>
    <w:rsid w:val="006A3B42"/>
    <w:rsid w:val="006B0AAA"/>
    <w:rsid w:val="006C72B3"/>
    <w:rsid w:val="006D1978"/>
    <w:rsid w:val="006D79EB"/>
    <w:rsid w:val="006E0042"/>
    <w:rsid w:val="006F3B73"/>
    <w:rsid w:val="00702839"/>
    <w:rsid w:val="00702D7F"/>
    <w:rsid w:val="0071338F"/>
    <w:rsid w:val="00732AEF"/>
    <w:rsid w:val="0073370B"/>
    <w:rsid w:val="00751651"/>
    <w:rsid w:val="0075643E"/>
    <w:rsid w:val="007568F4"/>
    <w:rsid w:val="00761FD0"/>
    <w:rsid w:val="00774561"/>
    <w:rsid w:val="00792D6B"/>
    <w:rsid w:val="007B0828"/>
    <w:rsid w:val="007C1576"/>
    <w:rsid w:val="007D77A9"/>
    <w:rsid w:val="007D7879"/>
    <w:rsid w:val="007E2E63"/>
    <w:rsid w:val="007F0BC2"/>
    <w:rsid w:val="007F207D"/>
    <w:rsid w:val="007F32E3"/>
    <w:rsid w:val="007F4F69"/>
    <w:rsid w:val="00802283"/>
    <w:rsid w:val="00823759"/>
    <w:rsid w:val="00831C68"/>
    <w:rsid w:val="00832E87"/>
    <w:rsid w:val="00842417"/>
    <w:rsid w:val="00844728"/>
    <w:rsid w:val="00853A01"/>
    <w:rsid w:val="008630E1"/>
    <w:rsid w:val="008637F9"/>
    <w:rsid w:val="0087369C"/>
    <w:rsid w:val="00873985"/>
    <w:rsid w:val="00877E0A"/>
    <w:rsid w:val="00887167"/>
    <w:rsid w:val="00894D4C"/>
    <w:rsid w:val="008A43EA"/>
    <w:rsid w:val="008D3BD1"/>
    <w:rsid w:val="008D519C"/>
    <w:rsid w:val="008E2783"/>
    <w:rsid w:val="008E72D5"/>
    <w:rsid w:val="008F0400"/>
    <w:rsid w:val="008F228C"/>
    <w:rsid w:val="0090271C"/>
    <w:rsid w:val="00903B0C"/>
    <w:rsid w:val="009048DD"/>
    <w:rsid w:val="00906850"/>
    <w:rsid w:val="0091275A"/>
    <w:rsid w:val="009139AD"/>
    <w:rsid w:val="009258F5"/>
    <w:rsid w:val="0093357E"/>
    <w:rsid w:val="009518EB"/>
    <w:rsid w:val="009602BD"/>
    <w:rsid w:val="009619D7"/>
    <w:rsid w:val="009620D7"/>
    <w:rsid w:val="00971FF5"/>
    <w:rsid w:val="00976500"/>
    <w:rsid w:val="009911E1"/>
    <w:rsid w:val="009959C6"/>
    <w:rsid w:val="009A1EAB"/>
    <w:rsid w:val="009A3CA3"/>
    <w:rsid w:val="009C00A2"/>
    <w:rsid w:val="009C0EC1"/>
    <w:rsid w:val="009C5563"/>
    <w:rsid w:val="009C570A"/>
    <w:rsid w:val="009C62E7"/>
    <w:rsid w:val="009D2340"/>
    <w:rsid w:val="009D4AE9"/>
    <w:rsid w:val="009D7F74"/>
    <w:rsid w:val="009F46C8"/>
    <w:rsid w:val="009F5A94"/>
    <w:rsid w:val="00A06703"/>
    <w:rsid w:val="00A10BDD"/>
    <w:rsid w:val="00A14744"/>
    <w:rsid w:val="00A2041B"/>
    <w:rsid w:val="00A21A95"/>
    <w:rsid w:val="00A300EB"/>
    <w:rsid w:val="00A444AE"/>
    <w:rsid w:val="00A540D3"/>
    <w:rsid w:val="00A672CB"/>
    <w:rsid w:val="00A71A7C"/>
    <w:rsid w:val="00A72DC0"/>
    <w:rsid w:val="00A82E52"/>
    <w:rsid w:val="00A95E6B"/>
    <w:rsid w:val="00AA7428"/>
    <w:rsid w:val="00AB19F3"/>
    <w:rsid w:val="00AC3EFA"/>
    <w:rsid w:val="00AC41A2"/>
    <w:rsid w:val="00AD75C1"/>
    <w:rsid w:val="00AE5C1A"/>
    <w:rsid w:val="00B00C98"/>
    <w:rsid w:val="00B25964"/>
    <w:rsid w:val="00B32BEC"/>
    <w:rsid w:val="00B35570"/>
    <w:rsid w:val="00B35E56"/>
    <w:rsid w:val="00B37F0E"/>
    <w:rsid w:val="00B45DAB"/>
    <w:rsid w:val="00B51E8F"/>
    <w:rsid w:val="00B5310F"/>
    <w:rsid w:val="00B62781"/>
    <w:rsid w:val="00B73F39"/>
    <w:rsid w:val="00B7685D"/>
    <w:rsid w:val="00B93EB4"/>
    <w:rsid w:val="00BA12B8"/>
    <w:rsid w:val="00BA2437"/>
    <w:rsid w:val="00BB169D"/>
    <w:rsid w:val="00BB68E3"/>
    <w:rsid w:val="00BB74B4"/>
    <w:rsid w:val="00BC4ACB"/>
    <w:rsid w:val="00BC61D1"/>
    <w:rsid w:val="00BD14FF"/>
    <w:rsid w:val="00BD3CEE"/>
    <w:rsid w:val="00BD57A4"/>
    <w:rsid w:val="00BF23FE"/>
    <w:rsid w:val="00C03AA5"/>
    <w:rsid w:val="00C233AC"/>
    <w:rsid w:val="00C256E9"/>
    <w:rsid w:val="00C25ABD"/>
    <w:rsid w:val="00C50E8C"/>
    <w:rsid w:val="00C61882"/>
    <w:rsid w:val="00C64F9A"/>
    <w:rsid w:val="00C71958"/>
    <w:rsid w:val="00C7584E"/>
    <w:rsid w:val="00C82AB3"/>
    <w:rsid w:val="00C92A80"/>
    <w:rsid w:val="00CA1FC0"/>
    <w:rsid w:val="00CB2CD5"/>
    <w:rsid w:val="00CC26D2"/>
    <w:rsid w:val="00CE3750"/>
    <w:rsid w:val="00CE4B4F"/>
    <w:rsid w:val="00D069A4"/>
    <w:rsid w:val="00D36EC6"/>
    <w:rsid w:val="00D37DF7"/>
    <w:rsid w:val="00D510F6"/>
    <w:rsid w:val="00D66BA5"/>
    <w:rsid w:val="00D901FA"/>
    <w:rsid w:val="00D919D4"/>
    <w:rsid w:val="00D9631C"/>
    <w:rsid w:val="00D979B4"/>
    <w:rsid w:val="00DA1CDD"/>
    <w:rsid w:val="00DA412B"/>
    <w:rsid w:val="00DA5386"/>
    <w:rsid w:val="00DB132A"/>
    <w:rsid w:val="00DB7464"/>
    <w:rsid w:val="00DC03D6"/>
    <w:rsid w:val="00DD2605"/>
    <w:rsid w:val="00DE1EB3"/>
    <w:rsid w:val="00DE25CD"/>
    <w:rsid w:val="00DE26E4"/>
    <w:rsid w:val="00DE3DFC"/>
    <w:rsid w:val="00DF6638"/>
    <w:rsid w:val="00E04DF3"/>
    <w:rsid w:val="00E07924"/>
    <w:rsid w:val="00E07E8C"/>
    <w:rsid w:val="00E24D8B"/>
    <w:rsid w:val="00E32533"/>
    <w:rsid w:val="00E337A5"/>
    <w:rsid w:val="00E33830"/>
    <w:rsid w:val="00E35F19"/>
    <w:rsid w:val="00E45B18"/>
    <w:rsid w:val="00E50311"/>
    <w:rsid w:val="00E540E6"/>
    <w:rsid w:val="00E82F35"/>
    <w:rsid w:val="00E92681"/>
    <w:rsid w:val="00E95A25"/>
    <w:rsid w:val="00EA1A51"/>
    <w:rsid w:val="00EC1EE8"/>
    <w:rsid w:val="00EC55AF"/>
    <w:rsid w:val="00EC5660"/>
    <w:rsid w:val="00ED0278"/>
    <w:rsid w:val="00ED1A65"/>
    <w:rsid w:val="00ED25D4"/>
    <w:rsid w:val="00EE479B"/>
    <w:rsid w:val="00EF0553"/>
    <w:rsid w:val="00EF579D"/>
    <w:rsid w:val="00F05BF9"/>
    <w:rsid w:val="00F202D3"/>
    <w:rsid w:val="00F20D20"/>
    <w:rsid w:val="00F321A3"/>
    <w:rsid w:val="00F34E08"/>
    <w:rsid w:val="00F37704"/>
    <w:rsid w:val="00F414F8"/>
    <w:rsid w:val="00F4172F"/>
    <w:rsid w:val="00F41BFE"/>
    <w:rsid w:val="00F6346C"/>
    <w:rsid w:val="00F919D2"/>
    <w:rsid w:val="00FC54F9"/>
    <w:rsid w:val="00FD0D08"/>
    <w:rsid w:val="00FD4049"/>
    <w:rsid w:val="00FE2595"/>
    <w:rsid w:val="00FE49E5"/>
    <w:rsid w:val="00FE5FC8"/>
    <w:rsid w:val="00FE6302"/>
    <w:rsid w:val="00FF3D14"/>
    <w:rsid w:val="00FF67ED"/>
    <w:rsid w:val="442132AE"/>
    <w:rsid w:val="774560E5"/>
    <w:rsid w:val="7B1E0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3CA3E8A-0556-4E0B-85FE-F441A773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681"/>
    <w:pPr>
      <w:widowControl w:val="0"/>
      <w:jc w:val="both"/>
    </w:pPr>
    <w:rPr>
      <w:kern w:val="2"/>
      <w:sz w:val="21"/>
      <w:szCs w:val="24"/>
    </w:rPr>
  </w:style>
  <w:style w:type="paragraph" w:styleId="1">
    <w:name w:val="heading 1"/>
    <w:basedOn w:val="a"/>
    <w:next w:val="a"/>
    <w:link w:val="1Char"/>
    <w:qFormat/>
    <w:rsid w:val="00E92681"/>
    <w:pPr>
      <w:keepNext/>
      <w:keepLines/>
      <w:spacing w:beforeLines="10" w:afterLines="10" w:line="360" w:lineRule="auto"/>
      <w:outlineLvl w:val="0"/>
    </w:pPr>
    <w:rPr>
      <w:b/>
      <w:bCs/>
      <w:kern w:val="44"/>
      <w:sz w:val="32"/>
      <w:szCs w:val="44"/>
    </w:rPr>
  </w:style>
  <w:style w:type="paragraph" w:styleId="2">
    <w:name w:val="heading 2"/>
    <w:basedOn w:val="a"/>
    <w:next w:val="a"/>
    <w:link w:val="2Char"/>
    <w:unhideWhenUsed/>
    <w:qFormat/>
    <w:rsid w:val="00E9268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E92681"/>
    <w:rPr>
      <w:rFonts w:ascii="宋体"/>
      <w:sz w:val="18"/>
      <w:szCs w:val="18"/>
    </w:rPr>
  </w:style>
  <w:style w:type="paragraph" w:styleId="a4">
    <w:name w:val="Balloon Text"/>
    <w:basedOn w:val="a"/>
    <w:link w:val="Char0"/>
    <w:rsid w:val="00E92681"/>
    <w:rPr>
      <w:sz w:val="18"/>
      <w:szCs w:val="18"/>
    </w:rPr>
  </w:style>
  <w:style w:type="paragraph" w:styleId="a5">
    <w:name w:val="footer"/>
    <w:basedOn w:val="a"/>
    <w:link w:val="Char1"/>
    <w:uiPriority w:val="99"/>
    <w:rsid w:val="00E92681"/>
    <w:pPr>
      <w:tabs>
        <w:tab w:val="center" w:pos="4153"/>
        <w:tab w:val="right" w:pos="8306"/>
      </w:tabs>
      <w:snapToGrid w:val="0"/>
      <w:jc w:val="left"/>
    </w:pPr>
    <w:rPr>
      <w:sz w:val="18"/>
      <w:szCs w:val="18"/>
    </w:rPr>
  </w:style>
  <w:style w:type="paragraph" w:styleId="a6">
    <w:name w:val="header"/>
    <w:basedOn w:val="a"/>
    <w:link w:val="Char2"/>
    <w:uiPriority w:val="99"/>
    <w:rsid w:val="00E92681"/>
    <w:pPr>
      <w:pBdr>
        <w:bottom w:val="single" w:sz="6" w:space="1" w:color="auto"/>
      </w:pBdr>
      <w:tabs>
        <w:tab w:val="center" w:pos="4153"/>
        <w:tab w:val="right" w:pos="8306"/>
      </w:tabs>
      <w:snapToGrid w:val="0"/>
      <w:jc w:val="center"/>
    </w:pPr>
    <w:rPr>
      <w:sz w:val="18"/>
      <w:szCs w:val="18"/>
    </w:rPr>
  </w:style>
  <w:style w:type="character" w:styleId="a7">
    <w:name w:val="Hyperlink"/>
    <w:rsid w:val="00E92681"/>
    <w:rPr>
      <w:color w:val="0000FF"/>
      <w:u w:val="single"/>
    </w:rPr>
  </w:style>
  <w:style w:type="table" w:styleId="a8">
    <w:name w:val="Table Grid"/>
    <w:basedOn w:val="a1"/>
    <w:rsid w:val="00E926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a"/>
    <w:next w:val="a"/>
    <w:rsid w:val="00E92681"/>
    <w:pPr>
      <w:autoSpaceDE w:val="0"/>
      <w:autoSpaceDN w:val="0"/>
      <w:adjustRightInd w:val="0"/>
      <w:jc w:val="left"/>
    </w:pPr>
    <w:rPr>
      <w:rFonts w:ascii="华文行楷" w:eastAsia="华文行楷"/>
      <w:kern w:val="0"/>
      <w:sz w:val="24"/>
    </w:rPr>
  </w:style>
  <w:style w:type="paragraph" w:customStyle="1" w:styleId="CM2">
    <w:name w:val="CM2"/>
    <w:basedOn w:val="a"/>
    <w:next w:val="a"/>
    <w:rsid w:val="00E92681"/>
    <w:pPr>
      <w:autoSpaceDE w:val="0"/>
      <w:autoSpaceDN w:val="0"/>
      <w:adjustRightInd w:val="0"/>
      <w:spacing w:line="313" w:lineRule="atLeast"/>
      <w:jc w:val="left"/>
    </w:pPr>
    <w:rPr>
      <w:rFonts w:ascii="华文行楷" w:eastAsia="华文行楷"/>
      <w:kern w:val="0"/>
      <w:sz w:val="24"/>
    </w:rPr>
  </w:style>
  <w:style w:type="paragraph" w:customStyle="1" w:styleId="Default">
    <w:name w:val="Default"/>
    <w:rsid w:val="00E92681"/>
    <w:pPr>
      <w:widowControl w:val="0"/>
      <w:autoSpaceDE w:val="0"/>
      <w:autoSpaceDN w:val="0"/>
      <w:adjustRightInd w:val="0"/>
    </w:pPr>
    <w:rPr>
      <w:rFonts w:ascii="华文行楷" w:eastAsia="华文行楷" w:cs="华文行楷"/>
      <w:color w:val="000000"/>
      <w:sz w:val="24"/>
      <w:szCs w:val="24"/>
    </w:rPr>
  </w:style>
  <w:style w:type="paragraph" w:customStyle="1" w:styleId="CM12">
    <w:name w:val="CM12"/>
    <w:basedOn w:val="Default"/>
    <w:next w:val="Default"/>
    <w:rsid w:val="00E92681"/>
    <w:pPr>
      <w:spacing w:after="598"/>
    </w:pPr>
    <w:rPr>
      <w:rFonts w:cs="Times New Roman"/>
      <w:color w:val="auto"/>
    </w:rPr>
  </w:style>
  <w:style w:type="paragraph" w:customStyle="1" w:styleId="CharChar2CharCharCharCharCharCharChar">
    <w:name w:val="Char Char2 Char Char Char Char Char Char Char"/>
    <w:basedOn w:val="CM12"/>
    <w:next w:val="10"/>
    <w:rsid w:val="00E92681"/>
    <w:pPr>
      <w:shd w:val="clear" w:color="auto" w:fill="000080"/>
      <w:adjustRightInd/>
      <w:spacing w:after="0"/>
      <w:jc w:val="both"/>
    </w:pPr>
    <w:rPr>
      <w:rFonts w:ascii="Tahoma" w:eastAsia="宋体" w:hAnsi="Tahoma"/>
      <w:kern w:val="2"/>
    </w:rPr>
  </w:style>
  <w:style w:type="paragraph" w:customStyle="1" w:styleId="10">
    <w:name w:val="引用1"/>
    <w:basedOn w:val="a"/>
    <w:next w:val="a"/>
    <w:link w:val="Char3"/>
    <w:uiPriority w:val="29"/>
    <w:qFormat/>
    <w:rsid w:val="00E92681"/>
    <w:rPr>
      <w:b/>
      <w:iCs/>
      <w:color w:val="000000"/>
    </w:rPr>
  </w:style>
  <w:style w:type="paragraph" w:customStyle="1" w:styleId="20505">
    <w:name w:val="样式 标题 2 + 段前: 0.5 行 段后: 0.5 行"/>
    <w:basedOn w:val="2"/>
    <w:rsid w:val="00E92681"/>
    <w:pPr>
      <w:spacing w:beforeLines="50" w:after="0" w:line="360" w:lineRule="auto"/>
    </w:pPr>
    <w:rPr>
      <w:rFonts w:ascii="Arial" w:eastAsia="黑体" w:hAnsi="Arial" w:cs="宋体"/>
      <w:sz w:val="28"/>
      <w:szCs w:val="20"/>
    </w:rPr>
  </w:style>
  <w:style w:type="paragraph" w:customStyle="1" w:styleId="11">
    <w:name w:val="列出段落1"/>
    <w:basedOn w:val="a"/>
    <w:uiPriority w:val="34"/>
    <w:qFormat/>
    <w:rsid w:val="00E92681"/>
    <w:pPr>
      <w:ind w:firstLineChars="200" w:firstLine="420"/>
    </w:pPr>
  </w:style>
  <w:style w:type="character" w:customStyle="1" w:styleId="Char2">
    <w:name w:val="页眉 Char"/>
    <w:link w:val="a6"/>
    <w:uiPriority w:val="99"/>
    <w:rsid w:val="00E92681"/>
    <w:rPr>
      <w:kern w:val="2"/>
      <w:sz w:val="18"/>
      <w:szCs w:val="18"/>
    </w:rPr>
  </w:style>
  <w:style w:type="character" w:customStyle="1" w:styleId="Char1">
    <w:name w:val="页脚 Char"/>
    <w:link w:val="a5"/>
    <w:uiPriority w:val="99"/>
    <w:rsid w:val="00E92681"/>
    <w:rPr>
      <w:kern w:val="2"/>
      <w:sz w:val="18"/>
      <w:szCs w:val="18"/>
    </w:rPr>
  </w:style>
  <w:style w:type="character" w:customStyle="1" w:styleId="Char0">
    <w:name w:val="批注框文本 Char"/>
    <w:link w:val="a4"/>
    <w:rsid w:val="00E92681"/>
    <w:rPr>
      <w:kern w:val="2"/>
      <w:sz w:val="18"/>
      <w:szCs w:val="18"/>
    </w:rPr>
  </w:style>
  <w:style w:type="character" w:customStyle="1" w:styleId="Char">
    <w:name w:val="文档结构图 Char"/>
    <w:link w:val="a3"/>
    <w:rsid w:val="00E92681"/>
    <w:rPr>
      <w:rFonts w:ascii="宋体"/>
      <w:kern w:val="2"/>
      <w:sz w:val="18"/>
      <w:szCs w:val="18"/>
    </w:rPr>
  </w:style>
  <w:style w:type="character" w:customStyle="1" w:styleId="Char3">
    <w:name w:val="引用 Char"/>
    <w:link w:val="10"/>
    <w:uiPriority w:val="29"/>
    <w:rsid w:val="00E92681"/>
    <w:rPr>
      <w:b/>
      <w:iCs/>
      <w:color w:val="000000"/>
      <w:kern w:val="2"/>
      <w:sz w:val="21"/>
      <w:szCs w:val="24"/>
    </w:rPr>
  </w:style>
  <w:style w:type="character" w:customStyle="1" w:styleId="1Char">
    <w:name w:val="标题 1 Char"/>
    <w:link w:val="1"/>
    <w:rsid w:val="00E92681"/>
    <w:rPr>
      <w:b/>
      <w:bCs/>
      <w:kern w:val="44"/>
      <w:sz w:val="32"/>
      <w:szCs w:val="44"/>
    </w:rPr>
  </w:style>
  <w:style w:type="character" w:customStyle="1" w:styleId="2Char">
    <w:name w:val="标题 2 Char"/>
    <w:link w:val="2"/>
    <w:semiHidden/>
    <w:rsid w:val="00E92681"/>
    <w:rPr>
      <w:rFonts w:ascii="Cambria" w:eastAsia="宋体" w:hAnsi="Cambria" w:cs="Times New Roman"/>
      <w:b/>
      <w:bCs/>
      <w:kern w:val="2"/>
      <w:sz w:val="32"/>
      <w:szCs w:val="32"/>
    </w:rPr>
  </w:style>
  <w:style w:type="paragraph" w:styleId="a9">
    <w:name w:val="List Paragraph"/>
    <w:basedOn w:val="a"/>
    <w:uiPriority w:val="34"/>
    <w:qFormat/>
    <w:rsid w:val="00BD57A4"/>
    <w:pPr>
      <w:ind w:firstLineChars="200" w:firstLine="420"/>
    </w:pPr>
  </w:style>
  <w:style w:type="paragraph" w:styleId="HTML">
    <w:name w:val="HTML Preformatted"/>
    <w:basedOn w:val="a"/>
    <w:link w:val="HTMLChar"/>
    <w:rsid w:val="00A672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A672CB"/>
    <w:rPr>
      <w:rFonts w:ascii="宋体" w:hAnsi="宋体" w:cs="宋体"/>
      <w:sz w:val="24"/>
      <w:szCs w:val="24"/>
    </w:rPr>
  </w:style>
  <w:style w:type="paragraph" w:styleId="aa">
    <w:name w:val="Quote"/>
    <w:basedOn w:val="a"/>
    <w:next w:val="a"/>
    <w:uiPriority w:val="29"/>
    <w:qFormat/>
    <w:rsid w:val="00A540D3"/>
    <w:rPr>
      <w:b/>
      <w:iCs/>
      <w:color w:val="000000"/>
    </w:rPr>
  </w:style>
  <w:style w:type="character" w:customStyle="1" w:styleId="Char10">
    <w:name w:val="引用 Char1"/>
    <w:basedOn w:val="a0"/>
    <w:uiPriority w:val="99"/>
    <w:semiHidden/>
    <w:rsid w:val="00A540D3"/>
    <w:rPr>
      <w:i/>
      <w:iCs/>
      <w:color w:val="404040" w:themeColor="text1" w:themeTint="BF"/>
      <w:kern w:val="2"/>
      <w:sz w:val="21"/>
      <w:szCs w:val="24"/>
    </w:rPr>
  </w:style>
  <w:style w:type="paragraph" w:styleId="ab">
    <w:name w:val="Normal (Web)"/>
    <w:basedOn w:val="a"/>
    <w:uiPriority w:val="99"/>
    <w:semiHidden/>
    <w:unhideWhenUsed/>
    <w:rsid w:val="00AD75C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3964">
      <w:bodyDiv w:val="1"/>
      <w:marLeft w:val="0"/>
      <w:marRight w:val="0"/>
      <w:marTop w:val="0"/>
      <w:marBottom w:val="0"/>
      <w:divBdr>
        <w:top w:val="none" w:sz="0" w:space="0" w:color="auto"/>
        <w:left w:val="none" w:sz="0" w:space="0" w:color="auto"/>
        <w:bottom w:val="none" w:sz="0" w:space="0" w:color="auto"/>
        <w:right w:val="none" w:sz="0" w:space="0" w:color="auto"/>
      </w:divBdr>
      <w:divsChild>
        <w:div w:id="184246159">
          <w:marLeft w:val="0"/>
          <w:marRight w:val="0"/>
          <w:marTop w:val="75"/>
          <w:marBottom w:val="100"/>
          <w:divBdr>
            <w:top w:val="none" w:sz="0" w:space="0" w:color="auto"/>
            <w:left w:val="none" w:sz="0" w:space="0" w:color="auto"/>
            <w:bottom w:val="none" w:sz="0" w:space="0" w:color="auto"/>
            <w:right w:val="none" w:sz="0" w:space="0" w:color="auto"/>
          </w:divBdr>
          <w:divsChild>
            <w:div w:id="1258640710">
              <w:marLeft w:val="0"/>
              <w:marRight w:val="0"/>
              <w:marTop w:val="0"/>
              <w:marBottom w:val="0"/>
              <w:divBdr>
                <w:top w:val="none" w:sz="0" w:space="0" w:color="auto"/>
                <w:left w:val="none" w:sz="0" w:space="0" w:color="auto"/>
                <w:bottom w:val="none" w:sz="0" w:space="0" w:color="auto"/>
                <w:right w:val="none" w:sz="0" w:space="0" w:color="auto"/>
              </w:divBdr>
              <w:divsChild>
                <w:div w:id="1116875310">
                  <w:marLeft w:val="0"/>
                  <w:marRight w:val="0"/>
                  <w:marTop w:val="0"/>
                  <w:marBottom w:val="0"/>
                  <w:divBdr>
                    <w:top w:val="single" w:sz="6" w:space="11" w:color="DDDEDE"/>
                    <w:left w:val="single" w:sz="6" w:space="11" w:color="DDDEDE"/>
                    <w:bottom w:val="single" w:sz="6" w:space="11" w:color="DDDEDE"/>
                    <w:right w:val="single" w:sz="6" w:space="11" w:color="DDDEDE"/>
                  </w:divBdr>
                </w:div>
              </w:divsChild>
            </w:div>
          </w:divsChild>
        </w:div>
      </w:divsChild>
    </w:div>
    <w:div w:id="597952435">
      <w:bodyDiv w:val="1"/>
      <w:marLeft w:val="0"/>
      <w:marRight w:val="0"/>
      <w:marTop w:val="0"/>
      <w:marBottom w:val="0"/>
      <w:divBdr>
        <w:top w:val="none" w:sz="0" w:space="0" w:color="auto"/>
        <w:left w:val="none" w:sz="0" w:space="0" w:color="auto"/>
        <w:bottom w:val="none" w:sz="0" w:space="0" w:color="auto"/>
        <w:right w:val="none" w:sz="0" w:space="0" w:color="auto"/>
      </w:divBdr>
    </w:div>
    <w:div w:id="1324970333">
      <w:bodyDiv w:val="1"/>
      <w:marLeft w:val="0"/>
      <w:marRight w:val="0"/>
      <w:marTop w:val="0"/>
      <w:marBottom w:val="0"/>
      <w:divBdr>
        <w:top w:val="none" w:sz="0" w:space="0" w:color="auto"/>
        <w:left w:val="none" w:sz="0" w:space="0" w:color="auto"/>
        <w:bottom w:val="none" w:sz="0" w:space="0" w:color="auto"/>
        <w:right w:val="none" w:sz="0" w:space="0" w:color="auto"/>
      </w:divBdr>
    </w:div>
    <w:div w:id="1493763378">
      <w:bodyDiv w:val="1"/>
      <w:marLeft w:val="0"/>
      <w:marRight w:val="0"/>
      <w:marTop w:val="0"/>
      <w:marBottom w:val="0"/>
      <w:divBdr>
        <w:top w:val="none" w:sz="0" w:space="0" w:color="auto"/>
        <w:left w:val="none" w:sz="0" w:space="0" w:color="auto"/>
        <w:bottom w:val="none" w:sz="0" w:space="0" w:color="auto"/>
        <w:right w:val="none" w:sz="0" w:space="0" w:color="auto"/>
      </w:divBdr>
    </w:div>
    <w:div w:id="1650355429">
      <w:bodyDiv w:val="1"/>
      <w:marLeft w:val="0"/>
      <w:marRight w:val="0"/>
      <w:marTop w:val="0"/>
      <w:marBottom w:val="0"/>
      <w:divBdr>
        <w:top w:val="none" w:sz="0" w:space="0" w:color="auto"/>
        <w:left w:val="none" w:sz="0" w:space="0" w:color="auto"/>
        <w:bottom w:val="none" w:sz="0" w:space="0" w:color="auto"/>
        <w:right w:val="none" w:sz="0" w:space="0" w:color="auto"/>
      </w:divBdr>
    </w:div>
    <w:div w:id="1707949744">
      <w:bodyDiv w:val="1"/>
      <w:marLeft w:val="0"/>
      <w:marRight w:val="0"/>
      <w:marTop w:val="0"/>
      <w:marBottom w:val="0"/>
      <w:divBdr>
        <w:top w:val="none" w:sz="0" w:space="0" w:color="auto"/>
        <w:left w:val="none" w:sz="0" w:space="0" w:color="auto"/>
        <w:bottom w:val="none" w:sz="0" w:space="0" w:color="auto"/>
        <w:right w:val="none" w:sz="0" w:space="0" w:color="auto"/>
      </w:divBdr>
    </w:div>
    <w:div w:id="1784110074">
      <w:bodyDiv w:val="1"/>
      <w:marLeft w:val="0"/>
      <w:marRight w:val="0"/>
      <w:marTop w:val="0"/>
      <w:marBottom w:val="0"/>
      <w:divBdr>
        <w:top w:val="none" w:sz="0" w:space="0" w:color="auto"/>
        <w:left w:val="none" w:sz="0" w:space="0" w:color="auto"/>
        <w:bottom w:val="none" w:sz="0" w:space="0" w:color="auto"/>
        <w:right w:val="none" w:sz="0" w:space="0" w:color="auto"/>
      </w:divBdr>
    </w:div>
    <w:div w:id="186963617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12">
          <w:marLeft w:val="0"/>
          <w:marRight w:val="0"/>
          <w:marTop w:val="75"/>
          <w:marBottom w:val="100"/>
          <w:divBdr>
            <w:top w:val="none" w:sz="0" w:space="0" w:color="auto"/>
            <w:left w:val="none" w:sz="0" w:space="0" w:color="auto"/>
            <w:bottom w:val="none" w:sz="0" w:space="0" w:color="auto"/>
            <w:right w:val="none" w:sz="0" w:space="0" w:color="auto"/>
          </w:divBdr>
          <w:divsChild>
            <w:div w:id="471947035">
              <w:marLeft w:val="0"/>
              <w:marRight w:val="0"/>
              <w:marTop w:val="0"/>
              <w:marBottom w:val="0"/>
              <w:divBdr>
                <w:top w:val="none" w:sz="0" w:space="0" w:color="auto"/>
                <w:left w:val="none" w:sz="0" w:space="0" w:color="auto"/>
                <w:bottom w:val="none" w:sz="0" w:space="0" w:color="auto"/>
                <w:right w:val="none" w:sz="0" w:space="0" w:color="auto"/>
              </w:divBdr>
              <w:divsChild>
                <w:div w:id="1450971925">
                  <w:marLeft w:val="0"/>
                  <w:marRight w:val="0"/>
                  <w:marTop w:val="0"/>
                  <w:marBottom w:val="0"/>
                  <w:divBdr>
                    <w:top w:val="single" w:sz="6" w:space="11" w:color="DDDEDE"/>
                    <w:left w:val="single" w:sz="6" w:space="11" w:color="DDDEDE"/>
                    <w:bottom w:val="single" w:sz="6" w:space="11" w:color="DDDEDE"/>
                    <w:right w:val="single" w:sz="6" w:space="11" w:color="DDDEDE"/>
                  </w:divBdr>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charts/chart1.xml" Type="http://schemas.openxmlformats.org/officeDocument/2006/relationships/chart"/>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eg" Type="http://schemas.openxmlformats.org/officeDocument/2006/relationships/image"/>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file:///C:/Users/wy123/Documents/&#26085;&#24120;&#24037;&#20316;/&#38081;&#30719;&#20215;&#24046;&#20998;&#26512;.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file!$G$1</c:f>
              <c:strCache>
                <c:ptCount val="1"/>
                <c:pt idx="0">
                  <c:v>1405-1409</c:v>
                </c:pt>
              </c:strCache>
            </c:strRef>
          </c:tx>
          <c:spPr>
            <a:ln w="22225" cap="rnd" cmpd="sng" algn="ctr">
              <a:solidFill>
                <a:schemeClr val="accent1"/>
              </a:solidFill>
              <a:round/>
            </a:ln>
            <a:effectLst/>
          </c:spPr>
          <c:marker>
            <c:symbol val="none"/>
          </c:marker>
          <c:cat>
            <c:numRef>
              <c:f>file!$F$2:$F$69</c:f>
              <c:numCache>
                <c:formatCode>General</c:formatCode>
                <c:ptCount val="6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numCache>
            </c:numRef>
          </c:cat>
          <c:val>
            <c:numRef>
              <c:f>file!$G$2:$G$69</c:f>
              <c:numCache>
                <c:formatCode>General</c:formatCode>
                <c:ptCount val="68"/>
                <c:pt idx="0">
                  <c:v>52</c:v>
                </c:pt>
                <c:pt idx="1">
                  <c:v>50</c:v>
                </c:pt>
                <c:pt idx="2">
                  <c:v>70</c:v>
                </c:pt>
                <c:pt idx="3">
                  <c:v>62</c:v>
                </c:pt>
                <c:pt idx="4">
                  <c:v>30</c:v>
                </c:pt>
                <c:pt idx="5">
                  <c:v>51</c:v>
                </c:pt>
                <c:pt idx="6">
                  <c:v>51</c:v>
                </c:pt>
                <c:pt idx="7">
                  <c:v>34.5</c:v>
                </c:pt>
                <c:pt idx="8">
                  <c:v>34.5</c:v>
                </c:pt>
                <c:pt idx="9">
                  <c:v>36</c:v>
                </c:pt>
                <c:pt idx="10">
                  <c:v>47</c:v>
                </c:pt>
                <c:pt idx="11">
                  <c:v>36</c:v>
                </c:pt>
                <c:pt idx="12">
                  <c:v>27</c:v>
                </c:pt>
                <c:pt idx="13">
                  <c:v>14.5</c:v>
                </c:pt>
                <c:pt idx="14">
                  <c:v>19.5</c:v>
                </c:pt>
                <c:pt idx="15">
                  <c:v>23</c:v>
                </c:pt>
                <c:pt idx="16">
                  <c:v>18.5</c:v>
                </c:pt>
                <c:pt idx="17">
                  <c:v>20.5</c:v>
                </c:pt>
                <c:pt idx="18">
                  <c:v>13.5</c:v>
                </c:pt>
                <c:pt idx="19">
                  <c:v>9</c:v>
                </c:pt>
                <c:pt idx="20">
                  <c:v>6</c:v>
                </c:pt>
                <c:pt idx="21">
                  <c:v>6</c:v>
                </c:pt>
                <c:pt idx="22">
                  <c:v>-9</c:v>
                </c:pt>
                <c:pt idx="23">
                  <c:v>-2</c:v>
                </c:pt>
                <c:pt idx="24">
                  <c:v>-4</c:v>
                </c:pt>
                <c:pt idx="25">
                  <c:v>-2</c:v>
                </c:pt>
                <c:pt idx="26">
                  <c:v>-3</c:v>
                </c:pt>
                <c:pt idx="27">
                  <c:v>1</c:v>
                </c:pt>
                <c:pt idx="28">
                  <c:v>0</c:v>
                </c:pt>
                <c:pt idx="29">
                  <c:v>4</c:v>
                </c:pt>
                <c:pt idx="30">
                  <c:v>8</c:v>
                </c:pt>
                <c:pt idx="31">
                  <c:v>3</c:v>
                </c:pt>
                <c:pt idx="32">
                  <c:v>-2</c:v>
                </c:pt>
                <c:pt idx="33">
                  <c:v>-7</c:v>
                </c:pt>
                <c:pt idx="34">
                  <c:v>-4</c:v>
                </c:pt>
                <c:pt idx="35">
                  <c:v>4</c:v>
                </c:pt>
                <c:pt idx="36">
                  <c:v>5</c:v>
                </c:pt>
                <c:pt idx="37">
                  <c:v>7</c:v>
                </c:pt>
                <c:pt idx="38">
                  <c:v>8</c:v>
                </c:pt>
                <c:pt idx="39">
                  <c:v>8</c:v>
                </c:pt>
                <c:pt idx="40">
                  <c:v>7</c:v>
                </c:pt>
                <c:pt idx="41">
                  <c:v>6</c:v>
                </c:pt>
                <c:pt idx="42">
                  <c:v>7</c:v>
                </c:pt>
                <c:pt idx="43">
                  <c:v>6</c:v>
                </c:pt>
                <c:pt idx="44">
                  <c:v>6</c:v>
                </c:pt>
                <c:pt idx="45">
                  <c:v>9</c:v>
                </c:pt>
                <c:pt idx="46">
                  <c:v>10</c:v>
                </c:pt>
                <c:pt idx="47">
                  <c:v>8</c:v>
                </c:pt>
                <c:pt idx="48">
                  <c:v>9</c:v>
                </c:pt>
                <c:pt idx="49">
                  <c:v>4</c:v>
                </c:pt>
                <c:pt idx="50">
                  <c:v>3</c:v>
                </c:pt>
                <c:pt idx="51">
                  <c:v>6</c:v>
                </c:pt>
                <c:pt idx="52">
                  <c:v>4</c:v>
                </c:pt>
                <c:pt idx="53">
                  <c:v>9</c:v>
                </c:pt>
                <c:pt idx="54">
                  <c:v>10</c:v>
                </c:pt>
                <c:pt idx="55">
                  <c:v>9</c:v>
                </c:pt>
                <c:pt idx="56">
                  <c:v>10</c:v>
                </c:pt>
                <c:pt idx="57">
                  <c:v>12</c:v>
                </c:pt>
                <c:pt idx="58">
                  <c:v>12</c:v>
                </c:pt>
                <c:pt idx="59">
                  <c:v>9</c:v>
                </c:pt>
                <c:pt idx="60">
                  <c:v>7</c:v>
                </c:pt>
                <c:pt idx="61">
                  <c:v>7</c:v>
                </c:pt>
                <c:pt idx="62">
                  <c:v>8</c:v>
                </c:pt>
                <c:pt idx="63">
                  <c:v>7</c:v>
                </c:pt>
                <c:pt idx="64">
                  <c:v>6</c:v>
                </c:pt>
                <c:pt idx="65">
                  <c:v>4</c:v>
                </c:pt>
                <c:pt idx="66">
                  <c:v>9</c:v>
                </c:pt>
                <c:pt idx="67">
                  <c:v>12</c:v>
                </c:pt>
              </c:numCache>
            </c:numRef>
          </c:val>
          <c:smooth val="0"/>
        </c:ser>
        <c:ser>
          <c:idx val="1"/>
          <c:order val="1"/>
          <c:tx>
            <c:strRef>
              <c:f>file!$H$1</c:f>
              <c:strCache>
                <c:ptCount val="1"/>
                <c:pt idx="0">
                  <c:v>1505-1509</c:v>
                </c:pt>
              </c:strCache>
            </c:strRef>
          </c:tx>
          <c:spPr>
            <a:ln w="22225" cap="rnd" cmpd="sng" algn="ctr">
              <a:solidFill>
                <a:schemeClr val="accent2"/>
              </a:solidFill>
              <a:round/>
            </a:ln>
            <a:effectLst/>
          </c:spPr>
          <c:marker>
            <c:symbol val="none"/>
          </c:marker>
          <c:cat>
            <c:numRef>
              <c:f>file!$F$2:$F$69</c:f>
              <c:numCache>
                <c:formatCode>General</c:formatCode>
                <c:ptCount val="6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numCache>
            </c:numRef>
          </c:cat>
          <c:val>
            <c:numRef>
              <c:f>file!$H$2:$H$69</c:f>
              <c:numCache>
                <c:formatCode>General</c:formatCode>
                <c:ptCount val="68"/>
                <c:pt idx="0">
                  <c:v>115</c:v>
                </c:pt>
                <c:pt idx="1">
                  <c:v>111</c:v>
                </c:pt>
                <c:pt idx="2">
                  <c:v>111</c:v>
                </c:pt>
                <c:pt idx="3">
                  <c:v>90</c:v>
                </c:pt>
                <c:pt idx="4">
                  <c:v>103</c:v>
                </c:pt>
                <c:pt idx="5">
                  <c:v>95</c:v>
                </c:pt>
                <c:pt idx="6">
                  <c:v>55</c:v>
                </c:pt>
                <c:pt idx="7">
                  <c:v>51</c:v>
                </c:pt>
                <c:pt idx="8">
                  <c:v>32</c:v>
                </c:pt>
                <c:pt idx="9">
                  <c:v>74</c:v>
                </c:pt>
                <c:pt idx="10">
                  <c:v>65</c:v>
                </c:pt>
                <c:pt idx="11">
                  <c:v>60</c:v>
                </c:pt>
                <c:pt idx="12">
                  <c:v>68</c:v>
                </c:pt>
                <c:pt idx="13">
                  <c:v>50</c:v>
                </c:pt>
                <c:pt idx="14">
                  <c:v>59</c:v>
                </c:pt>
                <c:pt idx="15">
                  <c:v>50</c:v>
                </c:pt>
                <c:pt idx="16">
                  <c:v>55</c:v>
                </c:pt>
                <c:pt idx="17">
                  <c:v>53</c:v>
                </c:pt>
                <c:pt idx="18">
                  <c:v>46</c:v>
                </c:pt>
                <c:pt idx="19">
                  <c:v>52</c:v>
                </c:pt>
                <c:pt idx="20">
                  <c:v>57</c:v>
                </c:pt>
                <c:pt idx="21">
                  <c:v>41</c:v>
                </c:pt>
                <c:pt idx="22">
                  <c:v>43</c:v>
                </c:pt>
                <c:pt idx="23">
                  <c:v>39</c:v>
                </c:pt>
                <c:pt idx="24">
                  <c:v>40</c:v>
                </c:pt>
                <c:pt idx="25">
                  <c:v>32</c:v>
                </c:pt>
                <c:pt idx="26">
                  <c:v>36</c:v>
                </c:pt>
                <c:pt idx="27">
                  <c:v>33</c:v>
                </c:pt>
                <c:pt idx="28">
                  <c:v>36</c:v>
                </c:pt>
                <c:pt idx="29">
                  <c:v>33</c:v>
                </c:pt>
                <c:pt idx="30">
                  <c:v>28</c:v>
                </c:pt>
                <c:pt idx="31">
                  <c:v>22</c:v>
                </c:pt>
                <c:pt idx="32">
                  <c:v>23</c:v>
                </c:pt>
                <c:pt idx="33">
                  <c:v>28</c:v>
                </c:pt>
                <c:pt idx="34">
                  <c:v>33</c:v>
                </c:pt>
                <c:pt idx="35">
                  <c:v>29</c:v>
                </c:pt>
                <c:pt idx="36">
                  <c:v>26</c:v>
                </c:pt>
                <c:pt idx="37">
                  <c:v>25</c:v>
                </c:pt>
                <c:pt idx="38">
                  <c:v>26</c:v>
                </c:pt>
                <c:pt idx="39">
                  <c:v>23</c:v>
                </c:pt>
                <c:pt idx="40">
                  <c:v>22</c:v>
                </c:pt>
                <c:pt idx="41">
                  <c:v>23</c:v>
                </c:pt>
                <c:pt idx="42">
                  <c:v>20</c:v>
                </c:pt>
                <c:pt idx="43">
                  <c:v>15</c:v>
                </c:pt>
                <c:pt idx="44">
                  <c:v>16</c:v>
                </c:pt>
                <c:pt idx="45">
                  <c:v>13</c:v>
                </c:pt>
                <c:pt idx="46">
                  <c:v>29</c:v>
                </c:pt>
                <c:pt idx="47">
                  <c:v>16</c:v>
                </c:pt>
                <c:pt idx="48">
                  <c:v>19</c:v>
                </c:pt>
                <c:pt idx="49">
                  <c:v>14</c:v>
                </c:pt>
                <c:pt idx="50">
                  <c:v>11</c:v>
                </c:pt>
                <c:pt idx="51">
                  <c:v>12</c:v>
                </c:pt>
                <c:pt idx="52">
                  <c:v>9</c:v>
                </c:pt>
                <c:pt idx="53">
                  <c:v>6</c:v>
                </c:pt>
                <c:pt idx="54">
                  <c:v>5</c:v>
                </c:pt>
                <c:pt idx="55">
                  <c:v>3</c:v>
                </c:pt>
                <c:pt idx="56">
                  <c:v>1</c:v>
                </c:pt>
                <c:pt idx="57">
                  <c:v>7</c:v>
                </c:pt>
                <c:pt idx="58">
                  <c:v>7</c:v>
                </c:pt>
                <c:pt idx="59">
                  <c:v>8</c:v>
                </c:pt>
                <c:pt idx="60">
                  <c:v>8</c:v>
                </c:pt>
                <c:pt idx="61">
                  <c:v>10</c:v>
                </c:pt>
                <c:pt idx="62">
                  <c:v>12</c:v>
                </c:pt>
                <c:pt idx="63">
                  <c:v>14</c:v>
                </c:pt>
                <c:pt idx="64">
                  <c:v>13</c:v>
                </c:pt>
                <c:pt idx="65">
                  <c:v>12</c:v>
                </c:pt>
                <c:pt idx="66">
                  <c:v>14</c:v>
                </c:pt>
                <c:pt idx="67">
                  <c:v>16</c:v>
                </c:pt>
              </c:numCache>
            </c:numRef>
          </c:val>
          <c:smooth val="0"/>
        </c:ser>
        <c:ser>
          <c:idx val="2"/>
          <c:order val="2"/>
          <c:tx>
            <c:strRef>
              <c:f>file!$I$1</c:f>
              <c:strCache>
                <c:ptCount val="1"/>
                <c:pt idx="0">
                  <c:v>1409-1501</c:v>
                </c:pt>
              </c:strCache>
            </c:strRef>
          </c:tx>
          <c:spPr>
            <a:ln w="22225" cap="rnd" cmpd="sng" algn="ctr">
              <a:solidFill>
                <a:schemeClr val="accent3"/>
              </a:solidFill>
              <a:round/>
            </a:ln>
            <a:effectLst/>
          </c:spPr>
          <c:marker>
            <c:symbol val="none"/>
          </c:marker>
          <c:cat>
            <c:numRef>
              <c:f>file!$F$2:$F$69</c:f>
              <c:numCache>
                <c:formatCode>General</c:formatCode>
                <c:ptCount val="6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numCache>
            </c:numRef>
          </c:cat>
          <c:val>
            <c:numRef>
              <c:f>file!$I$2:$I$69</c:f>
              <c:numCache>
                <c:formatCode>General</c:formatCode>
                <c:ptCount val="68"/>
                <c:pt idx="0">
                  <c:v>-18</c:v>
                </c:pt>
                <c:pt idx="1">
                  <c:v>3</c:v>
                </c:pt>
                <c:pt idx="2">
                  <c:v>4</c:v>
                </c:pt>
                <c:pt idx="3">
                  <c:v>2</c:v>
                </c:pt>
                <c:pt idx="4">
                  <c:v>-15</c:v>
                </c:pt>
                <c:pt idx="5">
                  <c:v>-25</c:v>
                </c:pt>
                <c:pt idx="6">
                  <c:v>-6</c:v>
                </c:pt>
                <c:pt idx="7">
                  <c:v>-11</c:v>
                </c:pt>
                <c:pt idx="8">
                  <c:v>-25</c:v>
                </c:pt>
                <c:pt idx="9">
                  <c:v>-20</c:v>
                </c:pt>
                <c:pt idx="10">
                  <c:v>-32</c:v>
                </c:pt>
                <c:pt idx="11">
                  <c:v>-2</c:v>
                </c:pt>
                <c:pt idx="12">
                  <c:v>0</c:v>
                </c:pt>
                <c:pt idx="13">
                  <c:v>8</c:v>
                </c:pt>
                <c:pt idx="14">
                  <c:v>14</c:v>
                </c:pt>
                <c:pt idx="15">
                  <c:v>19</c:v>
                </c:pt>
                <c:pt idx="16">
                  <c:v>18</c:v>
                </c:pt>
                <c:pt idx="17">
                  <c:v>23</c:v>
                </c:pt>
                <c:pt idx="18">
                  <c:v>14</c:v>
                </c:pt>
                <c:pt idx="19">
                  <c:v>13</c:v>
                </c:pt>
                <c:pt idx="20">
                  <c:v>8</c:v>
                </c:pt>
                <c:pt idx="21">
                  <c:v>9</c:v>
                </c:pt>
                <c:pt idx="22">
                  <c:v>9</c:v>
                </c:pt>
                <c:pt idx="23">
                  <c:v>17</c:v>
                </c:pt>
                <c:pt idx="24">
                  <c:v>13</c:v>
                </c:pt>
                <c:pt idx="25">
                  <c:v>11</c:v>
                </c:pt>
                <c:pt idx="26">
                  <c:v>9</c:v>
                </c:pt>
                <c:pt idx="27">
                  <c:v>11</c:v>
                </c:pt>
                <c:pt idx="28">
                  <c:v>8</c:v>
                </c:pt>
                <c:pt idx="29">
                  <c:v>9</c:v>
                </c:pt>
                <c:pt idx="30">
                  <c:v>14</c:v>
                </c:pt>
                <c:pt idx="31">
                  <c:v>11</c:v>
                </c:pt>
                <c:pt idx="32">
                  <c:v>14</c:v>
                </c:pt>
                <c:pt idx="33">
                  <c:v>11</c:v>
                </c:pt>
                <c:pt idx="34">
                  <c:v>12</c:v>
                </c:pt>
                <c:pt idx="35">
                  <c:v>10</c:v>
                </c:pt>
                <c:pt idx="36">
                  <c:v>11</c:v>
                </c:pt>
                <c:pt idx="37">
                  <c:v>12</c:v>
                </c:pt>
                <c:pt idx="38">
                  <c:v>14</c:v>
                </c:pt>
                <c:pt idx="39">
                  <c:v>10</c:v>
                </c:pt>
                <c:pt idx="40">
                  <c:v>6</c:v>
                </c:pt>
                <c:pt idx="41">
                  <c:v>8</c:v>
                </c:pt>
                <c:pt idx="42">
                  <c:v>6</c:v>
                </c:pt>
                <c:pt idx="43">
                  <c:v>4</c:v>
                </c:pt>
                <c:pt idx="44">
                  <c:v>5</c:v>
                </c:pt>
                <c:pt idx="45">
                  <c:v>6</c:v>
                </c:pt>
                <c:pt idx="46">
                  <c:v>4</c:v>
                </c:pt>
                <c:pt idx="47">
                  <c:v>9</c:v>
                </c:pt>
                <c:pt idx="48">
                  <c:v>9</c:v>
                </c:pt>
                <c:pt idx="49">
                  <c:v>6</c:v>
                </c:pt>
                <c:pt idx="50">
                  <c:v>4</c:v>
                </c:pt>
                <c:pt idx="51">
                  <c:v>2</c:v>
                </c:pt>
                <c:pt idx="52">
                  <c:v>3</c:v>
                </c:pt>
                <c:pt idx="53">
                  <c:v>2</c:v>
                </c:pt>
                <c:pt idx="54">
                  <c:v>1</c:v>
                </c:pt>
                <c:pt idx="55">
                  <c:v>6</c:v>
                </c:pt>
                <c:pt idx="56">
                  <c:v>9</c:v>
                </c:pt>
                <c:pt idx="57">
                  <c:v>5</c:v>
                </c:pt>
                <c:pt idx="58">
                  <c:v>0</c:v>
                </c:pt>
                <c:pt idx="59">
                  <c:v>2</c:v>
                </c:pt>
                <c:pt idx="60">
                  <c:v>-3</c:v>
                </c:pt>
                <c:pt idx="61">
                  <c:v>-7</c:v>
                </c:pt>
                <c:pt idx="62">
                  <c:v>-5</c:v>
                </c:pt>
                <c:pt idx="63">
                  <c:v>-8</c:v>
                </c:pt>
                <c:pt idx="64">
                  <c:v>-4</c:v>
                </c:pt>
                <c:pt idx="65">
                  <c:v>-2</c:v>
                </c:pt>
                <c:pt idx="66">
                  <c:v>-7</c:v>
                </c:pt>
                <c:pt idx="67">
                  <c:v>1</c:v>
                </c:pt>
              </c:numCache>
            </c:numRef>
          </c:val>
          <c:smooth val="0"/>
        </c:ser>
        <c:ser>
          <c:idx val="3"/>
          <c:order val="3"/>
          <c:tx>
            <c:strRef>
              <c:f>file!$J$1</c:f>
              <c:strCache>
                <c:ptCount val="1"/>
                <c:pt idx="0">
                  <c:v>1509-1601</c:v>
                </c:pt>
              </c:strCache>
            </c:strRef>
          </c:tx>
          <c:spPr>
            <a:ln w="22225" cap="rnd" cmpd="sng" algn="ctr">
              <a:solidFill>
                <a:schemeClr val="accent4"/>
              </a:solidFill>
              <a:round/>
            </a:ln>
            <a:effectLst/>
          </c:spPr>
          <c:marker>
            <c:symbol val="none"/>
          </c:marker>
          <c:cat>
            <c:numRef>
              <c:f>file!$F$2:$F$69</c:f>
              <c:numCache>
                <c:formatCode>General</c:formatCode>
                <c:ptCount val="6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numCache>
            </c:numRef>
          </c:cat>
          <c:val>
            <c:numRef>
              <c:f>file!$J$2:$J$69</c:f>
              <c:numCache>
                <c:formatCode>General</c:formatCode>
                <c:ptCount val="68"/>
                <c:pt idx="3">
                  <c:v>81</c:v>
                </c:pt>
                <c:pt idx="4">
                  <c:v>65</c:v>
                </c:pt>
                <c:pt idx="5">
                  <c:v>69.5</c:v>
                </c:pt>
                <c:pt idx="6">
                  <c:v>78</c:v>
                </c:pt>
                <c:pt idx="7">
                  <c:v>83.5</c:v>
                </c:pt>
                <c:pt idx="8">
                  <c:v>76</c:v>
                </c:pt>
                <c:pt idx="9">
                  <c:v>79.5</c:v>
                </c:pt>
                <c:pt idx="10">
                  <c:v>62.5</c:v>
                </c:pt>
                <c:pt idx="11">
                  <c:v>59</c:v>
                </c:pt>
                <c:pt idx="12">
                  <c:v>55</c:v>
                </c:pt>
                <c:pt idx="13">
                  <c:v>61.5</c:v>
                </c:pt>
                <c:pt idx="14">
                  <c:v>70</c:v>
                </c:pt>
                <c:pt idx="15">
                  <c:v>62</c:v>
                </c:pt>
                <c:pt idx="16">
                  <c:v>63</c:v>
                </c:pt>
                <c:pt idx="17">
                  <c:v>65</c:v>
                </c:pt>
                <c:pt idx="18">
                  <c:v>62.5</c:v>
                </c:pt>
                <c:pt idx="19">
                  <c:v>68</c:v>
                </c:pt>
                <c:pt idx="20">
                  <c:v>60.5</c:v>
                </c:pt>
                <c:pt idx="21">
                  <c:v>59</c:v>
                </c:pt>
                <c:pt idx="22">
                  <c:v>53.5</c:v>
                </c:pt>
                <c:pt idx="23">
                  <c:v>50.5</c:v>
                </c:pt>
                <c:pt idx="24">
                  <c:v>49.5</c:v>
                </c:pt>
                <c:pt idx="25">
                  <c:v>49</c:v>
                </c:pt>
                <c:pt idx="26">
                  <c:v>50.5</c:v>
                </c:pt>
                <c:pt idx="27">
                  <c:v>51</c:v>
                </c:pt>
                <c:pt idx="28">
                  <c:v>50</c:v>
                </c:pt>
                <c:pt idx="29">
                  <c:v>50.5</c:v>
                </c:pt>
                <c:pt idx="30">
                  <c:v>49</c:v>
                </c:pt>
                <c:pt idx="31">
                  <c:v>39.5</c:v>
                </c:pt>
                <c:pt idx="32">
                  <c:v>36</c:v>
                </c:pt>
                <c:pt idx="33">
                  <c:v>37.5</c:v>
                </c:pt>
                <c:pt idx="34">
                  <c:v>35.5</c:v>
                </c:pt>
                <c:pt idx="35">
                  <c:v>36.5</c:v>
                </c:pt>
                <c:pt idx="36">
                  <c:v>31</c:v>
                </c:pt>
                <c:pt idx="37">
                  <c:v>29</c:v>
                </c:pt>
                <c:pt idx="38">
                  <c:v>27</c:v>
                </c:pt>
                <c:pt idx="39">
                  <c:v>28</c:v>
                </c:pt>
                <c:pt idx="40">
                  <c:v>17</c:v>
                </c:pt>
                <c:pt idx="41">
                  <c:v>17</c:v>
                </c:pt>
                <c:pt idx="42">
                  <c:v>15.5</c:v>
                </c:pt>
                <c:pt idx="43">
                  <c:v>13.5</c:v>
                </c:pt>
                <c:pt idx="44">
                  <c:v>15.5</c:v>
                </c:pt>
                <c:pt idx="45">
                  <c:v>17.5</c:v>
                </c:pt>
                <c:pt idx="46">
                  <c:v>11.5</c:v>
                </c:pt>
                <c:pt idx="47">
                  <c:v>11.5</c:v>
                </c:pt>
                <c:pt idx="48">
                  <c:v>19</c:v>
                </c:pt>
                <c:pt idx="49">
                  <c:v>19.5</c:v>
                </c:pt>
                <c:pt idx="50">
                  <c:v>19.5</c:v>
                </c:pt>
                <c:pt idx="51">
                  <c:v>20</c:v>
                </c:pt>
                <c:pt idx="52">
                  <c:v>22</c:v>
                </c:pt>
                <c:pt idx="53">
                  <c:v>25</c:v>
                </c:pt>
                <c:pt idx="54">
                  <c:v>19</c:v>
                </c:pt>
                <c:pt idx="55">
                  <c:v>19</c:v>
                </c:pt>
                <c:pt idx="56">
                  <c:v>21</c:v>
                </c:pt>
                <c:pt idx="57">
                  <c:v>17</c:v>
                </c:pt>
                <c:pt idx="58">
                  <c:v>19.5</c:v>
                </c:pt>
                <c:pt idx="59">
                  <c:v>15.5</c:v>
                </c:pt>
                <c:pt idx="60">
                  <c:v>16.5</c:v>
                </c:pt>
                <c:pt idx="61">
                  <c:v>12.5</c:v>
                </c:pt>
                <c:pt idx="62">
                  <c:v>20</c:v>
                </c:pt>
                <c:pt idx="63">
                  <c:v>22.5</c:v>
                </c:pt>
                <c:pt idx="64">
                  <c:v>24.5</c:v>
                </c:pt>
                <c:pt idx="65">
                  <c:v>24</c:v>
                </c:pt>
                <c:pt idx="66">
                  <c:v>18.5</c:v>
                </c:pt>
                <c:pt idx="67">
                  <c:v>17</c:v>
                </c:pt>
              </c:numCache>
            </c:numRef>
          </c:val>
          <c:smooth val="0"/>
        </c:ser>
        <c:ser>
          <c:idx val="4"/>
          <c:order val="4"/>
          <c:tx>
            <c:strRef>
              <c:f>file!$K$1</c:f>
              <c:strCache>
                <c:ptCount val="1"/>
                <c:pt idx="0">
                  <c:v>1501-1505</c:v>
                </c:pt>
              </c:strCache>
            </c:strRef>
          </c:tx>
          <c:spPr>
            <a:ln w="22225" cap="rnd" cmpd="sng" algn="ctr">
              <a:solidFill>
                <a:schemeClr val="accent5"/>
              </a:solidFill>
              <a:round/>
            </a:ln>
            <a:effectLst/>
          </c:spPr>
          <c:marker>
            <c:symbol val="none"/>
          </c:marker>
          <c:cat>
            <c:numRef>
              <c:f>file!$F$2:$F$69</c:f>
              <c:numCache>
                <c:formatCode>General</c:formatCode>
                <c:ptCount val="6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numCache>
            </c:numRef>
          </c:cat>
          <c:val>
            <c:numRef>
              <c:f>file!$K$2:$K$69</c:f>
              <c:numCache>
                <c:formatCode>General</c:formatCode>
                <c:ptCount val="68"/>
                <c:pt idx="0">
                  <c:v>18</c:v>
                </c:pt>
                <c:pt idx="1">
                  <c:v>-2</c:v>
                </c:pt>
                <c:pt idx="2">
                  <c:v>8</c:v>
                </c:pt>
                <c:pt idx="3">
                  <c:v>4</c:v>
                </c:pt>
                <c:pt idx="4">
                  <c:v>20</c:v>
                </c:pt>
                <c:pt idx="5">
                  <c:v>14</c:v>
                </c:pt>
                <c:pt idx="6">
                  <c:v>15</c:v>
                </c:pt>
                <c:pt idx="7">
                  <c:v>14</c:v>
                </c:pt>
                <c:pt idx="8">
                  <c:v>10</c:v>
                </c:pt>
                <c:pt idx="9">
                  <c:v>20</c:v>
                </c:pt>
                <c:pt idx="10">
                  <c:v>17</c:v>
                </c:pt>
                <c:pt idx="11">
                  <c:v>30</c:v>
                </c:pt>
                <c:pt idx="12">
                  <c:v>28</c:v>
                </c:pt>
                <c:pt idx="13">
                  <c:v>25</c:v>
                </c:pt>
                <c:pt idx="14">
                  <c:v>23</c:v>
                </c:pt>
                <c:pt idx="15">
                  <c:v>33</c:v>
                </c:pt>
                <c:pt idx="16">
                  <c:v>36</c:v>
                </c:pt>
                <c:pt idx="17">
                  <c:v>34</c:v>
                </c:pt>
                <c:pt idx="18">
                  <c:v>31</c:v>
                </c:pt>
                <c:pt idx="19">
                  <c:v>35</c:v>
                </c:pt>
                <c:pt idx="20">
                  <c:v>39</c:v>
                </c:pt>
                <c:pt idx="21">
                  <c:v>40</c:v>
                </c:pt>
                <c:pt idx="22">
                  <c:v>39</c:v>
                </c:pt>
                <c:pt idx="23">
                  <c:v>38</c:v>
                </c:pt>
                <c:pt idx="24">
                  <c:v>39</c:v>
                </c:pt>
                <c:pt idx="25">
                  <c:v>37</c:v>
                </c:pt>
                <c:pt idx="26">
                  <c:v>35</c:v>
                </c:pt>
                <c:pt idx="27">
                  <c:v>38</c:v>
                </c:pt>
                <c:pt idx="28">
                  <c:v>35</c:v>
                </c:pt>
                <c:pt idx="29">
                  <c:v>35</c:v>
                </c:pt>
                <c:pt idx="30">
                  <c:v>38</c:v>
                </c:pt>
                <c:pt idx="31">
                  <c:v>40</c:v>
                </c:pt>
                <c:pt idx="32">
                  <c:v>38</c:v>
                </c:pt>
                <c:pt idx="33">
                  <c:v>36</c:v>
                </c:pt>
                <c:pt idx="34">
                  <c:v>39</c:v>
                </c:pt>
                <c:pt idx="35">
                  <c:v>35</c:v>
                </c:pt>
                <c:pt idx="36">
                  <c:v>46</c:v>
                </c:pt>
                <c:pt idx="37">
                  <c:v>45</c:v>
                </c:pt>
                <c:pt idx="38">
                  <c:v>42</c:v>
                </c:pt>
                <c:pt idx="39">
                  <c:v>38</c:v>
                </c:pt>
                <c:pt idx="40">
                  <c:v>40</c:v>
                </c:pt>
                <c:pt idx="41">
                  <c:v>33</c:v>
                </c:pt>
                <c:pt idx="42">
                  <c:v>30</c:v>
                </c:pt>
                <c:pt idx="43">
                  <c:v>33</c:v>
                </c:pt>
                <c:pt idx="44">
                  <c:v>31</c:v>
                </c:pt>
                <c:pt idx="45">
                  <c:v>28</c:v>
                </c:pt>
                <c:pt idx="46">
                  <c:v>28</c:v>
                </c:pt>
                <c:pt idx="47">
                  <c:v>25</c:v>
                </c:pt>
                <c:pt idx="48">
                  <c:v>25</c:v>
                </c:pt>
                <c:pt idx="49">
                  <c:v>27</c:v>
                </c:pt>
                <c:pt idx="50">
                  <c:v>35</c:v>
                </c:pt>
                <c:pt idx="51">
                  <c:v>28</c:v>
                </c:pt>
                <c:pt idx="52">
                  <c:v>23</c:v>
                </c:pt>
                <c:pt idx="53">
                  <c:v>32</c:v>
                </c:pt>
                <c:pt idx="54">
                  <c:v>31</c:v>
                </c:pt>
                <c:pt idx="55">
                  <c:v>38</c:v>
                </c:pt>
                <c:pt idx="56">
                  <c:v>45</c:v>
                </c:pt>
                <c:pt idx="57">
                  <c:v>43</c:v>
                </c:pt>
                <c:pt idx="58">
                  <c:v>46</c:v>
                </c:pt>
                <c:pt idx="59">
                  <c:v>42</c:v>
                </c:pt>
                <c:pt idx="60">
                  <c:v>39</c:v>
                </c:pt>
                <c:pt idx="61">
                  <c:v>29</c:v>
                </c:pt>
                <c:pt idx="62">
                  <c:v>34</c:v>
                </c:pt>
                <c:pt idx="63">
                  <c:v>31</c:v>
                </c:pt>
                <c:pt idx="64">
                  <c:v>37</c:v>
                </c:pt>
                <c:pt idx="65">
                  <c:v>33</c:v>
                </c:pt>
                <c:pt idx="66">
                  <c:v>34</c:v>
                </c:pt>
                <c:pt idx="67">
                  <c:v>31</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44351536"/>
        <c:axId val="1544350992"/>
      </c:lineChart>
      <c:catAx>
        <c:axId val="154435153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zh-CN"/>
          </a:p>
        </c:txPr>
        <c:crossAx val="1544350992"/>
        <c:crosses val="autoZero"/>
        <c:auto val="1"/>
        <c:lblAlgn val="ctr"/>
        <c:lblOffset val="100"/>
        <c:noMultiLvlLbl val="0"/>
      </c:catAx>
      <c:valAx>
        <c:axId val="15443509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zh-CN"/>
          </a:p>
        </c:txPr>
        <c:crossAx val="154435153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3F3AF-7316-44A9-A630-37D64EBB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5</Pages>
  <Words>467</Words>
  <Characters>2664</Characters>
  <Application>Microsoft Office Word</Application>
  <DocSecurity>0</DocSecurity>
  <Lines>22</Lines>
  <Paragraphs>6</Paragraphs>
  <ScaleCrop>false</ScaleCrop>
  <Company>Hewlett-Packard Company</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2015-09-11T02:00:00Z</dcterms:created>
  <dc:creator>微软用户</dc:creator>
  <cp:lastModifiedBy>RORO</cp:lastModifiedBy>
  <cp:lastPrinted>2012-10-31T03:14:00Z</cp:lastPrinted>
  <dcterms:modified xsi:type="dcterms:W3CDTF">2015-09-16T08:28:00Z</dcterms:modified>
  <cp:revision>71</cp:revision>
  <dc:title>_x000f_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