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6D" w:rsidRPr="001036BF" w:rsidRDefault="00972BFA" w:rsidP="00660AFC">
      <w:pPr>
        <w:spacing w:beforeLines="50" w:afterLines="50" w:line="36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回升行情可期</w:t>
      </w:r>
      <w:r w:rsidR="009F5EFE">
        <w:rPr>
          <w:rFonts w:ascii="微软雅黑" w:eastAsia="微软雅黑" w:hAnsi="微软雅黑" w:hint="eastAsia"/>
          <w:b/>
          <w:sz w:val="36"/>
          <w:szCs w:val="36"/>
        </w:rPr>
        <w:t>，</w:t>
      </w:r>
      <w:r w:rsidR="009F5EFE" w:rsidRPr="001036BF">
        <w:rPr>
          <w:rFonts w:ascii="微软雅黑" w:eastAsia="微软雅黑" w:hAnsi="微软雅黑" w:hint="eastAsia"/>
          <w:b/>
          <w:sz w:val="36"/>
          <w:szCs w:val="36"/>
        </w:rPr>
        <w:t>LLDPE</w:t>
      </w:r>
      <w:r w:rsidR="00E47700">
        <w:rPr>
          <w:rFonts w:ascii="微软雅黑" w:eastAsia="微软雅黑" w:hAnsi="微软雅黑" w:hint="eastAsia"/>
          <w:b/>
          <w:sz w:val="36"/>
          <w:szCs w:val="36"/>
        </w:rPr>
        <w:t>建多正当时</w:t>
      </w:r>
    </w:p>
    <w:tbl>
      <w:tblPr>
        <w:tblW w:w="6238" w:type="pct"/>
        <w:tblInd w:w="-1021" w:type="dxa"/>
        <w:tblLayout w:type="fixed"/>
        <w:tblLook w:val="0000"/>
      </w:tblPr>
      <w:tblGrid>
        <w:gridCol w:w="5378"/>
        <w:gridCol w:w="5254"/>
      </w:tblGrid>
      <w:tr w:rsidR="001036BF" w:rsidRPr="001036BF" w:rsidTr="00F330D0">
        <w:tc>
          <w:tcPr>
            <w:tcW w:w="5000" w:type="pct"/>
            <w:gridSpan w:val="2"/>
          </w:tcPr>
          <w:p w:rsidR="001036BF" w:rsidRPr="001036BF" w:rsidRDefault="001036BF" w:rsidP="00660AFC">
            <w:pPr>
              <w:spacing w:beforeLines="50" w:line="360" w:lineRule="auto"/>
              <w:rPr>
                <w:rFonts w:ascii="宋体" w:hAnsi="宋体"/>
                <w:b/>
                <w:sz w:val="32"/>
                <w:szCs w:val="32"/>
              </w:rPr>
            </w:pPr>
            <w:r w:rsidRPr="001036BF">
              <w:rPr>
                <w:rFonts w:ascii="宋体" w:hAnsi="宋体" w:hint="eastAsia"/>
                <w:b/>
                <w:sz w:val="32"/>
                <w:szCs w:val="32"/>
              </w:rPr>
              <w:t>一、</w:t>
            </w:r>
            <w:r w:rsidR="00F1241B">
              <w:rPr>
                <w:rFonts w:ascii="宋体" w:hAnsi="宋体" w:hint="eastAsia"/>
                <w:b/>
                <w:sz w:val="32"/>
                <w:szCs w:val="32"/>
              </w:rPr>
              <w:t>上游原油</w:t>
            </w:r>
            <w:r w:rsidR="00B625BA">
              <w:rPr>
                <w:rFonts w:ascii="宋体" w:hAnsi="宋体" w:hint="eastAsia"/>
                <w:b/>
                <w:sz w:val="32"/>
                <w:szCs w:val="32"/>
              </w:rPr>
              <w:t>后期</w:t>
            </w:r>
            <w:r w:rsidR="00BC4DEF">
              <w:rPr>
                <w:rFonts w:ascii="宋体" w:hAnsi="宋体" w:hint="eastAsia"/>
                <w:b/>
                <w:sz w:val="32"/>
                <w:szCs w:val="32"/>
              </w:rPr>
              <w:t>有望</w:t>
            </w:r>
            <w:r w:rsidR="00B625BA">
              <w:rPr>
                <w:rFonts w:ascii="宋体" w:hAnsi="宋体" w:hint="eastAsia"/>
                <w:b/>
                <w:sz w:val="32"/>
                <w:szCs w:val="32"/>
              </w:rPr>
              <w:t>回升</w:t>
            </w:r>
          </w:p>
        </w:tc>
      </w:tr>
      <w:tr w:rsidR="001036BF" w:rsidRPr="001036BF" w:rsidTr="00F330D0">
        <w:trPr>
          <w:trHeight w:val="74"/>
        </w:trPr>
        <w:tc>
          <w:tcPr>
            <w:tcW w:w="5000" w:type="pct"/>
            <w:gridSpan w:val="2"/>
          </w:tcPr>
          <w:p w:rsidR="001036BF" w:rsidRPr="001036BF" w:rsidRDefault="001036BF" w:rsidP="00660AFC">
            <w:pPr>
              <w:spacing w:beforeLines="50" w:line="300" w:lineRule="auto"/>
              <w:rPr>
                <w:rFonts w:ascii="宋体" w:hAnsi="宋体"/>
                <w:sz w:val="28"/>
                <w:szCs w:val="28"/>
              </w:rPr>
            </w:pPr>
            <w:r w:rsidRPr="001036BF">
              <w:rPr>
                <w:rFonts w:ascii="宋体" w:hAnsi="宋体" w:hint="eastAsia"/>
                <w:sz w:val="28"/>
                <w:szCs w:val="28"/>
              </w:rPr>
              <w:t>1.</w:t>
            </w:r>
            <w:r w:rsidR="00C421C1">
              <w:rPr>
                <w:rFonts w:ascii="宋体" w:hAnsi="宋体" w:hint="eastAsia"/>
                <w:sz w:val="28"/>
                <w:szCs w:val="28"/>
              </w:rPr>
              <w:t>美原油产量有下降趋势</w:t>
            </w:r>
            <w:r w:rsidRPr="001036BF">
              <w:rPr>
                <w:rFonts w:ascii="宋体" w:hAnsi="宋体" w:hint="eastAsia"/>
                <w:sz w:val="28"/>
                <w:szCs w:val="28"/>
              </w:rPr>
              <w:t>，关注资本支出减少对产出的影响</w:t>
            </w:r>
          </w:p>
        </w:tc>
      </w:tr>
      <w:tr w:rsidR="001036BF" w:rsidRPr="00872BDE" w:rsidTr="00F330D0">
        <w:tc>
          <w:tcPr>
            <w:tcW w:w="5000" w:type="pct"/>
            <w:gridSpan w:val="2"/>
          </w:tcPr>
          <w:p w:rsidR="001036BF" w:rsidRPr="005C2032" w:rsidRDefault="001036BF" w:rsidP="005C2032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当前，全球原油供应仍较充裕。从欧佩克来看，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月份产量3</w:t>
            </w:r>
            <w:r w:rsidR="00B625BA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</w:t>
            </w:r>
            <w:r w:rsidR="00C62291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5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4</w:t>
            </w: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万桶/日，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与6、7</w:t>
            </w: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月份</w:t>
            </w:r>
            <w:r w:rsidR="00133A18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3</w:t>
            </w:r>
            <w:r w:rsidR="00C62291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56</w:t>
            </w: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万桶/日、</w:t>
            </w:r>
            <w:r w:rsidR="00133A18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31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53</w:t>
            </w: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万桶/日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相比变动不大</w:t>
            </w: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，而从同期来看，去年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月日均产量为</w:t>
            </w:r>
            <w:r w:rsidR="00C62291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30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11</w:t>
            </w: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万桶</w:t>
            </w:r>
            <w:r w:rsidR="002F001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</w:t>
            </w:r>
            <w:r w:rsidR="00253165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增加较多。从今年3月份以来，其生产持续超过3000万</w:t>
            </w:r>
            <w:r w:rsidR="00253165" w:rsidRPr="005C2032"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  <w:t>桶/天的产量配额</w:t>
            </w:r>
            <w:r w:rsidR="00C62291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="00E4770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美国原油仍处较高水平，不过产量有减少的趋势，截至</w:t>
            </w:r>
            <w:r w:rsidR="00EB6113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9</w:t>
            </w:r>
            <w:r w:rsidR="00E4770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</w:t>
            </w:r>
            <w:r w:rsidR="00EB6113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4</w:t>
            </w:r>
            <w:r w:rsidR="00E4770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日当周，美国原油产量9</w:t>
            </w:r>
            <w:r w:rsidR="00EB6113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14</w:t>
            </w:r>
            <w:r w:rsidR="00E4770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万桶/</w:t>
            </w:r>
            <w:r w:rsidR="002F001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日</w:t>
            </w:r>
            <w:r w:rsidR="00E4770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，但较6月初</w:t>
            </w:r>
            <w:r w:rsidR="002F001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每日</w:t>
            </w:r>
            <w:r w:rsidR="00E4770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961万桶水平减少</w:t>
            </w:r>
            <w:r w:rsidR="00EB6113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47</w:t>
            </w:r>
            <w:r w:rsidR="002F001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万桶/日</w:t>
            </w:r>
            <w:r w:rsidR="00E47700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</w:p>
          <w:p w:rsidR="001036BF" w:rsidRPr="00872BDE" w:rsidRDefault="00EB6113" w:rsidP="005C2032">
            <w:pPr>
              <w:pStyle w:val="a4"/>
              <w:spacing w:line="360" w:lineRule="auto"/>
              <w:ind w:left="0" w:firstLineChars="200" w:firstLine="480"/>
            </w:pPr>
            <w:r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另外</w:t>
            </w:r>
            <w:r w:rsidR="001036BF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去年持续的低油价使得原油巨头纷纷削减开支，如美国康菲公司1月将2015年资本支出预算调降20亿美元至115亿美元，进一步减少分布在美国48个州的活跃钻机数，预计该公司页岩油田的产量将在第三季和第四季减少。</w:t>
            </w:r>
            <w:r w:rsidR="00B10D9E" w:rsidRPr="005C2032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另外，美国矿产资源部（DMR）报告显示，北达科他州自7月10日以来再无提交任何新油井完工报告，为年内最大间隔，显示页岩油生产商可能在延迟完工进度，削减产量等待油价回升。</w:t>
            </w:r>
          </w:p>
        </w:tc>
      </w:tr>
      <w:tr w:rsidR="001036BF" w:rsidRPr="001036BF" w:rsidTr="00F330D0">
        <w:tc>
          <w:tcPr>
            <w:tcW w:w="5000" w:type="pct"/>
            <w:gridSpan w:val="2"/>
          </w:tcPr>
          <w:p w:rsidR="001036BF" w:rsidRPr="001036BF" w:rsidRDefault="001036BF" w:rsidP="00660AFC">
            <w:pPr>
              <w:spacing w:beforeLines="50" w:line="300" w:lineRule="auto"/>
              <w:rPr>
                <w:rFonts w:ascii="宋体" w:hAnsi="宋体"/>
                <w:sz w:val="28"/>
                <w:szCs w:val="28"/>
              </w:rPr>
            </w:pPr>
            <w:r w:rsidRPr="001036BF">
              <w:rPr>
                <w:rFonts w:ascii="宋体" w:hAnsi="宋体" w:hint="eastAsia"/>
                <w:sz w:val="28"/>
                <w:szCs w:val="28"/>
              </w:rPr>
              <w:t>2.原油需求有望增加</w:t>
            </w:r>
          </w:p>
        </w:tc>
      </w:tr>
      <w:tr w:rsidR="001036BF" w:rsidRPr="0042660F" w:rsidTr="00F330D0">
        <w:tc>
          <w:tcPr>
            <w:tcW w:w="5000" w:type="pct"/>
            <w:gridSpan w:val="2"/>
          </w:tcPr>
          <w:p w:rsidR="001036BF" w:rsidRPr="00E86320" w:rsidRDefault="00B91011" w:rsidP="00C460BA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国内</w:t>
            </w:r>
            <w:r w:rsidR="00ED68C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看</w:t>
            </w:r>
            <w:r w:rsidR="00BC4DE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，虽然</w:t>
            </w:r>
            <w:r w:rsidR="00D178B6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经济下行压力</w:t>
            </w:r>
            <w:r w:rsidR="00BC4DE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增</w:t>
            </w:r>
            <w:r w:rsidR="00D178B6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大，但原油进口仍保持较高水平，中国</w:t>
            </w:r>
            <w:r w:rsidR="00DC401A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1-</w:t>
            </w:r>
            <w:r w:rsidR="00C460BA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="00DC401A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月累计进口原油</w:t>
            </w:r>
            <w:r w:rsidR="00C460BA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22067</w:t>
            </w:r>
            <w:r w:rsidR="00DC401A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万吨，较去年</w:t>
            </w:r>
            <w:r w:rsidR="00BC4DE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1-</w:t>
            </w:r>
            <w:r w:rsidR="00C460BA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="00BC4DE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月份累计值</w:t>
            </w:r>
            <w:r w:rsidR="00DC401A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增长</w:t>
            </w:r>
            <w:r w:rsidR="00BC4DE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约</w:t>
            </w:r>
            <w:r w:rsidR="00C460BA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8.9</w:t>
            </w:r>
            <w:r w:rsidR="00DC401A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%。</w:t>
            </w:r>
            <w:r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印度</w:t>
            </w:r>
            <w:r w:rsidR="00DC401A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需求增长也很快，</w:t>
            </w:r>
            <w:r w:rsidR="00D178B6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二季度原油需求量首次赶超日本，仅次于美国和中国，成为全球第三。</w:t>
            </w:r>
          </w:p>
          <w:p w:rsidR="00BC4DEF" w:rsidRDefault="001036BF" w:rsidP="00660AFC">
            <w:pPr>
              <w:pStyle w:val="a3"/>
              <w:spacing w:beforeLines="25" w:beforeAutospacing="0" w:afterLines="25" w:afterAutospacing="0" w:line="300" w:lineRule="auto"/>
              <w:ind w:firstLineChars="200" w:firstLine="480"/>
            </w:pPr>
            <w:r>
              <w:rPr>
                <w:rFonts w:hint="eastAsia"/>
              </w:rPr>
              <w:t>同时，</w:t>
            </w:r>
            <w:r w:rsidR="009D3634">
              <w:rPr>
                <w:rFonts w:hint="eastAsia"/>
              </w:rPr>
              <w:t>机构</w:t>
            </w:r>
            <w:r w:rsidR="009D3634">
              <w:t>纷纷上调</w:t>
            </w:r>
            <w:r w:rsidR="009D3634">
              <w:rPr>
                <w:rFonts w:hint="eastAsia"/>
              </w:rPr>
              <w:t>全球</w:t>
            </w:r>
            <w:r w:rsidR="009D3634">
              <w:t>原油需求预期。</w:t>
            </w:r>
          </w:p>
          <w:p w:rsidR="00BC4DEF" w:rsidRPr="00E86320" w:rsidRDefault="00B11900" w:rsidP="00E86320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国际能源署(IEA) 8月12日表示，全球石油需求正以五年来最快速度成长，主要拜经济成长和低油价所赐</w:t>
            </w:r>
            <w:r w:rsidR="001036B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其将今明两年的全球石油需求增长预估大幅上调。</w:t>
            </w:r>
            <w:r w:rsidR="00320116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9月12日</w:t>
            </w:r>
            <w:r w:rsidR="00BC4DE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IEA</w:t>
            </w:r>
            <w:r w:rsidR="00320116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则将2015年全球石油需求日增长预估上调11万桶，至五年高点每日171万桶</w:t>
            </w:r>
            <w:r w:rsidR="00BC4DE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="007D7BBE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同时，其认为到2015年年底，中国可能每天收储约38万桶原油作为紧急储备。鉴于明年将有4个新增储备基地投入营运，2016年的收储速度可能达到每天26万桶。</w:t>
            </w:r>
          </w:p>
          <w:p w:rsidR="00DA37AC" w:rsidRPr="005C2032" w:rsidRDefault="00BC4DEF" w:rsidP="005C2032">
            <w:pPr>
              <w:pStyle w:val="a4"/>
              <w:spacing w:line="360" w:lineRule="auto"/>
              <w:ind w:left="0" w:firstLineChars="200" w:firstLine="42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</w:t>
            </w:r>
            <w:r w:rsidR="001036B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另外，</w:t>
            </w:r>
            <w:r w:rsidR="007D7BBE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石油输出国组织（</w:t>
            </w:r>
            <w:r w:rsidR="001036BF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OPEC</w:t>
            </w:r>
            <w:r w:rsidR="007D7BBE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）9月14日</w:t>
            </w:r>
            <w:r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在</w:t>
            </w:r>
            <w:r w:rsidR="007D7BBE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其</w:t>
            </w:r>
            <w:r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月报中表示，</w:t>
            </w:r>
            <w:r w:rsidR="007D7BBE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最近的数据显示石油需求好于预估</w:t>
            </w:r>
            <w:r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，同时将</w:t>
            </w:r>
            <w:r w:rsidR="007D7BBE"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2015年石油需求增长预估上调8.4万桶，至146万桶/日</w:t>
            </w:r>
            <w:r w:rsidRPr="00E86320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</w:p>
        </w:tc>
      </w:tr>
      <w:tr w:rsidR="001036BF" w:rsidRPr="00BF5A45" w:rsidTr="00F330D0">
        <w:tc>
          <w:tcPr>
            <w:tcW w:w="2529" w:type="pct"/>
          </w:tcPr>
          <w:p w:rsidR="001036BF" w:rsidRPr="00BF5A45" w:rsidRDefault="001036BF" w:rsidP="00FB4718">
            <w:pPr>
              <w:pStyle w:val="p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F5A45">
              <w:rPr>
                <w:rFonts w:ascii="宋体" w:hAnsi="宋体" w:hint="eastAsia"/>
                <w:sz w:val="24"/>
                <w:szCs w:val="24"/>
              </w:rPr>
              <w:lastRenderedPageBreak/>
              <w:t>图</w:t>
            </w:r>
            <w:r w:rsidR="00660AFC">
              <w:rPr>
                <w:rFonts w:ascii="宋体" w:hAnsi="宋体" w:hint="eastAsia"/>
                <w:sz w:val="24"/>
                <w:szCs w:val="24"/>
              </w:rPr>
              <w:t>1.</w:t>
            </w:r>
            <w:r w:rsidR="009A3ED2">
              <w:rPr>
                <w:rFonts w:ascii="宋体" w:hAnsi="宋体" w:hint="eastAsia"/>
                <w:sz w:val="24"/>
                <w:szCs w:val="24"/>
              </w:rPr>
              <w:t>美原油产量</w:t>
            </w:r>
            <w:r w:rsidR="00FB4718">
              <w:rPr>
                <w:rFonts w:ascii="宋体" w:hAnsi="宋体" w:hint="eastAsia"/>
                <w:sz w:val="24"/>
                <w:szCs w:val="24"/>
              </w:rPr>
              <w:t>有所下降</w:t>
            </w:r>
          </w:p>
        </w:tc>
        <w:tc>
          <w:tcPr>
            <w:tcW w:w="2471" w:type="pct"/>
          </w:tcPr>
          <w:p w:rsidR="001036BF" w:rsidRPr="00BF5A45" w:rsidRDefault="001036BF" w:rsidP="00DA37AC">
            <w:pPr>
              <w:pStyle w:val="p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F5A45">
              <w:rPr>
                <w:rFonts w:ascii="宋体" w:hAnsi="宋体" w:hint="eastAsia"/>
                <w:sz w:val="24"/>
                <w:szCs w:val="24"/>
              </w:rPr>
              <w:t>图</w:t>
            </w:r>
            <w:r w:rsidR="00660AFC">
              <w:rPr>
                <w:rFonts w:ascii="宋体" w:hAnsi="宋体" w:hint="eastAsia"/>
                <w:sz w:val="24"/>
                <w:szCs w:val="24"/>
              </w:rPr>
              <w:t>2.</w:t>
            </w:r>
            <w:r w:rsidR="007C0B54">
              <w:rPr>
                <w:rFonts w:ascii="宋体" w:hAnsi="宋体" w:hint="eastAsia"/>
                <w:sz w:val="24"/>
                <w:szCs w:val="24"/>
              </w:rPr>
              <w:t>国内原油</w:t>
            </w:r>
            <w:r w:rsidR="00DA37AC">
              <w:rPr>
                <w:rFonts w:ascii="宋体" w:hAnsi="宋体" w:hint="eastAsia"/>
                <w:sz w:val="24"/>
                <w:szCs w:val="24"/>
              </w:rPr>
              <w:t>累计</w:t>
            </w:r>
            <w:r w:rsidR="007C0B54">
              <w:rPr>
                <w:rFonts w:ascii="宋体" w:hAnsi="宋体" w:hint="eastAsia"/>
                <w:sz w:val="24"/>
                <w:szCs w:val="24"/>
              </w:rPr>
              <w:t>进口</w:t>
            </w:r>
            <w:r w:rsidR="00DA37AC">
              <w:rPr>
                <w:rFonts w:ascii="宋体" w:hAnsi="宋体" w:hint="eastAsia"/>
                <w:sz w:val="24"/>
                <w:szCs w:val="24"/>
              </w:rPr>
              <w:t>值</w:t>
            </w:r>
            <w:r w:rsidR="007C0B54">
              <w:rPr>
                <w:rFonts w:ascii="宋体" w:hAnsi="宋体" w:hint="eastAsia"/>
                <w:sz w:val="24"/>
                <w:szCs w:val="24"/>
              </w:rPr>
              <w:t>增加</w:t>
            </w:r>
          </w:p>
        </w:tc>
      </w:tr>
      <w:tr w:rsidR="001036BF" w:rsidRPr="009A76AD" w:rsidTr="00165586">
        <w:trPr>
          <w:trHeight w:val="4604"/>
        </w:trPr>
        <w:tc>
          <w:tcPr>
            <w:tcW w:w="2529" w:type="pct"/>
          </w:tcPr>
          <w:p w:rsidR="001036BF" w:rsidRPr="005358D2" w:rsidRDefault="001036BF" w:rsidP="00F330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3200399" cy="2828925"/>
                  <wp:effectExtent l="19050" t="0" r="1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Application Data\Tencent\Users\11756785\QQ\WinTemp\RichOle\(YQ@$EQ@Y%GYN}I6K9~O)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613" cy="2846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pct"/>
          </w:tcPr>
          <w:p w:rsidR="001036BF" w:rsidRPr="009A76AD" w:rsidRDefault="00D20BEC" w:rsidP="00660AFC">
            <w:pPr>
              <w:spacing w:beforeLines="25" w:afterLines="25" w:line="30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noProof/>
                <w:szCs w:val="21"/>
              </w:rPr>
              <w:drawing>
                <wp:inline distT="0" distB="0" distL="0" distR="0">
                  <wp:extent cx="3181350" cy="2705100"/>
                  <wp:effectExtent l="19050" t="0" r="0" b="0"/>
                  <wp:docPr id="8" name="图片 7" descr="QQ截图20150723152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5072315244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076" cy="2704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6BF" w:rsidRPr="00BF5A45" w:rsidTr="00165586">
        <w:trPr>
          <w:trHeight w:val="433"/>
        </w:trPr>
        <w:tc>
          <w:tcPr>
            <w:tcW w:w="2529" w:type="pct"/>
            <w:tcBorders>
              <w:bottom w:val="single" w:sz="2" w:space="0" w:color="000000" w:themeColor="text1"/>
            </w:tcBorders>
          </w:tcPr>
          <w:p w:rsidR="001036BF" w:rsidRPr="00BF5A45" w:rsidRDefault="001036BF" w:rsidP="00D322E7">
            <w:pPr>
              <w:pStyle w:val="p0"/>
              <w:spacing w:line="300" w:lineRule="auto"/>
              <w:jc w:val="right"/>
              <w:rPr>
                <w:rFonts w:ascii="宋体" w:hAnsi="宋体"/>
                <w:szCs w:val="24"/>
              </w:rPr>
            </w:pPr>
            <w:r w:rsidRPr="00BF5A45">
              <w:rPr>
                <w:rFonts w:ascii="宋体" w:hAnsi="宋体" w:hint="eastAsia"/>
                <w:szCs w:val="24"/>
              </w:rPr>
              <w:t>数据来源：</w:t>
            </w:r>
            <w:r>
              <w:rPr>
                <w:rFonts w:ascii="宋体" w:hAnsi="宋体" w:hint="eastAsia"/>
                <w:szCs w:val="24"/>
              </w:rPr>
              <w:t>WIND</w:t>
            </w:r>
            <w:r>
              <w:rPr>
                <w:rFonts w:ascii="宋体" w:hAnsi="宋体"/>
                <w:szCs w:val="24"/>
              </w:rPr>
              <w:t>、</w:t>
            </w:r>
            <w:r w:rsidR="00D322E7">
              <w:rPr>
                <w:rFonts w:ascii="宋体" w:hAnsi="宋体" w:hint="eastAsia"/>
                <w:szCs w:val="24"/>
              </w:rPr>
              <w:t>新纪元期货</w:t>
            </w:r>
          </w:p>
        </w:tc>
        <w:tc>
          <w:tcPr>
            <w:tcW w:w="2471" w:type="pct"/>
            <w:tcBorders>
              <w:bottom w:val="single" w:sz="2" w:space="0" w:color="000000" w:themeColor="text1"/>
            </w:tcBorders>
          </w:tcPr>
          <w:p w:rsidR="001036BF" w:rsidRPr="00BF5A45" w:rsidRDefault="001036BF" w:rsidP="00D322E7">
            <w:pPr>
              <w:pStyle w:val="p0"/>
              <w:spacing w:line="300" w:lineRule="auto"/>
              <w:jc w:val="right"/>
              <w:rPr>
                <w:rFonts w:ascii="宋体" w:hAnsi="宋体"/>
                <w:szCs w:val="24"/>
              </w:rPr>
            </w:pPr>
            <w:r w:rsidRPr="00BF5A45">
              <w:rPr>
                <w:rFonts w:ascii="宋体" w:hAnsi="宋体" w:hint="eastAsia"/>
                <w:szCs w:val="24"/>
              </w:rPr>
              <w:t>数据来源：</w:t>
            </w:r>
            <w:r>
              <w:rPr>
                <w:rFonts w:ascii="宋体" w:hAnsi="宋体" w:hint="eastAsia"/>
                <w:szCs w:val="24"/>
              </w:rPr>
              <w:t>WIND</w:t>
            </w:r>
            <w:r>
              <w:rPr>
                <w:rFonts w:ascii="宋体" w:hAnsi="宋体"/>
                <w:szCs w:val="24"/>
              </w:rPr>
              <w:t>、</w:t>
            </w:r>
            <w:r w:rsidR="00D322E7">
              <w:rPr>
                <w:rFonts w:ascii="宋体" w:hAnsi="宋体" w:hint="eastAsia"/>
                <w:szCs w:val="24"/>
              </w:rPr>
              <w:t>新纪元</w:t>
            </w:r>
            <w:r w:rsidR="00D322E7">
              <w:rPr>
                <w:rFonts w:ascii="宋体" w:hAnsi="宋体"/>
                <w:szCs w:val="24"/>
              </w:rPr>
              <w:t>期货</w:t>
            </w:r>
          </w:p>
        </w:tc>
      </w:tr>
      <w:tr w:rsidR="001036BF" w:rsidRPr="001036BF" w:rsidTr="00F330D0">
        <w:tc>
          <w:tcPr>
            <w:tcW w:w="5000" w:type="pct"/>
            <w:gridSpan w:val="2"/>
          </w:tcPr>
          <w:p w:rsidR="001036BF" w:rsidRPr="001A6706" w:rsidRDefault="001036BF" w:rsidP="00660AFC">
            <w:pPr>
              <w:spacing w:beforeLines="50" w:line="300" w:lineRule="auto"/>
              <w:rPr>
                <w:rFonts w:ascii="宋体" w:hAnsi="宋体"/>
                <w:sz w:val="28"/>
                <w:szCs w:val="28"/>
              </w:rPr>
            </w:pPr>
            <w:r w:rsidRPr="001036BF">
              <w:rPr>
                <w:rFonts w:ascii="宋体" w:hAnsi="宋体" w:hint="eastAsia"/>
                <w:sz w:val="28"/>
                <w:szCs w:val="28"/>
              </w:rPr>
              <w:t>3、</w:t>
            </w:r>
            <w:r w:rsidR="001A6706" w:rsidRPr="001A6706">
              <w:rPr>
                <w:rFonts w:ascii="宋体" w:hAnsi="宋体" w:hint="eastAsia"/>
                <w:sz w:val="28"/>
                <w:szCs w:val="28"/>
              </w:rPr>
              <w:t>飓风季或提供后期炒作题材</w:t>
            </w:r>
          </w:p>
        </w:tc>
      </w:tr>
      <w:tr w:rsidR="001036BF" w:rsidTr="00F330D0">
        <w:tc>
          <w:tcPr>
            <w:tcW w:w="5000" w:type="pct"/>
            <w:gridSpan w:val="2"/>
          </w:tcPr>
          <w:p w:rsidR="001036BF" w:rsidRDefault="001A6706" w:rsidP="001A6706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1A6706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墨西哥湾地区集中了美国23%的原油产能，一般飓风季从6月1日开始，一直延续到11月30日。在此期间，气象条件和海洋环境都有助于在墨西哥湾的任何地方生成飓风。若飓风季期间造成石油生产设施关闭，则有望提升美国能源供应紧张的担忧，从而提供市场炒作题材，推升油价。美国国家飓风中心(NHC) 8月20日监测报告显示，热带风暴“丹尼”(Danny)已经升级，在大西洋中部形成了2015年首个飓风</w:t>
            </w:r>
            <w:r w:rsidR="001036BF"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="00B10513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虽然目前尚无迹象显示</w:t>
            </w:r>
            <w:r w:rsidR="00B10513" w:rsidRPr="00B10513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发展到墨西哥湾</w:t>
            </w:r>
            <w:r w:rsidR="00B10513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地区，但对飓风等题材需保持关注。</w:t>
            </w:r>
          </w:p>
        </w:tc>
      </w:tr>
      <w:tr w:rsidR="001036BF" w:rsidRPr="001036BF" w:rsidTr="00F330D0">
        <w:tc>
          <w:tcPr>
            <w:tcW w:w="5000" w:type="pct"/>
            <w:gridSpan w:val="2"/>
          </w:tcPr>
          <w:p w:rsidR="001036BF" w:rsidRPr="001036BF" w:rsidRDefault="001036BF" w:rsidP="00660AFC">
            <w:pPr>
              <w:spacing w:beforeLines="50" w:line="300" w:lineRule="auto"/>
              <w:rPr>
                <w:rFonts w:ascii="宋体" w:hAnsi="宋体"/>
                <w:sz w:val="28"/>
                <w:szCs w:val="28"/>
              </w:rPr>
            </w:pPr>
            <w:r w:rsidRPr="001036BF">
              <w:rPr>
                <w:rFonts w:ascii="宋体" w:hAnsi="宋体" w:hint="eastAsia"/>
                <w:sz w:val="28"/>
                <w:szCs w:val="28"/>
              </w:rPr>
              <w:t>4、</w:t>
            </w:r>
            <w:r w:rsidR="00797388">
              <w:rPr>
                <w:rFonts w:ascii="宋体" w:hAnsi="宋体" w:hint="eastAsia"/>
                <w:sz w:val="28"/>
                <w:szCs w:val="28"/>
              </w:rPr>
              <w:t>美原油库存有下降迹象</w:t>
            </w:r>
          </w:p>
        </w:tc>
      </w:tr>
      <w:tr w:rsidR="001036BF" w:rsidRPr="00C312D1" w:rsidTr="00F330D0">
        <w:tc>
          <w:tcPr>
            <w:tcW w:w="5000" w:type="pct"/>
            <w:gridSpan w:val="2"/>
          </w:tcPr>
          <w:p w:rsidR="00EE7042" w:rsidRDefault="00EE7042" w:rsidP="00DA37AC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美国能源信息署（EIA）发布的数据显示，截至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9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11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日当周，美国原油库存下滑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210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万桶至4.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5589亿桶。同时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，由于库欣是纽约商交所原油期货实物交割地，美国基准油价容易受到库欣供应水平影响，</w:t>
            </w:r>
            <w:r w:rsidRPr="009D3634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从库欣地区看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虽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库欣地区原油库存</w:t>
            </w:r>
            <w:r w:rsid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9</w:t>
            </w:r>
            <w:r w:rsidRPr="008577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月1</w:t>
            </w:r>
            <w:r w:rsid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</w:t>
            </w:r>
            <w:r w:rsidRPr="008577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日当周</w:t>
            </w:r>
            <w:r w:rsid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下降190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万桶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至5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770万桶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</w:t>
            </w:r>
            <w:r w:rsidR="00797388" w:rsidRP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创2014年2月以来最大降幅</w:t>
            </w:r>
            <w:r w:rsidRPr="00875D4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</w:p>
          <w:p w:rsidR="00EE7042" w:rsidRPr="004A5F9E" w:rsidRDefault="007E416D" w:rsidP="00720E3D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美原油10月合约自6月初的60美元附近开始下跌，在跌破</w:t>
            </w:r>
            <w:r w:rsidR="00004759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40美元后，</w:t>
            </w:r>
            <w:r w:rsidR="00DA37AC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出现了一般快速上涨</w:t>
            </w:r>
            <w:r w:rsid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="00CB0AF5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通过以上对原油基本面的分析</w:t>
            </w:r>
            <w:r w:rsid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我们认为</w:t>
            </w:r>
            <w:r w:rsidR="00797388" w:rsidRP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低油价使得对原油的资本支出减少，美国原油产量已经出现下降继续，而后期原油需求有望增加，</w:t>
            </w:r>
            <w:r w:rsidR="00720E3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同时美原油库存有下降迹象，</w:t>
            </w:r>
            <w:r w:rsidR="00797388" w:rsidRP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原油</w:t>
            </w:r>
            <w:r w:rsidR="00797388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后期有望</w:t>
            </w:r>
            <w:r w:rsidR="00720E3D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上行，从而在成本端对LLDPE形成支撑</w:t>
            </w:r>
            <w:r w:rsidR="00F84E2C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</w:p>
        </w:tc>
      </w:tr>
      <w:tr w:rsidR="001036BF" w:rsidRPr="001036BF" w:rsidTr="00F330D0">
        <w:tc>
          <w:tcPr>
            <w:tcW w:w="5000" w:type="pct"/>
            <w:gridSpan w:val="2"/>
          </w:tcPr>
          <w:p w:rsidR="001036BF" w:rsidRPr="001036BF" w:rsidRDefault="001036BF" w:rsidP="00660AFC">
            <w:pPr>
              <w:spacing w:beforeLines="50" w:line="300" w:lineRule="auto"/>
              <w:rPr>
                <w:rFonts w:ascii="宋体" w:hAnsi="宋体"/>
                <w:b/>
                <w:sz w:val="32"/>
                <w:szCs w:val="32"/>
              </w:rPr>
            </w:pPr>
            <w:r w:rsidRPr="001036BF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二、LLDPE基本面分析</w:t>
            </w:r>
          </w:p>
        </w:tc>
      </w:tr>
      <w:tr w:rsidR="001036BF" w:rsidRPr="001036BF" w:rsidTr="00F330D0">
        <w:tc>
          <w:tcPr>
            <w:tcW w:w="5000" w:type="pct"/>
            <w:gridSpan w:val="2"/>
          </w:tcPr>
          <w:p w:rsidR="001036BF" w:rsidRPr="001036BF" w:rsidRDefault="004A5F9E" w:rsidP="00660AFC">
            <w:pPr>
              <w:spacing w:beforeLines="5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1036BF" w:rsidRPr="001036BF">
              <w:rPr>
                <w:rFonts w:ascii="宋体" w:hAnsi="宋体" w:hint="eastAsia"/>
                <w:sz w:val="28"/>
                <w:szCs w:val="28"/>
              </w:rPr>
              <w:t>.新增产能压力减小</w:t>
            </w:r>
          </w:p>
        </w:tc>
      </w:tr>
      <w:tr w:rsidR="001036BF" w:rsidRPr="00BF5536" w:rsidTr="00F330D0">
        <w:tc>
          <w:tcPr>
            <w:tcW w:w="5000" w:type="pct"/>
            <w:gridSpan w:val="2"/>
          </w:tcPr>
          <w:p w:rsidR="006049E1" w:rsidRDefault="001036BF" w:rsidP="006049E1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由于前些年油价基本维持在80美元/桶之上，高油价条件使得油头竞争力减弱，大量装置被迫停建缓建，而煤化工则高利润，大量煤制烯烃装置获批建设，13、14年大量煤制烯烃项目集中投产。然而去年下半年开始，油价大幅回落使得煤制烯烃的成本优势不再，加上煤化工环保要求的提高带来的成本上升，煤制烯烃的投资热潮则将随之降温，许多在建或拟建的装置很大一部分缓建甚至撤销。</w:t>
            </w:r>
          </w:p>
          <w:p w:rsidR="001036BF" w:rsidRPr="00BF5536" w:rsidRDefault="001036BF" w:rsidP="006049E1">
            <w:pPr>
              <w:pStyle w:val="a4"/>
              <w:spacing w:line="360" w:lineRule="auto"/>
              <w:ind w:left="0" w:firstLineChars="200" w:firstLine="480"/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一、二季度，PE新增产能装置投放较少，主要有蒲城清洁能源装置及浙江兴兴新能源投产。原二季度计划投产的大美煤炭PE项目推迟至2016年。下半年计划投产的内蒙古久泰能源的25万吨PE项目也计划推迟至2016年投产。下半年大概率投产的仅有中煤蒙大30万吨PE项目。预计2015年PE的产能增速可能下降至6%，较前两年大幅降低。新增产能对市场价格的冲击或减弱。</w:t>
            </w:r>
          </w:p>
        </w:tc>
      </w:tr>
      <w:tr w:rsidR="004A5F9E" w:rsidRPr="00BF5536" w:rsidTr="00F330D0">
        <w:tc>
          <w:tcPr>
            <w:tcW w:w="5000" w:type="pct"/>
            <w:gridSpan w:val="2"/>
          </w:tcPr>
          <w:p w:rsidR="004A5F9E" w:rsidRPr="001036BF" w:rsidRDefault="004A5F9E" w:rsidP="00660AFC">
            <w:pPr>
              <w:spacing w:beforeLines="5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1036BF">
              <w:rPr>
                <w:rFonts w:ascii="宋体" w:hAnsi="宋体" w:hint="eastAsia"/>
                <w:sz w:val="28"/>
                <w:szCs w:val="28"/>
              </w:rPr>
              <w:t>.检修</w:t>
            </w:r>
            <w:r>
              <w:rPr>
                <w:rFonts w:ascii="宋体" w:hAnsi="宋体" w:hint="eastAsia"/>
                <w:sz w:val="28"/>
                <w:szCs w:val="28"/>
              </w:rPr>
              <w:t>装置</w:t>
            </w:r>
            <w:r w:rsidR="00C356F4">
              <w:rPr>
                <w:rFonts w:ascii="宋体" w:hAnsi="宋体" w:hint="eastAsia"/>
                <w:sz w:val="28"/>
                <w:szCs w:val="28"/>
              </w:rPr>
              <w:t>有望增加</w:t>
            </w:r>
          </w:p>
        </w:tc>
      </w:tr>
      <w:tr w:rsidR="004A5F9E" w:rsidRPr="001036BF" w:rsidTr="00F330D0">
        <w:tc>
          <w:tcPr>
            <w:tcW w:w="5000" w:type="pct"/>
            <w:gridSpan w:val="2"/>
          </w:tcPr>
          <w:p w:rsidR="004A5F9E" w:rsidRPr="006049E1" w:rsidRDefault="004A5F9E" w:rsidP="006049E1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4月独山子石化112万吨产能，扬巴20万吨高压检修， 5月份大庆石化、吉林石化装置检修一个月，6月份则有福建炼化及延长中煤短期检修。二季度为今年装置检修最为密集时期，检修装置共涉及产能300余万吨。</w:t>
            </w:r>
            <w:r w:rsidR="00C356F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近一段时期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</w:t>
            </w:r>
            <w:r w:rsidR="008D484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长期</w:t>
            </w:r>
            <w:r w:rsidR="00C356F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检修</w:t>
            </w:r>
            <w:r w:rsidR="008D484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装置</w:t>
            </w:r>
            <w:r w:rsidR="00C356F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不多，</w:t>
            </w:r>
            <w:r w:rsidR="008D484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大多为短期检修，</w:t>
            </w:r>
            <w:r w:rsidR="00C356F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供给端压力较大。但是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根据装置检修计划，抚顺石化</w:t>
            </w:r>
            <w:r w:rsidR="008D484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老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装置计划9月检修</w:t>
            </w:r>
            <w:r w:rsidR="008D484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半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个月，</w:t>
            </w:r>
            <w:r w:rsidR="00131C92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镇海炼化、茂名石化、中海油壳牌等装置在10月份有检修计划。另外，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宁夏宝丰30万吨全密度装置</w:t>
            </w:r>
            <w:r w:rsidR="00131C92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原</w:t>
            </w:r>
            <w:r w:rsidR="00C356F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计划</w:t>
            </w:r>
            <w:r w:rsidR="00131C92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月检修一个月</w:t>
            </w:r>
            <w:r w:rsidR="00C356F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</w:t>
            </w:r>
            <w:r w:rsidR="00131C92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但装置至今尚未进行检修，后期亦存在检修可能</w:t>
            </w:r>
            <w:r w:rsidR="00C356F4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</w:p>
        </w:tc>
      </w:tr>
      <w:tr w:rsidR="004A5F9E" w:rsidRPr="001036BF" w:rsidTr="00F330D0">
        <w:tc>
          <w:tcPr>
            <w:tcW w:w="5000" w:type="pct"/>
            <w:gridSpan w:val="2"/>
          </w:tcPr>
          <w:p w:rsidR="004A5F9E" w:rsidRPr="004A5F9E" w:rsidRDefault="004A5F9E" w:rsidP="00660AFC">
            <w:pPr>
              <w:spacing w:beforeLines="5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3、需求</w:t>
            </w:r>
            <w:r w:rsidR="00A05B97">
              <w:rPr>
                <w:rFonts w:ascii="宋体" w:hAnsi="宋体" w:hint="eastAsia"/>
                <w:sz w:val="28"/>
                <w:szCs w:val="28"/>
              </w:rPr>
              <w:t>回暖，后期需求有望继续改善</w:t>
            </w:r>
          </w:p>
        </w:tc>
      </w:tr>
      <w:tr w:rsidR="004A5F9E" w:rsidRPr="002D49B4" w:rsidTr="00F330D0">
        <w:trPr>
          <w:trHeight w:val="426"/>
        </w:trPr>
        <w:tc>
          <w:tcPr>
            <w:tcW w:w="5000" w:type="pct"/>
            <w:gridSpan w:val="2"/>
          </w:tcPr>
          <w:p w:rsidR="006049E1" w:rsidRDefault="004A5F9E" w:rsidP="006049E1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LLDPE主要用于塑料包装膜和农膜，包装膜全年需求较为平均，而农膜用量则同农耕有较大关联，具有周期性特点。数据上看，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月塑料薄膜产量</w:t>
            </w:r>
            <w:r w:rsidR="00486D7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0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9.46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万吨，较去年同期</w:t>
            </w:r>
            <w:r w:rsidR="00486D7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增长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5.76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%，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连续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三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个月正增长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="00486D7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农用薄膜产量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19.79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万吨，同比</w:t>
            </w:r>
            <w:r w:rsidR="00486D7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增长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13.16</w:t>
            </w:r>
            <w:r w:rsidR="002102C7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%</w:t>
            </w:r>
            <w:r w:rsidR="00486D7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1-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7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月累计产量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49.64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万吨，累计同比增长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8.25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%。</w:t>
            </w:r>
          </w:p>
          <w:p w:rsidR="004A5F9E" w:rsidRPr="006049E1" w:rsidRDefault="004A5F9E" w:rsidP="006049E1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在调结构背景下，国内经济增速下滑，也使得今年</w:t>
            </w:r>
            <w:r w:rsidR="00295983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前期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LLDPE下游消费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增速较去年有所下滑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。但是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国内货币政策今年以来接连放松，8月25日，央行决定自8月26日起下调贷款基准利率并降低存款准备金率0.25个百分点货币政策，是继今年5月份同步降息降准之后的第二次“双降”。同时，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lastRenderedPageBreak/>
              <w:t>积极财政政策也有所加码，力促稳增长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="00A26A2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数据上看，6</w:t>
            </w:r>
            <w:r w:rsidR="004E1AC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、7</w:t>
            </w:r>
            <w:r w:rsidR="00A26A2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月下游需求已有所改善，若后期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宏观面</w:t>
            </w:r>
            <w:r w:rsidR="00A26A2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配合，将有效拉动下游需求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</w:p>
          <w:p w:rsidR="004A5F9E" w:rsidRPr="006049E1" w:rsidRDefault="004A5F9E" w:rsidP="006049E1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农膜用量同农耕有较大关联，具有周期性特点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。9月为棚膜备货旺季，但进入10月，备货需求逐渐降低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="00CE0F59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不过从包装膜来看，</w:t>
            </w:r>
            <w:r w:rsidR="00984A93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一般四季度，尤其是11月、12月受年底节日消费拉动，塑料包装膜产量会有大幅提升，从近三年数据来看， 2012、2013、2014年四季度平均产量分别为88.86、99.73、113.62万吨，高于全年的平均产量</w:t>
            </w:r>
            <w:r w:rsidR="00581657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水平。</w:t>
            </w:r>
          </w:p>
        </w:tc>
      </w:tr>
      <w:tr w:rsidR="004A5F9E" w:rsidRPr="001036BF" w:rsidTr="00F330D0">
        <w:tc>
          <w:tcPr>
            <w:tcW w:w="5000" w:type="pct"/>
            <w:gridSpan w:val="2"/>
          </w:tcPr>
          <w:p w:rsidR="004A5F9E" w:rsidRPr="001036BF" w:rsidRDefault="004A5F9E" w:rsidP="00660AFC">
            <w:pPr>
              <w:spacing w:beforeLines="50" w:line="300" w:lineRule="auto"/>
              <w:rPr>
                <w:rFonts w:ascii="宋体" w:hAnsi="宋体"/>
                <w:sz w:val="28"/>
                <w:szCs w:val="28"/>
              </w:rPr>
            </w:pPr>
            <w:r w:rsidRPr="001036BF">
              <w:rPr>
                <w:rFonts w:ascii="宋体" w:hAnsi="宋体" w:hint="eastAsia"/>
                <w:sz w:val="28"/>
                <w:szCs w:val="28"/>
              </w:rPr>
              <w:lastRenderedPageBreak/>
              <w:t>4.整体库存压力不大</w:t>
            </w:r>
          </w:p>
        </w:tc>
      </w:tr>
      <w:tr w:rsidR="004A5F9E" w:rsidRPr="000E587B" w:rsidTr="00F661AA">
        <w:trPr>
          <w:trHeight w:val="1344"/>
        </w:trPr>
        <w:tc>
          <w:tcPr>
            <w:tcW w:w="5000" w:type="pct"/>
            <w:gridSpan w:val="2"/>
          </w:tcPr>
          <w:p w:rsidR="006049E1" w:rsidRDefault="00C14C94" w:rsidP="006049E1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根据隆众资讯统计数据，</w:t>
            </w:r>
            <w:r w:rsidR="006F4EB6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 xml:space="preserve"> </w:t>
            </w:r>
            <w:r w:rsidR="00F661A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8月18日四大地区部分石化库存较8月11日库存大幅减少近2.53万吨,降幅达33%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，四大地区</w:t>
            </w:r>
            <w:r w:rsidR="00F661A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平均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开工率在8</w:t>
            </w:r>
            <w:r w:rsidR="00F661AA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%左右</w:t>
            </w:r>
            <w:r w:rsidR="004A5F9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</w:t>
            </w:r>
            <w:r w:rsidR="00E65A68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至9月初四大地区平均开工率维持在91%左右。</w:t>
            </w:r>
          </w:p>
          <w:p w:rsidR="00F661AA" w:rsidRPr="000E587B" w:rsidRDefault="004A5F9E" w:rsidP="006049E1">
            <w:pPr>
              <w:pStyle w:val="a4"/>
              <w:spacing w:line="360" w:lineRule="auto"/>
              <w:ind w:left="0" w:firstLineChars="200" w:firstLine="480"/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社会库存方面，截至</w:t>
            </w:r>
            <w:r w:rsidR="00732CE8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8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月16日，国内PE主要库存同比增长</w:t>
            </w:r>
            <w:r w:rsidR="006706C1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3.</w:t>
            </w:r>
            <w:r w:rsidR="00732CE8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41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%，环比则较上期</w:t>
            </w:r>
            <w:r w:rsidR="00732CE8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减少1.52</w:t>
            </w:r>
            <w:r w:rsidR="006706C1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%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。整体看，当前库存压力不大。</w:t>
            </w:r>
          </w:p>
        </w:tc>
      </w:tr>
      <w:tr w:rsidR="004A5F9E" w:rsidRPr="00BF5A45" w:rsidTr="00F330D0">
        <w:tc>
          <w:tcPr>
            <w:tcW w:w="2529" w:type="pct"/>
            <w:tcBorders>
              <w:top w:val="single" w:sz="2" w:space="0" w:color="000000" w:themeColor="text1"/>
            </w:tcBorders>
          </w:tcPr>
          <w:p w:rsidR="004A5F9E" w:rsidRPr="00BF5A45" w:rsidRDefault="004A5F9E" w:rsidP="00BD74B6">
            <w:pPr>
              <w:pStyle w:val="p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F5A45">
              <w:rPr>
                <w:rFonts w:ascii="宋体" w:hAnsi="宋体" w:hint="eastAsia"/>
                <w:sz w:val="24"/>
                <w:szCs w:val="24"/>
              </w:rPr>
              <w:t>图</w:t>
            </w:r>
            <w:r w:rsidR="00660AFC">
              <w:rPr>
                <w:rFonts w:ascii="宋体" w:hAnsi="宋体" w:hint="eastAsia"/>
                <w:sz w:val="24"/>
                <w:szCs w:val="24"/>
              </w:rPr>
              <w:t>3.</w:t>
            </w:r>
            <w:r w:rsidR="00BD74B6">
              <w:rPr>
                <w:rFonts w:ascii="宋体" w:hAnsi="宋体" w:hint="eastAsia"/>
                <w:sz w:val="24"/>
                <w:szCs w:val="24"/>
              </w:rPr>
              <w:t>装置检修</w:t>
            </w:r>
            <w:r w:rsidR="00581657">
              <w:rPr>
                <w:rFonts w:ascii="宋体" w:hAnsi="宋体" w:hint="eastAsia"/>
                <w:sz w:val="24"/>
                <w:szCs w:val="24"/>
              </w:rPr>
              <w:t>有望</w:t>
            </w:r>
            <w:r w:rsidR="00BD74B6">
              <w:rPr>
                <w:rFonts w:ascii="宋体" w:hAnsi="宋体" w:hint="eastAsia"/>
                <w:sz w:val="24"/>
                <w:szCs w:val="24"/>
              </w:rPr>
              <w:t>增多</w:t>
            </w:r>
          </w:p>
        </w:tc>
        <w:tc>
          <w:tcPr>
            <w:tcW w:w="2471" w:type="pct"/>
            <w:tcBorders>
              <w:top w:val="single" w:sz="2" w:space="0" w:color="000000" w:themeColor="text1"/>
            </w:tcBorders>
          </w:tcPr>
          <w:p w:rsidR="004A5F9E" w:rsidRPr="00BF5A45" w:rsidRDefault="004A5F9E" w:rsidP="00937C41">
            <w:pPr>
              <w:pStyle w:val="p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F5A45">
              <w:rPr>
                <w:rFonts w:ascii="宋体" w:hAnsi="宋体" w:hint="eastAsia"/>
                <w:sz w:val="24"/>
                <w:szCs w:val="24"/>
              </w:rPr>
              <w:t>图</w:t>
            </w:r>
            <w:r w:rsidR="00660AFC">
              <w:rPr>
                <w:rFonts w:ascii="宋体" w:hAnsi="宋体" w:hint="eastAsia"/>
                <w:sz w:val="24"/>
                <w:szCs w:val="24"/>
              </w:rPr>
              <w:t>4.</w:t>
            </w:r>
            <w:r w:rsidR="00937C41">
              <w:rPr>
                <w:rFonts w:ascii="宋体" w:hAnsi="宋体" w:hint="eastAsia"/>
                <w:sz w:val="24"/>
                <w:szCs w:val="24"/>
              </w:rPr>
              <w:t>下游需求有所回暖</w:t>
            </w:r>
          </w:p>
        </w:tc>
      </w:tr>
      <w:tr w:rsidR="004A5F9E" w:rsidRPr="009A76AD" w:rsidTr="00146A18">
        <w:trPr>
          <w:trHeight w:val="4016"/>
        </w:trPr>
        <w:tc>
          <w:tcPr>
            <w:tcW w:w="2529" w:type="pct"/>
          </w:tcPr>
          <w:p w:rsidR="004A5F9E" w:rsidRDefault="004A5F9E" w:rsidP="00660AFC">
            <w:pPr>
              <w:spacing w:beforeLines="25" w:afterLines="25" w:line="300" w:lineRule="auto"/>
              <w:jc w:val="left"/>
              <w:rPr>
                <w:noProof/>
                <w:color w:val="333333"/>
                <w:spacing w:val="10"/>
                <w:sz w:val="14"/>
                <w:szCs w:val="14"/>
              </w:rPr>
            </w:pPr>
          </w:p>
          <w:p w:rsidR="00B74F23" w:rsidRPr="00944D06" w:rsidRDefault="00B74F23" w:rsidP="00660AFC">
            <w:pPr>
              <w:spacing w:beforeLines="25" w:afterLines="25" w:line="300" w:lineRule="auto"/>
              <w:jc w:val="left"/>
              <w:rPr>
                <w:color w:val="333333"/>
                <w:spacing w:val="10"/>
                <w:sz w:val="14"/>
                <w:szCs w:val="14"/>
              </w:rPr>
            </w:pPr>
            <w:r>
              <w:rPr>
                <w:noProof/>
                <w:color w:val="333333"/>
                <w:spacing w:val="10"/>
                <w:sz w:val="14"/>
                <w:szCs w:val="14"/>
              </w:rPr>
              <w:drawing>
                <wp:inline distT="0" distB="0" distL="0" distR="0">
                  <wp:extent cx="3276600" cy="1875720"/>
                  <wp:effectExtent l="19050" t="0" r="0" b="0"/>
                  <wp:docPr id="1" name="图片 0" descr="QQ截图20150916173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50916173716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876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pct"/>
          </w:tcPr>
          <w:p w:rsidR="004A5F9E" w:rsidRPr="009A76AD" w:rsidRDefault="008401F5" w:rsidP="00660AFC">
            <w:pPr>
              <w:spacing w:beforeLines="25" w:afterLines="25" w:line="30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noProof/>
                <w:szCs w:val="21"/>
              </w:rPr>
              <w:drawing>
                <wp:inline distT="0" distB="0" distL="0" distR="0">
                  <wp:extent cx="3200400" cy="2381250"/>
                  <wp:effectExtent l="19050" t="0" r="0" b="0"/>
                  <wp:docPr id="12" name="图片 11" descr="QQ截图20150723153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50723153250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F9E" w:rsidRPr="00BF5A45" w:rsidTr="00F330D0">
        <w:tc>
          <w:tcPr>
            <w:tcW w:w="2529" w:type="pct"/>
            <w:tcBorders>
              <w:bottom w:val="single" w:sz="4" w:space="0" w:color="auto"/>
            </w:tcBorders>
          </w:tcPr>
          <w:p w:rsidR="004A5F9E" w:rsidRPr="00BF5A45" w:rsidRDefault="004A5F9E" w:rsidP="00BD74B6">
            <w:pPr>
              <w:pStyle w:val="p0"/>
              <w:spacing w:line="300" w:lineRule="auto"/>
              <w:ind w:right="105"/>
              <w:jc w:val="right"/>
              <w:rPr>
                <w:rFonts w:ascii="宋体" w:hAnsi="宋体"/>
                <w:szCs w:val="24"/>
              </w:rPr>
            </w:pPr>
            <w:r w:rsidRPr="00BF5A45">
              <w:rPr>
                <w:rFonts w:ascii="宋体" w:hAnsi="宋体" w:hint="eastAsia"/>
                <w:szCs w:val="24"/>
              </w:rPr>
              <w:t>数据来源：</w:t>
            </w:r>
            <w:r w:rsidR="00BD74B6">
              <w:rPr>
                <w:rFonts w:ascii="宋体" w:hAnsi="宋体" w:hint="eastAsia"/>
                <w:szCs w:val="24"/>
              </w:rPr>
              <w:t>金银岛</w:t>
            </w:r>
            <w:r>
              <w:rPr>
                <w:rFonts w:ascii="宋体" w:hAnsi="宋体" w:hint="eastAsia"/>
                <w:szCs w:val="24"/>
              </w:rPr>
              <w:t>、</w:t>
            </w:r>
            <w:r w:rsidR="00B74F23">
              <w:rPr>
                <w:rFonts w:ascii="宋体" w:hAnsi="宋体" w:hint="eastAsia"/>
                <w:szCs w:val="24"/>
              </w:rPr>
              <w:t>卓创资讯、</w:t>
            </w:r>
            <w:r w:rsidRPr="00BF5A45">
              <w:rPr>
                <w:rFonts w:ascii="宋体" w:hAnsi="宋体" w:hint="eastAsia"/>
                <w:szCs w:val="24"/>
              </w:rPr>
              <w:t>新纪元期货</w:t>
            </w:r>
          </w:p>
        </w:tc>
        <w:tc>
          <w:tcPr>
            <w:tcW w:w="2471" w:type="pct"/>
            <w:tcBorders>
              <w:bottom w:val="single" w:sz="4" w:space="0" w:color="auto"/>
            </w:tcBorders>
          </w:tcPr>
          <w:p w:rsidR="004A5F9E" w:rsidRPr="00BF5A45" w:rsidRDefault="004A5F9E" w:rsidP="00F330D0">
            <w:pPr>
              <w:pStyle w:val="p0"/>
              <w:spacing w:line="300" w:lineRule="auto"/>
              <w:jc w:val="right"/>
              <w:rPr>
                <w:rFonts w:ascii="宋体" w:hAnsi="宋体"/>
                <w:szCs w:val="24"/>
              </w:rPr>
            </w:pPr>
            <w:r w:rsidRPr="00BF5A45">
              <w:rPr>
                <w:rFonts w:ascii="宋体" w:hAnsi="宋体" w:hint="eastAsia"/>
                <w:szCs w:val="24"/>
              </w:rPr>
              <w:t>数据来源：</w:t>
            </w:r>
            <w:r>
              <w:rPr>
                <w:rFonts w:ascii="宋体" w:hAnsi="宋体" w:hint="eastAsia"/>
                <w:szCs w:val="24"/>
              </w:rPr>
              <w:t>WIND、</w:t>
            </w:r>
            <w:r w:rsidRPr="00BF5A45">
              <w:rPr>
                <w:rFonts w:ascii="宋体" w:hAnsi="宋体" w:hint="eastAsia"/>
                <w:szCs w:val="24"/>
              </w:rPr>
              <w:t>新纪元期货</w:t>
            </w:r>
          </w:p>
        </w:tc>
      </w:tr>
      <w:tr w:rsidR="004A5F9E" w:rsidRPr="001036BF" w:rsidTr="00F330D0">
        <w:trPr>
          <w:trHeight w:val="63"/>
        </w:trPr>
        <w:tc>
          <w:tcPr>
            <w:tcW w:w="5000" w:type="pct"/>
            <w:gridSpan w:val="2"/>
          </w:tcPr>
          <w:p w:rsidR="004A5F9E" w:rsidRPr="001036BF" w:rsidRDefault="004A5F9E" w:rsidP="00660AFC">
            <w:pPr>
              <w:spacing w:beforeLines="50" w:line="300" w:lineRule="auto"/>
              <w:rPr>
                <w:rFonts w:ascii="宋体" w:hAnsi="宋体"/>
                <w:b/>
                <w:sz w:val="32"/>
                <w:szCs w:val="32"/>
              </w:rPr>
            </w:pPr>
            <w:r w:rsidRPr="001036BF">
              <w:rPr>
                <w:rFonts w:ascii="宋体" w:hAnsi="宋体" w:hint="eastAsia"/>
                <w:b/>
                <w:sz w:val="32"/>
                <w:szCs w:val="32"/>
              </w:rPr>
              <w:t>三、</w:t>
            </w:r>
            <w:r w:rsidR="00E67D7E">
              <w:rPr>
                <w:rFonts w:ascii="宋体" w:hAnsi="宋体" w:hint="eastAsia"/>
                <w:b/>
                <w:sz w:val="32"/>
                <w:szCs w:val="32"/>
              </w:rPr>
              <w:t>操作策略</w:t>
            </w:r>
          </w:p>
        </w:tc>
      </w:tr>
      <w:tr w:rsidR="004A5F9E" w:rsidRPr="00872BDE" w:rsidTr="00F330D0">
        <w:trPr>
          <w:trHeight w:val="63"/>
        </w:trPr>
        <w:tc>
          <w:tcPr>
            <w:tcW w:w="5000" w:type="pct"/>
            <w:gridSpan w:val="2"/>
          </w:tcPr>
          <w:p w:rsidR="006049E1" w:rsidRPr="006049E1" w:rsidRDefault="00E67D7E" w:rsidP="006049E1">
            <w:pPr>
              <w:pStyle w:val="a4"/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</w:pP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根据以上分析，我们团队认为，低油价使得对原油的资本支出减少，美国原油产量已经出现下降继续</w:t>
            </w:r>
            <w:r w:rsidR="00A60BF7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而后期原油需求有望增加</w:t>
            </w:r>
            <w:r w:rsidR="006F4EB6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原油有望走高</w:t>
            </w:r>
            <w:r w:rsidR="004A5F9E" w:rsidRPr="006049E1"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  <w:t>，从而在成本</w:t>
            </w:r>
            <w:r w:rsidR="004A5F9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端</w:t>
            </w:r>
            <w:r w:rsidR="004A5F9E" w:rsidRPr="006049E1"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  <w:t>对LLDPE形成支撑。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LLDPE自身基本面上，</w:t>
            </w:r>
            <w:r w:rsidR="00A60BF7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今年</w:t>
            </w:r>
            <w:r w:rsidR="004A5F9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新增</w:t>
            </w:r>
            <w:r w:rsidR="004A5F9E" w:rsidRPr="006049E1"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  <w:t>产能投放迟缓，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而PE后期装置检修有望增加，</w:t>
            </w:r>
            <w:r w:rsidR="004A5F9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供给</w:t>
            </w:r>
            <w:r w:rsidR="004A5F9E" w:rsidRPr="006049E1"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  <w:t>方面</w:t>
            </w:r>
            <w:r w:rsidR="000A366D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压力减轻</w:t>
            </w:r>
            <w:r w:rsidR="004A5F9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</w:t>
            </w:r>
            <w:r w:rsidR="004A5F9E" w:rsidRPr="006049E1"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  <w:t>同时，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需求端有回暖迹象</w:t>
            </w:r>
            <w:r w:rsidR="004A5F9E" w:rsidRPr="006049E1"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  <w:t>。</w:t>
            </w:r>
            <w:r w:rsidR="004A5F9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预计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 xml:space="preserve">9- </w:t>
            </w:r>
            <w:r w:rsidR="000A366D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10</w:t>
            </w:r>
            <w:r w:rsidR="004A5F9E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月份</w:t>
            </w:r>
            <w:r w:rsidR="004A5F9E" w:rsidRPr="006049E1">
              <w:rPr>
                <w:rFonts w:ascii="宋体" w:eastAsia="宋体" w:hAnsi="宋体" w:cs="宋体"/>
                <w:color w:val="auto"/>
                <w:sz w:val="24"/>
                <w:szCs w:val="24"/>
                <w:lang w:val="en-US"/>
              </w:rPr>
              <w:t>，LLDPE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走强概率较</w:t>
            </w:r>
            <w:r w:rsidR="000A366D"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高</w:t>
            </w:r>
            <w:r w:rsidRPr="006049E1">
              <w:rPr>
                <w:rFonts w:ascii="宋体" w:eastAsia="宋体" w:hAnsi="宋体" w:cs="宋体" w:hint="eastAsia"/>
                <w:color w:val="auto"/>
                <w:sz w:val="24"/>
                <w:szCs w:val="24"/>
                <w:lang w:val="en-US"/>
              </w:rPr>
              <w:t>，应该逢低建立LLDPE多单。具体策略如下：</w:t>
            </w:r>
          </w:p>
          <w:p w:rsidR="00E67D7E" w:rsidRDefault="00E67D7E" w:rsidP="00660AFC">
            <w:pPr>
              <w:pStyle w:val="a3"/>
              <w:spacing w:beforeLines="25" w:afterLines="25" w:line="300" w:lineRule="auto"/>
              <w:ind w:firstLineChars="150" w:firstLine="360"/>
            </w:pPr>
            <w:r>
              <w:rPr>
                <w:rFonts w:hint="eastAsia"/>
              </w:rPr>
              <w:lastRenderedPageBreak/>
              <w:t>交易对象：LLDPE1601合约</w:t>
            </w:r>
          </w:p>
          <w:p w:rsidR="00E67D7E" w:rsidRDefault="00E67D7E" w:rsidP="00660AFC">
            <w:pPr>
              <w:pStyle w:val="a3"/>
              <w:spacing w:beforeLines="25" w:afterLines="25" w:line="300" w:lineRule="auto"/>
              <w:ind w:firstLineChars="150" w:firstLine="360"/>
            </w:pPr>
            <w:r>
              <w:rPr>
                <w:rFonts w:hint="eastAsia"/>
              </w:rPr>
              <w:t>交易</w:t>
            </w:r>
            <w:r w:rsidR="006F4EB6">
              <w:rPr>
                <w:rFonts w:hint="eastAsia"/>
              </w:rPr>
              <w:t>方向：单边做多</w:t>
            </w:r>
          </w:p>
          <w:p w:rsidR="006F4EB6" w:rsidRDefault="006F4EB6" w:rsidP="00660AFC">
            <w:pPr>
              <w:pStyle w:val="a3"/>
              <w:spacing w:beforeLines="25" w:afterLines="25" w:line="300" w:lineRule="auto"/>
              <w:ind w:firstLineChars="150" w:firstLine="360"/>
            </w:pPr>
            <w:r>
              <w:rPr>
                <w:rFonts w:hint="eastAsia"/>
              </w:rPr>
              <w:t>资金占用：0%-20%（0-500手）</w:t>
            </w:r>
          </w:p>
          <w:p w:rsidR="006F4EB6" w:rsidRDefault="006F4EB6" w:rsidP="00660AFC">
            <w:pPr>
              <w:pStyle w:val="a3"/>
              <w:spacing w:beforeLines="25" w:afterLines="25" w:line="300" w:lineRule="auto"/>
              <w:ind w:firstLineChars="150" w:firstLine="360"/>
            </w:pPr>
            <w:r>
              <w:rPr>
                <w:rFonts w:hint="eastAsia"/>
              </w:rPr>
              <w:t>建仓区间：8300-8700</w:t>
            </w:r>
          </w:p>
          <w:p w:rsidR="006F4EB6" w:rsidRDefault="006F4EB6" w:rsidP="00660AFC">
            <w:pPr>
              <w:pStyle w:val="a3"/>
              <w:spacing w:beforeLines="25" w:afterLines="25" w:line="300" w:lineRule="auto"/>
              <w:ind w:firstLineChars="150" w:firstLine="360"/>
            </w:pPr>
            <w:r>
              <w:rPr>
                <w:rFonts w:hint="eastAsia"/>
              </w:rPr>
              <w:t>止损区间：8000-8200</w:t>
            </w:r>
          </w:p>
          <w:p w:rsidR="006F4EB6" w:rsidRPr="00872BDE" w:rsidRDefault="006F4EB6" w:rsidP="00660AFC">
            <w:pPr>
              <w:pStyle w:val="a3"/>
              <w:spacing w:beforeLines="25" w:afterLines="25" w:line="300" w:lineRule="auto"/>
              <w:ind w:firstLineChars="150" w:firstLine="360"/>
            </w:pPr>
            <w:r>
              <w:rPr>
                <w:rFonts w:hint="eastAsia"/>
              </w:rPr>
              <w:t>目标区间：8900-9300</w:t>
            </w:r>
          </w:p>
        </w:tc>
      </w:tr>
    </w:tbl>
    <w:p w:rsidR="00821244" w:rsidRPr="001036BF" w:rsidRDefault="008150A0"/>
    <w:sectPr w:rsidR="00821244" w:rsidRPr="001036BF" w:rsidSect="00AB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0A0" w:rsidRDefault="008150A0" w:rsidP="005F340F">
      <w:r>
        <w:separator/>
      </w:r>
    </w:p>
  </w:endnote>
  <w:endnote w:type="continuationSeparator" w:id="1">
    <w:p w:rsidR="008150A0" w:rsidRDefault="008150A0" w:rsidP="005F3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0A0" w:rsidRDefault="008150A0" w:rsidP="005F340F">
      <w:r>
        <w:separator/>
      </w:r>
    </w:p>
  </w:footnote>
  <w:footnote w:type="continuationSeparator" w:id="1">
    <w:p w:rsidR="008150A0" w:rsidRDefault="008150A0" w:rsidP="005F3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6BF"/>
    <w:rsid w:val="00004759"/>
    <w:rsid w:val="00057D6C"/>
    <w:rsid w:val="000A366D"/>
    <w:rsid w:val="001036BF"/>
    <w:rsid w:val="00104C65"/>
    <w:rsid w:val="00131C92"/>
    <w:rsid w:val="00133A18"/>
    <w:rsid w:val="00144422"/>
    <w:rsid w:val="00146A18"/>
    <w:rsid w:val="0016153F"/>
    <w:rsid w:val="00165586"/>
    <w:rsid w:val="00177DCA"/>
    <w:rsid w:val="00184AEF"/>
    <w:rsid w:val="001A014F"/>
    <w:rsid w:val="001A6706"/>
    <w:rsid w:val="002102C7"/>
    <w:rsid w:val="002277E0"/>
    <w:rsid w:val="00253165"/>
    <w:rsid w:val="00295983"/>
    <w:rsid w:val="002F0010"/>
    <w:rsid w:val="00320116"/>
    <w:rsid w:val="003B3D1B"/>
    <w:rsid w:val="003D4C4B"/>
    <w:rsid w:val="00460857"/>
    <w:rsid w:val="00463B75"/>
    <w:rsid w:val="00467A6F"/>
    <w:rsid w:val="00486D7E"/>
    <w:rsid w:val="004A5F9E"/>
    <w:rsid w:val="004D1E02"/>
    <w:rsid w:val="004E1ACA"/>
    <w:rsid w:val="00504D8E"/>
    <w:rsid w:val="005107DA"/>
    <w:rsid w:val="005134F1"/>
    <w:rsid w:val="00537F6D"/>
    <w:rsid w:val="00581657"/>
    <w:rsid w:val="005C2032"/>
    <w:rsid w:val="005F340F"/>
    <w:rsid w:val="006049E1"/>
    <w:rsid w:val="0060782C"/>
    <w:rsid w:val="006416E6"/>
    <w:rsid w:val="0065000B"/>
    <w:rsid w:val="00660AFC"/>
    <w:rsid w:val="006706C1"/>
    <w:rsid w:val="00672A5D"/>
    <w:rsid w:val="0067703D"/>
    <w:rsid w:val="006C79F9"/>
    <w:rsid w:val="006F4EB6"/>
    <w:rsid w:val="00702443"/>
    <w:rsid w:val="00720E3D"/>
    <w:rsid w:val="00732CE8"/>
    <w:rsid w:val="00734222"/>
    <w:rsid w:val="0076104E"/>
    <w:rsid w:val="00767C6F"/>
    <w:rsid w:val="00775440"/>
    <w:rsid w:val="00797388"/>
    <w:rsid w:val="007A108A"/>
    <w:rsid w:val="007A3B99"/>
    <w:rsid w:val="007C0B54"/>
    <w:rsid w:val="007D7BBE"/>
    <w:rsid w:val="007E416D"/>
    <w:rsid w:val="008150A0"/>
    <w:rsid w:val="008401F5"/>
    <w:rsid w:val="008406D5"/>
    <w:rsid w:val="008805BA"/>
    <w:rsid w:val="00885558"/>
    <w:rsid w:val="008A3B4B"/>
    <w:rsid w:val="008A3F36"/>
    <w:rsid w:val="008D4844"/>
    <w:rsid w:val="00904155"/>
    <w:rsid w:val="00935407"/>
    <w:rsid w:val="00937C41"/>
    <w:rsid w:val="00942AAA"/>
    <w:rsid w:val="0096121A"/>
    <w:rsid w:val="009666FE"/>
    <w:rsid w:val="00972BFA"/>
    <w:rsid w:val="00984A93"/>
    <w:rsid w:val="009A3ED2"/>
    <w:rsid w:val="009C14D2"/>
    <w:rsid w:val="009D3634"/>
    <w:rsid w:val="009E788C"/>
    <w:rsid w:val="009F5EFE"/>
    <w:rsid w:val="00A00D22"/>
    <w:rsid w:val="00A05B97"/>
    <w:rsid w:val="00A26A2E"/>
    <w:rsid w:val="00A607EC"/>
    <w:rsid w:val="00A60BF7"/>
    <w:rsid w:val="00A768B3"/>
    <w:rsid w:val="00A971B2"/>
    <w:rsid w:val="00AB23B1"/>
    <w:rsid w:val="00B10513"/>
    <w:rsid w:val="00B10D9E"/>
    <w:rsid w:val="00B11900"/>
    <w:rsid w:val="00B625BA"/>
    <w:rsid w:val="00B629C3"/>
    <w:rsid w:val="00B74F23"/>
    <w:rsid w:val="00B91011"/>
    <w:rsid w:val="00BC4DEF"/>
    <w:rsid w:val="00BD74B6"/>
    <w:rsid w:val="00BE0BBF"/>
    <w:rsid w:val="00C14C94"/>
    <w:rsid w:val="00C17D98"/>
    <w:rsid w:val="00C356F4"/>
    <w:rsid w:val="00C421C1"/>
    <w:rsid w:val="00C4475F"/>
    <w:rsid w:val="00C460BA"/>
    <w:rsid w:val="00C51EDB"/>
    <w:rsid w:val="00C62291"/>
    <w:rsid w:val="00CB0AF5"/>
    <w:rsid w:val="00CE0F59"/>
    <w:rsid w:val="00D178B6"/>
    <w:rsid w:val="00D20BEC"/>
    <w:rsid w:val="00D322E7"/>
    <w:rsid w:val="00D94EDE"/>
    <w:rsid w:val="00DA37AC"/>
    <w:rsid w:val="00DC401A"/>
    <w:rsid w:val="00DE0C48"/>
    <w:rsid w:val="00DF1574"/>
    <w:rsid w:val="00E2181E"/>
    <w:rsid w:val="00E47700"/>
    <w:rsid w:val="00E50177"/>
    <w:rsid w:val="00E65A68"/>
    <w:rsid w:val="00E67D7E"/>
    <w:rsid w:val="00E86320"/>
    <w:rsid w:val="00EB6113"/>
    <w:rsid w:val="00ED68CF"/>
    <w:rsid w:val="00EE2A97"/>
    <w:rsid w:val="00EE3C79"/>
    <w:rsid w:val="00EE7042"/>
    <w:rsid w:val="00EF2717"/>
    <w:rsid w:val="00F1241B"/>
    <w:rsid w:val="00F661AA"/>
    <w:rsid w:val="00F84E2C"/>
    <w:rsid w:val="00FA5192"/>
    <w:rsid w:val="00FB4718"/>
    <w:rsid w:val="00FC59CD"/>
    <w:rsid w:val="00FE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6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1036BF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4">
    <w:name w:val="Body Text"/>
    <w:basedOn w:val="a"/>
    <w:link w:val="Char"/>
    <w:rsid w:val="001036BF"/>
    <w:pPr>
      <w:widowControl/>
      <w:spacing w:after="120" w:line="240" w:lineRule="exact"/>
      <w:ind w:left="3402"/>
    </w:pPr>
    <w:rPr>
      <w:rFonts w:ascii="Arial" w:eastAsia="楷体_GB2312" w:hAnsi="Arial" w:cs="Arial"/>
      <w:color w:val="000000"/>
      <w:kern w:val="0"/>
      <w:szCs w:val="20"/>
      <w:lang w:val="en-GB"/>
    </w:rPr>
  </w:style>
  <w:style w:type="character" w:customStyle="1" w:styleId="Char">
    <w:name w:val="正文文本 Char"/>
    <w:basedOn w:val="a0"/>
    <w:link w:val="a4"/>
    <w:rsid w:val="001036BF"/>
    <w:rPr>
      <w:rFonts w:ascii="Arial" w:eastAsia="楷体_GB2312" w:hAnsi="Arial" w:cs="Arial"/>
      <w:color w:val="000000"/>
      <w:kern w:val="0"/>
      <w:szCs w:val="20"/>
      <w:lang w:val="en-GB"/>
    </w:rPr>
  </w:style>
  <w:style w:type="paragraph" w:styleId="a5">
    <w:name w:val="header"/>
    <w:basedOn w:val="a"/>
    <w:link w:val="Char0"/>
    <w:uiPriority w:val="99"/>
    <w:semiHidden/>
    <w:unhideWhenUsed/>
    <w:rsid w:val="005F3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340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F3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F340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F34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34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media/image4.jpe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jpeg" Type="http://schemas.openxmlformats.org/officeDocument/2006/relationships/image"/>
<Relationship Id="rId9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9F5A-3332-4ADF-A163-30B1F75C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5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2015-09-15T01:25:00Z</dcterms:created>
  <dc:creator>LZ</dc:creator>
  <cp:lastModifiedBy>雨林木风</cp:lastModifiedBy>
  <dcterms:modified xsi:type="dcterms:W3CDTF">2015-09-17T01:38:00Z</dcterms:modified>
  <cp:revision>33</cp:revision>
</cp:coreProperties>
</file>