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2D" w:rsidRPr="00931954" w:rsidRDefault="0087632D" w:rsidP="0087632D">
      <w:pPr>
        <w:widowControl/>
        <w:jc w:val="left"/>
        <w:rPr>
          <w:rFonts w:eastAsia="黑体"/>
          <w:sz w:val="32"/>
          <w:szCs w:val="32"/>
        </w:rPr>
      </w:pPr>
      <w:r w:rsidRPr="00931954">
        <w:rPr>
          <w:rFonts w:eastAsia="黑体"/>
          <w:sz w:val="32"/>
          <w:szCs w:val="32"/>
        </w:rPr>
        <w:t>附件</w:t>
      </w:r>
      <w:r w:rsidRPr="00931954">
        <w:rPr>
          <w:rFonts w:eastAsia="黑体"/>
          <w:sz w:val="32"/>
          <w:szCs w:val="32"/>
        </w:rPr>
        <w:t>3</w:t>
      </w:r>
    </w:p>
    <w:p w:rsidR="0087632D" w:rsidRPr="00931954" w:rsidRDefault="0087632D" w:rsidP="0087632D">
      <w:pPr>
        <w:spacing w:line="580" w:lineRule="exact"/>
        <w:rPr>
          <w:rFonts w:eastAsia="仿宋_GB2312"/>
          <w:sz w:val="32"/>
          <w:szCs w:val="32"/>
        </w:rPr>
      </w:pPr>
    </w:p>
    <w:p w:rsidR="0087632D" w:rsidRPr="00931954" w:rsidRDefault="0087632D" w:rsidP="0087632D">
      <w:pPr>
        <w:widowControl/>
        <w:spacing w:line="580" w:lineRule="exact"/>
        <w:jc w:val="center"/>
        <w:rPr>
          <w:b/>
          <w:bCs/>
          <w:sz w:val="44"/>
          <w:szCs w:val="44"/>
        </w:rPr>
      </w:pPr>
      <w:r w:rsidRPr="00931954">
        <w:rPr>
          <w:b/>
          <w:bCs/>
          <w:sz w:val="44"/>
          <w:szCs w:val="44"/>
        </w:rPr>
        <w:t>大连商品交易所</w:t>
      </w:r>
    </w:p>
    <w:p w:rsidR="0087632D" w:rsidRPr="00931954" w:rsidRDefault="0087632D" w:rsidP="0087632D">
      <w:pPr>
        <w:spacing w:line="580" w:lineRule="exact"/>
        <w:jc w:val="center"/>
        <w:rPr>
          <w:b/>
          <w:bCs/>
          <w:sz w:val="44"/>
          <w:szCs w:val="44"/>
        </w:rPr>
      </w:pPr>
      <w:r w:rsidRPr="00931954">
        <w:rPr>
          <w:b/>
          <w:bCs/>
          <w:sz w:val="44"/>
          <w:szCs w:val="44"/>
        </w:rPr>
        <w:t>基差交易业务纠纷调解及违规处理办法</w:t>
      </w:r>
    </w:p>
    <w:p w:rsidR="0087632D" w:rsidRPr="00931954" w:rsidRDefault="0087632D" w:rsidP="0087632D">
      <w:pPr>
        <w:spacing w:line="580" w:lineRule="exact"/>
        <w:jc w:val="center"/>
        <w:rPr>
          <w:rFonts w:eastAsia="仿宋_GB2312"/>
          <w:b/>
          <w:bCs/>
          <w:sz w:val="32"/>
          <w:szCs w:val="32"/>
        </w:rPr>
      </w:pPr>
      <w:r w:rsidRPr="00931954">
        <w:rPr>
          <w:rFonts w:eastAsia="仿宋_GB2312"/>
          <w:b/>
          <w:bCs/>
          <w:sz w:val="32"/>
          <w:szCs w:val="32"/>
        </w:rPr>
        <w:t>（试行）</w:t>
      </w:r>
    </w:p>
    <w:p w:rsidR="0087632D" w:rsidRPr="00931954" w:rsidRDefault="0087632D" w:rsidP="0087632D">
      <w:pPr>
        <w:spacing w:line="580" w:lineRule="exact"/>
        <w:rPr>
          <w:sz w:val="32"/>
          <w:szCs w:val="32"/>
        </w:rPr>
      </w:pPr>
    </w:p>
    <w:p w:rsidR="0087632D" w:rsidRPr="00931954" w:rsidRDefault="0087632D" w:rsidP="0087632D">
      <w:pPr>
        <w:numPr>
          <w:ilvl w:val="0"/>
          <w:numId w:val="1"/>
        </w:numPr>
        <w:spacing w:line="580" w:lineRule="exact"/>
        <w:ind w:left="0" w:firstLine="0"/>
        <w:jc w:val="center"/>
        <w:rPr>
          <w:rFonts w:eastAsia="黑体"/>
          <w:bCs/>
          <w:sz w:val="32"/>
          <w:szCs w:val="32"/>
        </w:rPr>
      </w:pPr>
      <w:r w:rsidRPr="00931954">
        <w:rPr>
          <w:rFonts w:eastAsia="黑体"/>
          <w:bCs/>
          <w:sz w:val="32"/>
          <w:szCs w:val="32"/>
        </w:rPr>
        <w:t>总</w:t>
      </w:r>
      <w:r w:rsidRPr="00931954">
        <w:rPr>
          <w:rFonts w:eastAsia="黑体"/>
          <w:bCs/>
          <w:sz w:val="32"/>
          <w:szCs w:val="32"/>
        </w:rPr>
        <w:t xml:space="preserve"> </w:t>
      </w:r>
      <w:r w:rsidRPr="00931954">
        <w:rPr>
          <w:rFonts w:eastAsia="黑体"/>
          <w:bCs/>
          <w:sz w:val="32"/>
          <w:szCs w:val="32"/>
        </w:rPr>
        <w:t>则</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为规范大连商品交易所（以下简称交易所）基差交易平台（以下简称平台）业务，维护参与主体的合法权益，根据《大连商品交易所基差交易业务管理办法》、《大连商品交易所基差交易业务交易商管理办法》以及其他相关业务规则，特制定本办法。</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交易商委员会下设纠纷调解及违规处理委员会（以下简称委员会），根据公平、公正的原则，促进纠纷解决，并依据相关业务规则对违规行为进行处理。</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本办法所称的纠纷调解是指交易商在平台基差交易业务中发生纠纷，自行协商不能解决时，委员会进行居中调停疏导，促进纠纷解决的行为。</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本办法所称的违规处理是指委员会对交易商的违规行为予以处理的行为。</w:t>
      </w:r>
    </w:p>
    <w:p w:rsidR="0087632D" w:rsidRDefault="0087632D" w:rsidP="0087632D">
      <w:pPr>
        <w:spacing w:line="580" w:lineRule="exact"/>
        <w:rPr>
          <w:rFonts w:eastAsia="仿宋_GB2312"/>
          <w:sz w:val="32"/>
          <w:szCs w:val="32"/>
        </w:rPr>
      </w:pPr>
    </w:p>
    <w:p w:rsidR="0087632D" w:rsidRPr="00931954" w:rsidRDefault="0087632D" w:rsidP="0087632D">
      <w:pPr>
        <w:spacing w:line="580" w:lineRule="exact"/>
        <w:rPr>
          <w:rFonts w:eastAsia="仿宋_GB2312" w:hint="eastAsia"/>
          <w:sz w:val="32"/>
          <w:szCs w:val="32"/>
        </w:rPr>
      </w:pPr>
    </w:p>
    <w:p w:rsidR="0087632D" w:rsidRPr="00931954" w:rsidRDefault="0087632D" w:rsidP="0087632D">
      <w:pPr>
        <w:numPr>
          <w:ilvl w:val="0"/>
          <w:numId w:val="1"/>
        </w:numPr>
        <w:spacing w:line="580" w:lineRule="exact"/>
        <w:ind w:left="0" w:firstLine="0"/>
        <w:jc w:val="center"/>
        <w:rPr>
          <w:rFonts w:eastAsia="黑体"/>
          <w:bCs/>
          <w:sz w:val="32"/>
          <w:szCs w:val="32"/>
        </w:rPr>
      </w:pPr>
      <w:r w:rsidRPr="00931954">
        <w:rPr>
          <w:rFonts w:eastAsia="黑体"/>
          <w:bCs/>
          <w:sz w:val="32"/>
          <w:szCs w:val="32"/>
        </w:rPr>
        <w:t>委员会组成及运行</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lastRenderedPageBreak/>
        <w:t>委员会按平台上市品种（系列）分别设立。</w:t>
      </w:r>
    </w:p>
    <w:p w:rsidR="0087632D" w:rsidRPr="00931954" w:rsidRDefault="0087632D" w:rsidP="0087632D">
      <w:pPr>
        <w:tabs>
          <w:tab w:val="left" w:pos="1620"/>
          <w:tab w:val="left" w:pos="1800"/>
        </w:tabs>
        <w:spacing w:line="580" w:lineRule="exact"/>
        <w:ind w:firstLineChars="200" w:firstLine="640"/>
        <w:rPr>
          <w:rFonts w:eastAsia="仿宋_GB2312"/>
          <w:sz w:val="32"/>
          <w:szCs w:val="32"/>
        </w:rPr>
      </w:pPr>
      <w:r w:rsidRPr="00931954">
        <w:rPr>
          <w:rFonts w:eastAsia="仿宋_GB2312"/>
          <w:sz w:val="32"/>
          <w:szCs w:val="32"/>
        </w:rPr>
        <w:t>委员会委员由交易商委员及非交易商委员组成，其中交易商委员</w:t>
      </w:r>
      <w:r w:rsidRPr="00931954">
        <w:rPr>
          <w:rFonts w:eastAsia="仿宋_GB2312"/>
          <w:sz w:val="32"/>
          <w:szCs w:val="32"/>
        </w:rPr>
        <w:t>6</w:t>
      </w:r>
      <w:r w:rsidRPr="00931954">
        <w:rPr>
          <w:rFonts w:eastAsia="仿宋_GB2312"/>
          <w:sz w:val="32"/>
          <w:szCs w:val="32"/>
        </w:rPr>
        <w:t>人，从交易商工作人员中选出；非交易商委员</w:t>
      </w:r>
      <w:r w:rsidRPr="00931954">
        <w:rPr>
          <w:rFonts w:eastAsia="仿宋_GB2312"/>
          <w:sz w:val="32"/>
          <w:szCs w:val="32"/>
        </w:rPr>
        <w:t>3</w:t>
      </w:r>
      <w:r w:rsidRPr="00931954">
        <w:rPr>
          <w:rFonts w:eastAsia="仿宋_GB2312"/>
          <w:sz w:val="32"/>
          <w:szCs w:val="32"/>
        </w:rPr>
        <w:t>人，从交易所和外部机构人员中选出。委员会委员由交易所提名，交易商委员会审议通过。</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委员会设主任委员</w:t>
      </w:r>
      <w:r w:rsidRPr="00931954">
        <w:rPr>
          <w:rFonts w:eastAsia="仿宋_GB2312"/>
          <w:sz w:val="32"/>
          <w:szCs w:val="32"/>
        </w:rPr>
        <w:t>1</w:t>
      </w:r>
      <w:r w:rsidRPr="00931954">
        <w:rPr>
          <w:rFonts w:eastAsia="仿宋_GB2312"/>
          <w:sz w:val="32"/>
          <w:szCs w:val="32"/>
        </w:rPr>
        <w:t>人、副主任委员</w:t>
      </w:r>
      <w:r w:rsidRPr="00931954">
        <w:rPr>
          <w:rFonts w:eastAsia="仿宋_GB2312"/>
          <w:sz w:val="32"/>
          <w:szCs w:val="32"/>
        </w:rPr>
        <w:t>2</w:t>
      </w:r>
      <w:r w:rsidRPr="00931954">
        <w:rPr>
          <w:rFonts w:eastAsia="仿宋_GB2312"/>
          <w:sz w:val="32"/>
          <w:szCs w:val="32"/>
        </w:rPr>
        <w:t>人。主任委员、副主任委员由交易所提名，交易商委员会审议通过，每届任期</w:t>
      </w:r>
      <w:r w:rsidRPr="00931954">
        <w:rPr>
          <w:rFonts w:eastAsia="仿宋_GB2312"/>
          <w:sz w:val="32"/>
          <w:szCs w:val="32"/>
        </w:rPr>
        <w:t>3</w:t>
      </w:r>
      <w:r w:rsidRPr="00931954">
        <w:rPr>
          <w:rFonts w:eastAsia="仿宋_GB2312"/>
          <w:sz w:val="32"/>
          <w:szCs w:val="32"/>
        </w:rPr>
        <w:t>年，可连选连任。</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委员会会议不定期召开，由交易所召集、主任委员主持，主任委员因故不能参会时，由副主任委员主持。会议可以以现场会议方式召开，也可以通过网络或者其他通讯方式召开。</w:t>
      </w:r>
    </w:p>
    <w:p w:rsidR="0087632D" w:rsidRPr="00931954" w:rsidRDefault="0087632D" w:rsidP="0087632D">
      <w:pPr>
        <w:tabs>
          <w:tab w:val="left" w:pos="1620"/>
          <w:tab w:val="left" w:pos="1800"/>
        </w:tabs>
        <w:spacing w:line="580" w:lineRule="exact"/>
        <w:ind w:firstLineChars="200" w:firstLine="640"/>
        <w:rPr>
          <w:rFonts w:eastAsia="仿宋_GB2312"/>
          <w:sz w:val="32"/>
          <w:szCs w:val="32"/>
        </w:rPr>
      </w:pPr>
      <w:r w:rsidRPr="00931954">
        <w:rPr>
          <w:rFonts w:eastAsia="仿宋_GB2312"/>
          <w:sz w:val="32"/>
          <w:szCs w:val="32"/>
        </w:rPr>
        <w:t>会议召开</w:t>
      </w:r>
      <w:r w:rsidRPr="00931954">
        <w:rPr>
          <w:rFonts w:eastAsia="仿宋_GB2312"/>
          <w:sz w:val="32"/>
          <w:szCs w:val="32"/>
        </w:rPr>
        <w:t>3</w:t>
      </w:r>
      <w:r w:rsidRPr="00931954">
        <w:rPr>
          <w:rFonts w:eastAsia="仿宋_GB2312"/>
          <w:sz w:val="32"/>
          <w:szCs w:val="32"/>
        </w:rPr>
        <w:t>个自然日前，平台应将审议事项及相关材料书面或邮件通知参会委员。</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委员会会议应当由三分之二以上（含）委员出席方为有效。委员会会议应当由委员本人出席。</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委员会会议实行回避制度，审议事项涉及相关交易商的，该交易商委员不能出席和表决。</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委员会会议表决，实行一人一票制。委员会决议应当经全体委员二分之一以上表决通过。</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委员会会议应当制作会议记要，详细记录委员对调解、处理事项的审议过程、各方意见及理由，出席委员应当在会议记要上签字确认。</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委员会成立前由交易所代为行使相关职权。</w:t>
      </w:r>
    </w:p>
    <w:p w:rsidR="0087632D" w:rsidRPr="00931954" w:rsidRDefault="0087632D" w:rsidP="0087632D">
      <w:pPr>
        <w:tabs>
          <w:tab w:val="left" w:pos="1620"/>
          <w:tab w:val="left" w:pos="1800"/>
        </w:tabs>
        <w:spacing w:line="580" w:lineRule="exact"/>
        <w:ind w:left="640"/>
        <w:rPr>
          <w:rFonts w:eastAsia="仿宋_GB2312"/>
          <w:sz w:val="32"/>
          <w:szCs w:val="32"/>
        </w:rPr>
      </w:pPr>
    </w:p>
    <w:p w:rsidR="0087632D" w:rsidRPr="00931954" w:rsidRDefault="0087632D" w:rsidP="0087632D">
      <w:pPr>
        <w:numPr>
          <w:ilvl w:val="0"/>
          <w:numId w:val="1"/>
        </w:numPr>
        <w:spacing w:line="580" w:lineRule="exact"/>
        <w:ind w:left="0" w:firstLine="0"/>
        <w:jc w:val="center"/>
        <w:rPr>
          <w:rFonts w:eastAsia="黑体"/>
          <w:bCs/>
          <w:sz w:val="32"/>
          <w:szCs w:val="32"/>
        </w:rPr>
      </w:pPr>
      <w:r w:rsidRPr="00931954">
        <w:rPr>
          <w:rFonts w:eastAsia="黑体"/>
          <w:bCs/>
          <w:sz w:val="32"/>
          <w:szCs w:val="32"/>
        </w:rPr>
        <w:t>纠纷调解</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交易商在基差交易业务中发生纠纷，首先应当自行协商解决。自行协商能够解决的，双方应向平台出具协商结果告知书，将协商一致的结果书面告知平台。</w:t>
      </w:r>
    </w:p>
    <w:p w:rsidR="0087632D" w:rsidRPr="00931954" w:rsidRDefault="0087632D" w:rsidP="0087632D">
      <w:pPr>
        <w:tabs>
          <w:tab w:val="left" w:pos="1620"/>
          <w:tab w:val="left" w:pos="1800"/>
        </w:tabs>
        <w:spacing w:line="580" w:lineRule="exact"/>
        <w:ind w:firstLineChars="221" w:firstLine="707"/>
        <w:rPr>
          <w:rFonts w:eastAsia="仿宋_GB2312"/>
          <w:sz w:val="32"/>
          <w:szCs w:val="32"/>
        </w:rPr>
      </w:pPr>
      <w:r w:rsidRPr="00931954">
        <w:rPr>
          <w:rFonts w:eastAsia="仿宋_GB2312"/>
          <w:sz w:val="32"/>
          <w:szCs w:val="32"/>
        </w:rPr>
        <w:t>协商结果告知书应当经双方法定代表人或授权代表签字并加盖公章，写明以下事项：</w:t>
      </w:r>
    </w:p>
    <w:p w:rsidR="0087632D" w:rsidRPr="00931954" w:rsidRDefault="0087632D" w:rsidP="0087632D">
      <w:pPr>
        <w:numPr>
          <w:ilvl w:val="0"/>
          <w:numId w:val="3"/>
        </w:numPr>
        <w:tabs>
          <w:tab w:val="left" w:pos="567"/>
        </w:tabs>
        <w:spacing w:line="580" w:lineRule="exact"/>
        <w:ind w:left="0" w:firstLine="567"/>
        <w:rPr>
          <w:rFonts w:eastAsia="仿宋_GB2312"/>
          <w:sz w:val="32"/>
          <w:szCs w:val="32"/>
        </w:rPr>
      </w:pPr>
      <w:r w:rsidRPr="00931954">
        <w:rPr>
          <w:rFonts w:eastAsia="仿宋_GB2312"/>
          <w:sz w:val="32"/>
          <w:szCs w:val="32"/>
        </w:rPr>
        <w:t>双方的名称、住所地、法定代表人或负责人的姓名、职务及联系方式；</w:t>
      </w:r>
    </w:p>
    <w:p w:rsidR="0087632D" w:rsidRPr="00931954" w:rsidRDefault="0087632D" w:rsidP="0087632D">
      <w:pPr>
        <w:numPr>
          <w:ilvl w:val="0"/>
          <w:numId w:val="3"/>
        </w:numPr>
        <w:tabs>
          <w:tab w:val="left" w:pos="567"/>
        </w:tabs>
        <w:spacing w:line="580" w:lineRule="exact"/>
        <w:ind w:left="0" w:firstLineChars="177" w:firstLine="566"/>
        <w:rPr>
          <w:rFonts w:eastAsia="仿宋_GB2312"/>
          <w:sz w:val="32"/>
          <w:szCs w:val="32"/>
        </w:rPr>
      </w:pPr>
      <w:r w:rsidRPr="00931954">
        <w:rPr>
          <w:rFonts w:eastAsia="仿宋_GB2312"/>
          <w:sz w:val="32"/>
          <w:szCs w:val="32"/>
        </w:rPr>
        <w:t>纠纷情况及协商解决方案。</w:t>
      </w:r>
    </w:p>
    <w:p w:rsidR="0087632D" w:rsidRPr="00931954" w:rsidRDefault="0087632D" w:rsidP="0087632D">
      <w:pPr>
        <w:tabs>
          <w:tab w:val="left" w:pos="1620"/>
          <w:tab w:val="left" w:pos="1800"/>
        </w:tabs>
        <w:spacing w:line="580" w:lineRule="exact"/>
        <w:ind w:firstLineChars="221" w:firstLine="707"/>
        <w:rPr>
          <w:rFonts w:eastAsia="仿宋_GB2312"/>
          <w:sz w:val="32"/>
          <w:szCs w:val="32"/>
        </w:rPr>
      </w:pPr>
      <w:r w:rsidRPr="00931954">
        <w:rPr>
          <w:rFonts w:eastAsia="仿宋_GB2312"/>
          <w:sz w:val="32"/>
          <w:szCs w:val="32"/>
        </w:rPr>
        <w:t>协商不成的，应当申请委员会调解。委员会不接受自行结算的纠纷调解申请。</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纠纷调解情形包括：</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交易商未按期缴纳履约保证金；</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交易商未按期缴纳全额货款；</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交易商未按约定转移货权；</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交易商未提供符合合同约定的货物；</w:t>
      </w:r>
      <w:r w:rsidRPr="00931954">
        <w:rPr>
          <w:rFonts w:eastAsia="仿宋_GB2312"/>
          <w:sz w:val="32"/>
          <w:szCs w:val="32"/>
        </w:rPr>
        <w:t xml:space="preserve"> </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交易商未按约定开具增值税专用（普通）发票；</w:t>
      </w:r>
      <w:r w:rsidRPr="00931954">
        <w:rPr>
          <w:rFonts w:eastAsia="仿宋_GB2312"/>
          <w:sz w:val="32"/>
          <w:szCs w:val="32"/>
        </w:rPr>
        <w:t xml:space="preserve"> </w:t>
      </w:r>
    </w:p>
    <w:p w:rsidR="0087632D" w:rsidRPr="00931954" w:rsidRDefault="0087632D" w:rsidP="0087632D">
      <w:pPr>
        <w:numPr>
          <w:ilvl w:val="0"/>
          <w:numId w:val="4"/>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交易商未履行规则规定及合同约定义务的其他情形。</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交易商申请调解的，应当向平台提交调解申请书及相关材料。</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调解申请书应当写明以下事项：</w:t>
      </w:r>
    </w:p>
    <w:p w:rsidR="0087632D" w:rsidRPr="00931954" w:rsidRDefault="0087632D" w:rsidP="0087632D">
      <w:pPr>
        <w:numPr>
          <w:ilvl w:val="0"/>
          <w:numId w:val="5"/>
        </w:numPr>
        <w:tabs>
          <w:tab w:val="left" w:pos="567"/>
        </w:tabs>
        <w:spacing w:line="580" w:lineRule="exact"/>
        <w:ind w:left="0" w:firstLineChars="177" w:firstLine="566"/>
        <w:rPr>
          <w:rFonts w:eastAsia="仿宋_GB2312"/>
          <w:sz w:val="32"/>
          <w:szCs w:val="32"/>
        </w:rPr>
      </w:pPr>
      <w:r w:rsidRPr="00931954">
        <w:rPr>
          <w:rFonts w:eastAsia="仿宋_GB2312"/>
          <w:sz w:val="32"/>
          <w:szCs w:val="32"/>
        </w:rPr>
        <w:t>申请人及被申请人的名称、住所地、法定代表人或负责人的姓名、职务及联系方式；</w:t>
      </w:r>
    </w:p>
    <w:p w:rsidR="0087632D" w:rsidRPr="00931954" w:rsidRDefault="0087632D" w:rsidP="0087632D">
      <w:pPr>
        <w:numPr>
          <w:ilvl w:val="0"/>
          <w:numId w:val="5"/>
        </w:numPr>
        <w:tabs>
          <w:tab w:val="left" w:pos="567"/>
        </w:tabs>
        <w:spacing w:line="580" w:lineRule="exact"/>
        <w:ind w:left="0" w:firstLineChars="177" w:firstLine="566"/>
        <w:rPr>
          <w:rFonts w:eastAsia="仿宋_GB2312"/>
          <w:sz w:val="32"/>
          <w:szCs w:val="32"/>
        </w:rPr>
      </w:pPr>
      <w:r w:rsidRPr="00931954">
        <w:rPr>
          <w:rFonts w:eastAsia="仿宋_GB2312"/>
          <w:sz w:val="32"/>
          <w:szCs w:val="32"/>
        </w:rPr>
        <w:t>纠纷事实、调解请求及理由。</w:t>
      </w:r>
    </w:p>
    <w:p w:rsidR="0087632D" w:rsidRPr="00931954" w:rsidRDefault="0087632D" w:rsidP="0087632D">
      <w:pPr>
        <w:tabs>
          <w:tab w:val="left" w:pos="567"/>
        </w:tabs>
        <w:spacing w:line="580" w:lineRule="exact"/>
        <w:rPr>
          <w:rFonts w:eastAsia="仿宋_GB2312"/>
          <w:sz w:val="32"/>
          <w:szCs w:val="32"/>
        </w:rPr>
      </w:pPr>
      <w:r w:rsidRPr="00931954">
        <w:rPr>
          <w:rFonts w:eastAsia="仿宋_GB2312"/>
          <w:sz w:val="32"/>
          <w:szCs w:val="32"/>
        </w:rPr>
        <w:t xml:space="preserve">    </w:t>
      </w:r>
      <w:r w:rsidRPr="00931954">
        <w:rPr>
          <w:rFonts w:eastAsia="仿宋_GB2312"/>
          <w:sz w:val="32"/>
          <w:szCs w:val="32"/>
        </w:rPr>
        <w:t>如有相关证据等材料，应当一并提交。</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交易商调解申请材料收集齐备之日起</w:t>
      </w:r>
      <w:r w:rsidRPr="00931954">
        <w:rPr>
          <w:rFonts w:eastAsia="仿宋_GB2312"/>
          <w:sz w:val="32"/>
          <w:szCs w:val="32"/>
        </w:rPr>
        <w:t>2</w:t>
      </w:r>
      <w:r w:rsidRPr="00931954">
        <w:rPr>
          <w:rFonts w:eastAsia="仿宋_GB2312"/>
          <w:sz w:val="32"/>
          <w:szCs w:val="32"/>
        </w:rPr>
        <w:t>个交易日内，平台通知被申请人。被申请人有义务按照通知要求参加调解。</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申请人、被申请人对自己的请求、答辩应当提供相应的证据材料。委员会认为必要时，可要求申请人、被申请人补充证据材料。</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平台应于交易商调解申请材料收集齐备之日起</w:t>
      </w:r>
      <w:r w:rsidRPr="00931954">
        <w:rPr>
          <w:rFonts w:eastAsia="仿宋_GB2312"/>
          <w:sz w:val="32"/>
          <w:szCs w:val="32"/>
        </w:rPr>
        <w:t>5</w:t>
      </w:r>
      <w:r w:rsidRPr="00931954">
        <w:rPr>
          <w:rFonts w:eastAsia="仿宋_GB2312"/>
          <w:sz w:val="32"/>
          <w:szCs w:val="32"/>
        </w:rPr>
        <w:t>个交易日内召集委员会会议，组织双方进行调解。</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申请人与被申请人经调解达成协议的，由委员会制作纠纷调解书，经双方法定代表人或授权代表签字并加盖公章后生效。</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纠纷调解书应当写明以下事项：</w:t>
      </w:r>
    </w:p>
    <w:p w:rsidR="0087632D" w:rsidRPr="00931954" w:rsidRDefault="0087632D" w:rsidP="0087632D">
      <w:pPr>
        <w:numPr>
          <w:ilvl w:val="0"/>
          <w:numId w:val="6"/>
        </w:numPr>
        <w:tabs>
          <w:tab w:val="left" w:pos="567"/>
        </w:tabs>
        <w:spacing w:line="580" w:lineRule="exact"/>
        <w:ind w:left="0" w:firstLineChars="177" w:firstLine="566"/>
        <w:rPr>
          <w:rFonts w:eastAsia="仿宋_GB2312"/>
          <w:sz w:val="32"/>
          <w:szCs w:val="32"/>
        </w:rPr>
      </w:pPr>
      <w:r w:rsidRPr="00931954">
        <w:rPr>
          <w:rFonts w:eastAsia="仿宋_GB2312"/>
          <w:sz w:val="32"/>
          <w:szCs w:val="32"/>
        </w:rPr>
        <w:t>申请人及被申请人的名称、住所地、法定代表人或负责人的姓名、职务及联系方式；</w:t>
      </w:r>
    </w:p>
    <w:p w:rsidR="0087632D" w:rsidRPr="00931954" w:rsidRDefault="0087632D" w:rsidP="0087632D">
      <w:pPr>
        <w:numPr>
          <w:ilvl w:val="0"/>
          <w:numId w:val="6"/>
        </w:numPr>
        <w:tabs>
          <w:tab w:val="left" w:pos="567"/>
        </w:tabs>
        <w:spacing w:line="580" w:lineRule="exact"/>
        <w:ind w:left="0" w:firstLineChars="177" w:firstLine="566"/>
        <w:rPr>
          <w:rFonts w:eastAsia="仿宋_GB2312"/>
          <w:sz w:val="32"/>
          <w:szCs w:val="32"/>
        </w:rPr>
      </w:pPr>
      <w:r w:rsidRPr="00931954">
        <w:rPr>
          <w:rFonts w:eastAsia="仿宋_GB2312"/>
          <w:sz w:val="32"/>
          <w:szCs w:val="32"/>
        </w:rPr>
        <w:t>争议的基本事实；</w:t>
      </w:r>
    </w:p>
    <w:p w:rsidR="0087632D" w:rsidRPr="00931954" w:rsidRDefault="0087632D" w:rsidP="0087632D">
      <w:pPr>
        <w:numPr>
          <w:ilvl w:val="0"/>
          <w:numId w:val="6"/>
        </w:numPr>
        <w:tabs>
          <w:tab w:val="left" w:pos="567"/>
        </w:tabs>
        <w:spacing w:line="580" w:lineRule="exact"/>
        <w:ind w:left="0" w:firstLineChars="177" w:firstLine="566"/>
        <w:rPr>
          <w:rFonts w:eastAsia="仿宋_GB2312"/>
          <w:sz w:val="32"/>
          <w:szCs w:val="32"/>
        </w:rPr>
      </w:pPr>
      <w:r w:rsidRPr="00931954">
        <w:rPr>
          <w:rFonts w:eastAsia="仿宋_GB2312"/>
          <w:sz w:val="32"/>
          <w:szCs w:val="32"/>
        </w:rPr>
        <w:t>申请人与被申请人达成协议的内容。</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交易所有权根据交易商的授权扣划交易商账户资金及风险保障金。</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调解不成的，或纠纷任意一方未按照纠纷调解书履行的，委员会应记录在案，交易商可以依法诉讼或仲裁。</w:t>
      </w:r>
    </w:p>
    <w:p w:rsidR="0087632D" w:rsidRPr="00931954" w:rsidRDefault="0087632D" w:rsidP="0087632D">
      <w:pPr>
        <w:tabs>
          <w:tab w:val="left" w:pos="1620"/>
          <w:tab w:val="left" w:pos="1800"/>
        </w:tabs>
        <w:spacing w:line="580" w:lineRule="exact"/>
        <w:ind w:left="640"/>
        <w:rPr>
          <w:rFonts w:eastAsia="仿宋_GB2312"/>
          <w:sz w:val="32"/>
          <w:szCs w:val="32"/>
        </w:rPr>
      </w:pPr>
    </w:p>
    <w:p w:rsidR="0087632D" w:rsidRPr="00931954" w:rsidRDefault="0087632D" w:rsidP="0087632D">
      <w:pPr>
        <w:numPr>
          <w:ilvl w:val="0"/>
          <w:numId w:val="1"/>
        </w:numPr>
        <w:spacing w:line="580" w:lineRule="exact"/>
        <w:ind w:left="0" w:firstLine="0"/>
        <w:jc w:val="center"/>
        <w:rPr>
          <w:rFonts w:eastAsia="黑体"/>
          <w:bCs/>
          <w:sz w:val="32"/>
          <w:szCs w:val="32"/>
        </w:rPr>
      </w:pPr>
      <w:r w:rsidRPr="00931954">
        <w:rPr>
          <w:rFonts w:eastAsia="黑体"/>
          <w:bCs/>
          <w:sz w:val="32"/>
          <w:szCs w:val="32"/>
        </w:rPr>
        <w:t>违规行为及处理</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交易商涉嫌违规的，由交易所进行调查，交易商有义务予以配合，调查结果提交委员会审议。</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交易商有以下行为之一的，委员会有权认定其违规：</w:t>
      </w:r>
      <w:r w:rsidRPr="00931954">
        <w:rPr>
          <w:rFonts w:eastAsia="仿宋_GB2312"/>
          <w:sz w:val="32"/>
          <w:szCs w:val="32"/>
        </w:rPr>
        <w:t xml:space="preserve"> </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以欺骗或提供虚假材料等手段获取交易商资格的；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编造或者传播交易相关信息，影响或企图影响市场价格、扰乱市场秩序的；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单独或者合谋，通过平台交易影响市场价格、转移资金、洗钱或牟取不正当利益的；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伪造、变造、使用虚假交易记录、会计报表、账册、票证、单据、凭证或其他证明文件等资料的；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发生纠纷后，自行协商不成且未向平台申请纠纷调解直接进行诉讼或仲裁的；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无故不配合纠纷调解的；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未按照纠纷调解书履行的；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未按规定报告相关事项的；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拒不配合交易所检查、调查，隐瞒事实或提供虚假情况的；</w:t>
      </w:r>
    </w:p>
    <w:p w:rsidR="0087632D" w:rsidRPr="00931954" w:rsidRDefault="0087632D" w:rsidP="0087632D">
      <w:pPr>
        <w:numPr>
          <w:ilvl w:val="1"/>
          <w:numId w:val="7"/>
        </w:numPr>
        <w:spacing w:line="580" w:lineRule="exact"/>
        <w:ind w:left="0" w:firstLine="567"/>
        <w:rPr>
          <w:rFonts w:eastAsia="仿宋_GB2312"/>
          <w:sz w:val="32"/>
          <w:szCs w:val="32"/>
        </w:rPr>
      </w:pPr>
      <w:r w:rsidRPr="00931954">
        <w:rPr>
          <w:rFonts w:eastAsia="仿宋_GB2312"/>
          <w:sz w:val="32"/>
          <w:szCs w:val="32"/>
        </w:rPr>
        <w:t>违反规则且对平台造成不良影响的其他情形。</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交易商被认定违规的，应当及时改正或补救。委员会可视情节轻重，采取以下一项或多项措施：</w:t>
      </w:r>
      <w:r w:rsidRPr="00931954">
        <w:rPr>
          <w:rFonts w:eastAsia="仿宋_GB2312"/>
          <w:sz w:val="32"/>
          <w:szCs w:val="32"/>
        </w:rPr>
        <w:t xml:space="preserve"> </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警告；</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通报批评；</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限制交易商权限；</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终止交易商资格；</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公开谴责；</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向各类征信机构通报</w:t>
      </w:r>
      <w:r w:rsidRPr="00931954">
        <w:rPr>
          <w:rFonts w:eastAsia="仿宋_GB2312"/>
          <w:sz w:val="32"/>
          <w:szCs w:val="32"/>
        </w:rPr>
        <w:t>;</w:t>
      </w:r>
    </w:p>
    <w:p w:rsidR="0087632D" w:rsidRPr="00931954" w:rsidRDefault="0087632D" w:rsidP="0087632D">
      <w:pPr>
        <w:numPr>
          <w:ilvl w:val="0"/>
          <w:numId w:val="8"/>
        </w:numPr>
        <w:spacing w:line="580" w:lineRule="exact"/>
        <w:ind w:left="0" w:firstLineChars="177" w:firstLine="566"/>
        <w:rPr>
          <w:rFonts w:eastAsia="仿宋_GB2312"/>
          <w:sz w:val="32"/>
          <w:szCs w:val="32"/>
        </w:rPr>
      </w:pPr>
      <w:r w:rsidRPr="00931954">
        <w:rPr>
          <w:rFonts w:eastAsia="仿宋_GB2312"/>
          <w:sz w:val="32"/>
          <w:szCs w:val="32"/>
        </w:rPr>
        <w:t>委员会认为应当采取的其他措施。</w:t>
      </w:r>
    </w:p>
    <w:p w:rsidR="0087632D" w:rsidRPr="00931954" w:rsidRDefault="0087632D" w:rsidP="0087632D">
      <w:pPr>
        <w:spacing w:line="580" w:lineRule="exact"/>
        <w:ind w:firstLineChars="200" w:firstLine="640"/>
        <w:rPr>
          <w:rFonts w:eastAsia="仿宋_GB2312"/>
          <w:sz w:val="32"/>
          <w:szCs w:val="32"/>
        </w:rPr>
      </w:pPr>
      <w:r w:rsidRPr="00931954">
        <w:rPr>
          <w:rFonts w:eastAsia="仿宋_GB2312"/>
          <w:sz w:val="32"/>
          <w:szCs w:val="32"/>
        </w:rPr>
        <w:t>委员会采取上述第（三）至（七）项措施的，应当报交易商委员会审议。</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委员会认定交易商违规的，应当制作违规处理决定书。</w:t>
      </w:r>
    </w:p>
    <w:p w:rsidR="0087632D" w:rsidRPr="00931954" w:rsidRDefault="0087632D" w:rsidP="0087632D">
      <w:pPr>
        <w:tabs>
          <w:tab w:val="left" w:pos="1620"/>
          <w:tab w:val="left" w:pos="1800"/>
        </w:tabs>
        <w:spacing w:line="580" w:lineRule="exact"/>
        <w:ind w:firstLineChars="200" w:firstLine="640"/>
        <w:rPr>
          <w:rFonts w:eastAsia="仿宋_GB2312"/>
          <w:sz w:val="32"/>
          <w:szCs w:val="32"/>
        </w:rPr>
      </w:pPr>
      <w:r w:rsidRPr="00931954">
        <w:rPr>
          <w:rFonts w:eastAsia="仿宋_GB2312"/>
          <w:sz w:val="32"/>
          <w:szCs w:val="32"/>
        </w:rPr>
        <w:t>违规处理决定书应列明以下内容：</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交易商名称、住所地；</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违规事实和认定依据；</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采取的措施和依据；</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履行方式和期限；</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申请复议的途径和期限；</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做出处理决定的日期；</w:t>
      </w:r>
      <w:r w:rsidRPr="00931954">
        <w:rPr>
          <w:rFonts w:eastAsia="仿宋_GB2312"/>
          <w:sz w:val="32"/>
          <w:szCs w:val="32"/>
        </w:rPr>
        <w:t xml:space="preserve"> </w:t>
      </w:r>
    </w:p>
    <w:p w:rsidR="0087632D" w:rsidRPr="00931954" w:rsidRDefault="0087632D" w:rsidP="0087632D">
      <w:pPr>
        <w:numPr>
          <w:ilvl w:val="0"/>
          <w:numId w:val="9"/>
        </w:numPr>
        <w:tabs>
          <w:tab w:val="left" w:pos="567"/>
        </w:tabs>
        <w:spacing w:line="580" w:lineRule="exact"/>
        <w:ind w:left="0" w:firstLineChars="177" w:firstLine="566"/>
        <w:rPr>
          <w:rFonts w:eastAsia="仿宋_GB2312"/>
          <w:sz w:val="32"/>
          <w:szCs w:val="32"/>
        </w:rPr>
      </w:pPr>
      <w:r w:rsidRPr="00931954">
        <w:rPr>
          <w:rFonts w:eastAsia="仿宋_GB2312"/>
          <w:sz w:val="32"/>
          <w:szCs w:val="32"/>
        </w:rPr>
        <w:t>委员会认为应当列明的其他事项。</w:t>
      </w:r>
      <w:r w:rsidRPr="00931954">
        <w:rPr>
          <w:rFonts w:eastAsia="仿宋_GB2312"/>
          <w:sz w:val="32"/>
          <w:szCs w:val="32"/>
        </w:rPr>
        <w:t xml:space="preserve"> </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违规处理决定书将以邮寄或电子邮件的形式告知交易商。以邮寄方式告知的，邮件签收日或邮件寄出之日起第</w:t>
      </w:r>
      <w:r w:rsidRPr="00931954">
        <w:rPr>
          <w:rFonts w:eastAsia="仿宋_GB2312"/>
          <w:sz w:val="32"/>
          <w:szCs w:val="32"/>
        </w:rPr>
        <w:t>5</w:t>
      </w:r>
      <w:r w:rsidRPr="00931954">
        <w:rPr>
          <w:rFonts w:eastAsia="仿宋_GB2312"/>
          <w:sz w:val="32"/>
          <w:szCs w:val="32"/>
        </w:rPr>
        <w:t>个自然日届满时即视为告知，以在先的时间为准。以电子邮件方式告知的，电子邮件发送至交易商电子邮箱时即视为告知。</w:t>
      </w:r>
    </w:p>
    <w:p w:rsidR="0087632D" w:rsidRPr="00931954" w:rsidRDefault="0087632D" w:rsidP="0087632D">
      <w:pPr>
        <w:tabs>
          <w:tab w:val="left" w:pos="1620"/>
          <w:tab w:val="left" w:pos="1800"/>
        </w:tabs>
        <w:spacing w:line="580" w:lineRule="exact"/>
        <w:ind w:firstLineChars="200" w:firstLine="640"/>
        <w:rPr>
          <w:rFonts w:eastAsia="仿宋_GB2312"/>
          <w:sz w:val="32"/>
          <w:szCs w:val="32"/>
        </w:rPr>
      </w:pPr>
      <w:r w:rsidRPr="00931954">
        <w:rPr>
          <w:rFonts w:eastAsia="仿宋_GB2312"/>
          <w:sz w:val="32"/>
          <w:szCs w:val="32"/>
        </w:rPr>
        <w:t>交易商地址及电子邮箱以平台留存信息为准。</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交易商申请复议，应于告知之日起</w:t>
      </w:r>
      <w:r w:rsidRPr="00931954">
        <w:rPr>
          <w:rFonts w:eastAsia="仿宋_GB2312"/>
          <w:sz w:val="32"/>
          <w:szCs w:val="32"/>
        </w:rPr>
        <w:t>30</w:t>
      </w:r>
      <w:r w:rsidRPr="00931954">
        <w:rPr>
          <w:rFonts w:eastAsia="仿宋_GB2312"/>
          <w:sz w:val="32"/>
          <w:szCs w:val="32"/>
        </w:rPr>
        <w:t>个自然日内书面向平台提出。复议期间，不停止违规处理决定的执行。</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交易商发生纠纷或涉嫌违规的，在纠纷解决或确认违规行为之前，为防止相关行为后果进一步扩大，平台有权先行采取下列限制性措施：</w:t>
      </w:r>
    </w:p>
    <w:p w:rsidR="0087632D" w:rsidRPr="00931954" w:rsidRDefault="0087632D" w:rsidP="0087632D">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限期说明情况；</w:t>
      </w:r>
      <w:r w:rsidRPr="00931954">
        <w:rPr>
          <w:rFonts w:eastAsia="仿宋_GB2312"/>
          <w:sz w:val="32"/>
          <w:szCs w:val="32"/>
        </w:rPr>
        <w:t xml:space="preserve"> </w:t>
      </w:r>
    </w:p>
    <w:p w:rsidR="0087632D" w:rsidRPr="00931954" w:rsidRDefault="0087632D" w:rsidP="0087632D">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限制交易商权限；</w:t>
      </w:r>
      <w:r w:rsidRPr="00931954">
        <w:rPr>
          <w:rFonts w:eastAsia="仿宋_GB2312"/>
          <w:sz w:val="32"/>
          <w:szCs w:val="32"/>
        </w:rPr>
        <w:t xml:space="preserve"> </w:t>
      </w:r>
    </w:p>
    <w:p w:rsidR="0087632D" w:rsidRPr="00931954" w:rsidRDefault="0087632D" w:rsidP="0087632D">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限制出金；</w:t>
      </w:r>
    </w:p>
    <w:p w:rsidR="0087632D" w:rsidRPr="00931954" w:rsidRDefault="0087632D" w:rsidP="0087632D">
      <w:pPr>
        <w:numPr>
          <w:ilvl w:val="0"/>
          <w:numId w:val="10"/>
        </w:numPr>
        <w:tabs>
          <w:tab w:val="left" w:pos="567"/>
        </w:tabs>
        <w:spacing w:line="580" w:lineRule="exact"/>
        <w:ind w:left="0" w:firstLineChars="177" w:firstLine="566"/>
        <w:rPr>
          <w:rFonts w:eastAsia="仿宋_GB2312"/>
          <w:sz w:val="32"/>
          <w:szCs w:val="32"/>
        </w:rPr>
      </w:pPr>
      <w:r w:rsidRPr="00931954">
        <w:rPr>
          <w:rFonts w:eastAsia="仿宋_GB2312"/>
          <w:sz w:val="32"/>
          <w:szCs w:val="32"/>
        </w:rPr>
        <w:t>平台认为应当采取的</w:t>
      </w:r>
      <w:bookmarkStart w:id="0" w:name="_GoBack"/>
      <w:bookmarkEnd w:id="0"/>
      <w:r w:rsidRPr="00931954">
        <w:rPr>
          <w:rFonts w:eastAsia="仿宋_GB2312"/>
          <w:sz w:val="32"/>
          <w:szCs w:val="32"/>
        </w:rPr>
        <w:t>其他方式。</w:t>
      </w:r>
    </w:p>
    <w:p w:rsidR="0087632D" w:rsidRPr="00931954" w:rsidRDefault="0087632D" w:rsidP="0087632D">
      <w:pPr>
        <w:tabs>
          <w:tab w:val="left" w:pos="567"/>
        </w:tabs>
        <w:spacing w:line="580" w:lineRule="exact"/>
        <w:ind w:left="566"/>
        <w:rPr>
          <w:rFonts w:eastAsia="仿宋_GB2312"/>
          <w:sz w:val="32"/>
          <w:szCs w:val="32"/>
        </w:rPr>
      </w:pPr>
    </w:p>
    <w:p w:rsidR="0087632D" w:rsidRPr="00931954" w:rsidRDefault="0087632D" w:rsidP="0087632D">
      <w:pPr>
        <w:numPr>
          <w:ilvl w:val="0"/>
          <w:numId w:val="1"/>
        </w:numPr>
        <w:spacing w:line="580" w:lineRule="exact"/>
        <w:ind w:left="0" w:firstLine="0"/>
        <w:jc w:val="center"/>
        <w:rPr>
          <w:rFonts w:eastAsia="黑体"/>
          <w:bCs/>
          <w:sz w:val="32"/>
          <w:szCs w:val="32"/>
        </w:rPr>
      </w:pPr>
      <w:r w:rsidRPr="00931954">
        <w:rPr>
          <w:rFonts w:eastAsia="黑体"/>
          <w:bCs/>
          <w:sz w:val="32"/>
          <w:szCs w:val="32"/>
        </w:rPr>
        <w:t>附则</w:t>
      </w:r>
      <w:r w:rsidRPr="00931954">
        <w:rPr>
          <w:rFonts w:eastAsia="黑体"/>
          <w:bCs/>
          <w:sz w:val="32"/>
          <w:szCs w:val="32"/>
        </w:rPr>
        <w:t xml:space="preserve"> </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本办法未尽事宜，参照平台相关业务规则执行。</w:t>
      </w:r>
      <w:r w:rsidRPr="00931954">
        <w:rPr>
          <w:rFonts w:eastAsia="仿宋_GB2312"/>
          <w:sz w:val="32"/>
          <w:szCs w:val="32"/>
        </w:rPr>
        <w:t xml:space="preserve"> </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本办法的解释权归交易所所有。</w:t>
      </w:r>
      <w:r w:rsidRPr="00931954">
        <w:rPr>
          <w:rFonts w:eastAsia="仿宋_GB2312"/>
          <w:sz w:val="32"/>
          <w:szCs w:val="32"/>
        </w:rPr>
        <w:t xml:space="preserve"> </w:t>
      </w:r>
    </w:p>
    <w:p w:rsidR="0087632D" w:rsidRPr="00931954" w:rsidRDefault="0087632D" w:rsidP="0087632D">
      <w:pPr>
        <w:numPr>
          <w:ilvl w:val="0"/>
          <w:numId w:val="2"/>
        </w:numPr>
        <w:tabs>
          <w:tab w:val="left" w:pos="1620"/>
          <w:tab w:val="left" w:pos="1800"/>
        </w:tabs>
        <w:spacing w:line="580" w:lineRule="exact"/>
        <w:ind w:left="0" w:firstLineChars="200" w:firstLine="640"/>
        <w:rPr>
          <w:rFonts w:eastAsia="仿宋_GB2312"/>
          <w:sz w:val="32"/>
          <w:szCs w:val="32"/>
        </w:rPr>
      </w:pPr>
      <w:r w:rsidRPr="00931954">
        <w:rPr>
          <w:rFonts w:eastAsia="仿宋_GB2312"/>
          <w:sz w:val="32"/>
          <w:szCs w:val="32"/>
        </w:rPr>
        <w:t>本办法自发布之日起实施。</w:t>
      </w:r>
      <w:r w:rsidRPr="00931954">
        <w:rPr>
          <w:rFonts w:eastAsia="仿宋_GB2312"/>
          <w:sz w:val="32"/>
          <w:szCs w:val="32"/>
        </w:rPr>
        <w:t xml:space="preserve"> </w:t>
      </w:r>
    </w:p>
    <w:p w:rsidR="00A2554E" w:rsidRPr="0087632D" w:rsidRDefault="00A2554E"/>
    <w:sectPr w:rsidR="00A2554E" w:rsidRPr="008763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EA4" w:rsidRDefault="00824EA4" w:rsidP="00824EA4">
      <w:r>
        <w:separator/>
      </w:r>
    </w:p>
  </w:endnote>
  <w:endnote w:type="continuationSeparator" w:id="0">
    <w:p w:rsidR="00824EA4" w:rsidRDefault="00824EA4" w:rsidP="008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802823"/>
      <w:docPartObj>
        <w:docPartGallery w:val="Page Numbers (Bottom of Page)"/>
        <w:docPartUnique/>
      </w:docPartObj>
    </w:sdtPr>
    <w:sdtContent>
      <w:p w:rsidR="00824EA4" w:rsidRDefault="00824EA4">
        <w:pPr>
          <w:pStyle w:val="a7"/>
          <w:jc w:val="center"/>
        </w:pPr>
        <w:r>
          <w:fldChar w:fldCharType="begin"/>
        </w:r>
        <w:r>
          <w:instrText>PAGE   \* MERGEFORMAT</w:instrText>
        </w:r>
        <w:r>
          <w:fldChar w:fldCharType="separate"/>
        </w:r>
        <w:r w:rsidRPr="00824EA4">
          <w:rPr>
            <w:noProof/>
            <w:lang w:val="zh-CN"/>
          </w:rPr>
          <w:t>1</w:t>
        </w:r>
        <w:r>
          <w:fldChar w:fldCharType="end"/>
        </w:r>
      </w:p>
    </w:sdtContent>
  </w:sdt>
  <w:p w:rsidR="00824EA4" w:rsidRDefault="00824E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EA4" w:rsidRDefault="00824EA4" w:rsidP="00824EA4">
      <w:r>
        <w:separator/>
      </w:r>
    </w:p>
  </w:footnote>
  <w:footnote w:type="continuationSeparator" w:id="0">
    <w:p w:rsidR="00824EA4" w:rsidRDefault="00824EA4" w:rsidP="0082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3A64"/>
    <w:multiLevelType w:val="hybridMultilevel"/>
    <w:tmpl w:val="90021712"/>
    <w:lvl w:ilvl="0" w:tplc="A2AADF20">
      <w:start w:val="1"/>
      <w:numFmt w:val="chineseCountingThousand"/>
      <w:lvlText w:val="（%1）"/>
      <w:lvlJc w:val="left"/>
      <w:pPr>
        <w:ind w:left="2264" w:hanging="420"/>
      </w:pPr>
      <w:rPr>
        <w:rFonts w:cs="Times New Roman"/>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abstractNum w:abstractNumId="1" w15:restartNumberingAfterBreak="0">
    <w:nsid w:val="22345C32"/>
    <w:multiLevelType w:val="hybridMultilevel"/>
    <w:tmpl w:val="6A8ABD70"/>
    <w:lvl w:ilvl="0" w:tplc="198A4582">
      <w:start w:val="1"/>
      <w:numFmt w:val="chineseCountingThousand"/>
      <w:lvlText w:val="（%1）"/>
      <w:lvlJc w:val="left"/>
      <w:pPr>
        <w:ind w:left="1697" w:hanging="420"/>
      </w:pPr>
      <w:rPr>
        <w:rFonts w:cs="Times New Roman"/>
        <w:lang w:val="en-US"/>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abstractNum w:abstractNumId="2" w15:restartNumberingAfterBreak="0">
    <w:nsid w:val="24E94400"/>
    <w:multiLevelType w:val="hybridMultilevel"/>
    <w:tmpl w:val="318AEFB2"/>
    <w:lvl w:ilvl="0" w:tplc="144E3FCE">
      <w:start w:val="1"/>
      <w:numFmt w:val="chineseCountingThousand"/>
      <w:lvlText w:val="第%1条 "/>
      <w:lvlJc w:val="left"/>
      <w:pPr>
        <w:ind w:left="2539" w:hanging="1120"/>
      </w:pPr>
      <w:rPr>
        <w:rFonts w:ascii="Times New Roman" w:eastAsia="仿宋_GB2312" w:cs="Times New Roman" w:hint="eastAsia"/>
        <w:b/>
        <w:i w:val="0"/>
        <w:lang w:val="en-US"/>
      </w:rPr>
    </w:lvl>
    <w:lvl w:ilvl="1" w:tplc="B6CE9E82">
      <w:start w:val="1"/>
      <w:numFmt w:val="japaneseCounting"/>
      <w:lvlText w:val="（%2）"/>
      <w:lvlJc w:val="left"/>
      <w:pPr>
        <w:ind w:left="2845" w:hanging="1150"/>
      </w:pPr>
      <w:rPr>
        <w:rFonts w:cs="Times New Roman"/>
      </w:rPr>
    </w:lvl>
    <w:lvl w:ilvl="2" w:tplc="0409001B">
      <w:start w:val="1"/>
      <w:numFmt w:val="lowerRoman"/>
      <w:lvlText w:val="%3."/>
      <w:lvlJc w:val="right"/>
      <w:pPr>
        <w:ind w:left="2535" w:hanging="420"/>
      </w:pPr>
      <w:rPr>
        <w:rFonts w:cs="Times New Roman"/>
      </w:rPr>
    </w:lvl>
    <w:lvl w:ilvl="3" w:tplc="0409000F">
      <w:start w:val="1"/>
      <w:numFmt w:val="decimal"/>
      <w:lvlText w:val="%4."/>
      <w:lvlJc w:val="left"/>
      <w:pPr>
        <w:ind w:left="2955" w:hanging="420"/>
      </w:pPr>
      <w:rPr>
        <w:rFonts w:cs="Times New Roman"/>
      </w:rPr>
    </w:lvl>
    <w:lvl w:ilvl="4" w:tplc="04090019">
      <w:start w:val="1"/>
      <w:numFmt w:val="lowerLetter"/>
      <w:lvlText w:val="%5)"/>
      <w:lvlJc w:val="left"/>
      <w:pPr>
        <w:ind w:left="3375" w:hanging="420"/>
      </w:pPr>
      <w:rPr>
        <w:rFonts w:cs="Times New Roman"/>
      </w:rPr>
    </w:lvl>
    <w:lvl w:ilvl="5" w:tplc="0409001B">
      <w:start w:val="1"/>
      <w:numFmt w:val="lowerRoman"/>
      <w:lvlText w:val="%6."/>
      <w:lvlJc w:val="right"/>
      <w:pPr>
        <w:ind w:left="3795" w:hanging="420"/>
      </w:pPr>
      <w:rPr>
        <w:rFonts w:cs="Times New Roman"/>
      </w:rPr>
    </w:lvl>
    <w:lvl w:ilvl="6" w:tplc="0409000F">
      <w:start w:val="1"/>
      <w:numFmt w:val="decimal"/>
      <w:lvlText w:val="%7."/>
      <w:lvlJc w:val="left"/>
      <w:pPr>
        <w:ind w:left="4215" w:hanging="420"/>
      </w:pPr>
      <w:rPr>
        <w:rFonts w:cs="Times New Roman"/>
      </w:rPr>
    </w:lvl>
    <w:lvl w:ilvl="7" w:tplc="04090019">
      <w:start w:val="1"/>
      <w:numFmt w:val="lowerLetter"/>
      <w:lvlText w:val="%8)"/>
      <w:lvlJc w:val="left"/>
      <w:pPr>
        <w:ind w:left="4635" w:hanging="420"/>
      </w:pPr>
      <w:rPr>
        <w:rFonts w:cs="Times New Roman"/>
      </w:rPr>
    </w:lvl>
    <w:lvl w:ilvl="8" w:tplc="0409001B">
      <w:start w:val="1"/>
      <w:numFmt w:val="lowerRoman"/>
      <w:lvlText w:val="%9."/>
      <w:lvlJc w:val="right"/>
      <w:pPr>
        <w:ind w:left="5055" w:hanging="420"/>
      </w:pPr>
      <w:rPr>
        <w:rFonts w:cs="Times New Roman"/>
      </w:rPr>
    </w:lvl>
  </w:abstractNum>
  <w:abstractNum w:abstractNumId="3" w15:restartNumberingAfterBreak="0">
    <w:nsid w:val="484828AE"/>
    <w:multiLevelType w:val="hybridMultilevel"/>
    <w:tmpl w:val="90021712"/>
    <w:lvl w:ilvl="0" w:tplc="A2AADF20">
      <w:start w:val="1"/>
      <w:numFmt w:val="chineseCountingThousand"/>
      <w:lvlText w:val="（%1）"/>
      <w:lvlJc w:val="left"/>
      <w:pPr>
        <w:ind w:left="1480" w:hanging="420"/>
      </w:pPr>
      <w:rPr>
        <w:rFonts w:cs="Times New Roman"/>
      </w:rPr>
    </w:lvl>
    <w:lvl w:ilvl="1" w:tplc="04090019">
      <w:start w:val="1"/>
      <w:numFmt w:val="lowerLetter"/>
      <w:lvlText w:val="%2)"/>
      <w:lvlJc w:val="left"/>
      <w:pPr>
        <w:ind w:left="625" w:hanging="420"/>
      </w:pPr>
      <w:rPr>
        <w:rFonts w:cs="Times New Roman"/>
      </w:rPr>
    </w:lvl>
    <w:lvl w:ilvl="2" w:tplc="0409001B">
      <w:start w:val="1"/>
      <w:numFmt w:val="lowerRoman"/>
      <w:lvlText w:val="%3."/>
      <w:lvlJc w:val="right"/>
      <w:pPr>
        <w:ind w:left="1045" w:hanging="420"/>
      </w:pPr>
      <w:rPr>
        <w:rFonts w:cs="Times New Roman"/>
      </w:rPr>
    </w:lvl>
    <w:lvl w:ilvl="3" w:tplc="0409000F">
      <w:start w:val="1"/>
      <w:numFmt w:val="decimal"/>
      <w:lvlText w:val="%4."/>
      <w:lvlJc w:val="left"/>
      <w:pPr>
        <w:ind w:left="1465" w:hanging="420"/>
      </w:pPr>
      <w:rPr>
        <w:rFonts w:cs="Times New Roman"/>
      </w:rPr>
    </w:lvl>
    <w:lvl w:ilvl="4" w:tplc="04090019">
      <w:start w:val="1"/>
      <w:numFmt w:val="lowerLetter"/>
      <w:lvlText w:val="%5)"/>
      <w:lvlJc w:val="left"/>
      <w:pPr>
        <w:ind w:left="1885" w:hanging="420"/>
      </w:pPr>
      <w:rPr>
        <w:rFonts w:cs="Times New Roman"/>
      </w:rPr>
    </w:lvl>
    <w:lvl w:ilvl="5" w:tplc="0409001B">
      <w:start w:val="1"/>
      <w:numFmt w:val="lowerRoman"/>
      <w:lvlText w:val="%6."/>
      <w:lvlJc w:val="right"/>
      <w:pPr>
        <w:ind w:left="2305" w:hanging="420"/>
      </w:pPr>
      <w:rPr>
        <w:rFonts w:cs="Times New Roman"/>
      </w:rPr>
    </w:lvl>
    <w:lvl w:ilvl="6" w:tplc="0409000F">
      <w:start w:val="1"/>
      <w:numFmt w:val="decimal"/>
      <w:lvlText w:val="%7."/>
      <w:lvlJc w:val="left"/>
      <w:pPr>
        <w:ind w:left="2725" w:hanging="420"/>
      </w:pPr>
      <w:rPr>
        <w:rFonts w:cs="Times New Roman"/>
      </w:rPr>
    </w:lvl>
    <w:lvl w:ilvl="7" w:tplc="04090019">
      <w:start w:val="1"/>
      <w:numFmt w:val="lowerLetter"/>
      <w:lvlText w:val="%8)"/>
      <w:lvlJc w:val="left"/>
      <w:pPr>
        <w:ind w:left="3145" w:hanging="420"/>
      </w:pPr>
      <w:rPr>
        <w:rFonts w:cs="Times New Roman"/>
      </w:rPr>
    </w:lvl>
    <w:lvl w:ilvl="8" w:tplc="0409001B">
      <w:start w:val="1"/>
      <w:numFmt w:val="lowerRoman"/>
      <w:lvlText w:val="%9."/>
      <w:lvlJc w:val="right"/>
      <w:pPr>
        <w:ind w:left="3565" w:hanging="420"/>
      </w:pPr>
      <w:rPr>
        <w:rFonts w:cs="Times New Roman"/>
      </w:rPr>
    </w:lvl>
  </w:abstractNum>
  <w:abstractNum w:abstractNumId="4" w15:restartNumberingAfterBreak="0">
    <w:nsid w:val="53DC6B0A"/>
    <w:multiLevelType w:val="hybridMultilevel"/>
    <w:tmpl w:val="6A8ABD70"/>
    <w:lvl w:ilvl="0" w:tplc="198A4582">
      <w:start w:val="1"/>
      <w:numFmt w:val="chineseCountingThousand"/>
      <w:lvlText w:val="（%1）"/>
      <w:lvlJc w:val="left"/>
      <w:pPr>
        <w:ind w:left="1697" w:hanging="420"/>
      </w:pPr>
      <w:rPr>
        <w:rFonts w:cs="Times New Roman"/>
        <w:lang w:val="en-US"/>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abstractNum w:abstractNumId="5" w15:restartNumberingAfterBreak="0">
    <w:nsid w:val="5AE727C3"/>
    <w:multiLevelType w:val="hybridMultilevel"/>
    <w:tmpl w:val="68200C00"/>
    <w:lvl w:ilvl="0" w:tplc="04090017">
      <w:start w:val="1"/>
      <w:numFmt w:val="chineseCountingThousand"/>
      <w:lvlText w:val="(%1)"/>
      <w:lvlJc w:val="left"/>
      <w:pPr>
        <w:ind w:left="1060" w:hanging="420"/>
      </w:pPr>
      <w:rPr>
        <w:rFonts w:cs="Times New Roman"/>
      </w:rPr>
    </w:lvl>
    <w:lvl w:ilvl="1" w:tplc="A2AADF20">
      <w:start w:val="1"/>
      <w:numFmt w:val="chineseCountingThousand"/>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6" w15:restartNumberingAfterBreak="0">
    <w:nsid w:val="699B3BDD"/>
    <w:multiLevelType w:val="hybridMultilevel"/>
    <w:tmpl w:val="90021712"/>
    <w:lvl w:ilvl="0" w:tplc="A2AADF20">
      <w:start w:val="1"/>
      <w:numFmt w:val="chineseCountingThousand"/>
      <w:lvlText w:val="（%1）"/>
      <w:lvlJc w:val="left"/>
      <w:pPr>
        <w:ind w:left="2264" w:hanging="420"/>
      </w:pPr>
      <w:rPr>
        <w:rFonts w:cs="Times New Roman"/>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abstractNum w:abstractNumId="7" w15:restartNumberingAfterBreak="0">
    <w:nsid w:val="791206E0"/>
    <w:multiLevelType w:val="hybridMultilevel"/>
    <w:tmpl w:val="DFA07862"/>
    <w:lvl w:ilvl="0" w:tplc="B470D73E">
      <w:start w:val="1"/>
      <w:numFmt w:val="chineseCountingThousand"/>
      <w:lvlText w:val="第%1章"/>
      <w:lvlJc w:val="left"/>
      <w:pPr>
        <w:ind w:left="3840" w:hanging="420"/>
      </w:pPr>
      <w:rPr>
        <w:rFonts w:cs="Times New Roman"/>
      </w:rPr>
    </w:lvl>
    <w:lvl w:ilvl="1" w:tplc="04090019">
      <w:start w:val="1"/>
      <w:numFmt w:val="lowerLetter"/>
      <w:lvlText w:val="%2)"/>
      <w:lvlJc w:val="left"/>
      <w:pPr>
        <w:ind w:left="4260" w:hanging="420"/>
      </w:pPr>
      <w:rPr>
        <w:rFonts w:cs="Times New Roman"/>
      </w:rPr>
    </w:lvl>
    <w:lvl w:ilvl="2" w:tplc="0409001B">
      <w:start w:val="1"/>
      <w:numFmt w:val="lowerRoman"/>
      <w:lvlText w:val="%3."/>
      <w:lvlJc w:val="right"/>
      <w:pPr>
        <w:ind w:left="4680" w:hanging="420"/>
      </w:pPr>
      <w:rPr>
        <w:rFonts w:cs="Times New Roman"/>
      </w:rPr>
    </w:lvl>
    <w:lvl w:ilvl="3" w:tplc="0409000F">
      <w:start w:val="1"/>
      <w:numFmt w:val="decimal"/>
      <w:lvlText w:val="%4."/>
      <w:lvlJc w:val="left"/>
      <w:pPr>
        <w:ind w:left="5100" w:hanging="420"/>
      </w:pPr>
      <w:rPr>
        <w:rFonts w:cs="Times New Roman"/>
      </w:rPr>
    </w:lvl>
    <w:lvl w:ilvl="4" w:tplc="04090019">
      <w:start w:val="1"/>
      <w:numFmt w:val="lowerLetter"/>
      <w:lvlText w:val="%5)"/>
      <w:lvlJc w:val="left"/>
      <w:pPr>
        <w:ind w:left="5520" w:hanging="420"/>
      </w:pPr>
      <w:rPr>
        <w:rFonts w:cs="Times New Roman"/>
      </w:rPr>
    </w:lvl>
    <w:lvl w:ilvl="5" w:tplc="0409001B">
      <w:start w:val="1"/>
      <w:numFmt w:val="lowerRoman"/>
      <w:lvlText w:val="%6."/>
      <w:lvlJc w:val="right"/>
      <w:pPr>
        <w:ind w:left="5940" w:hanging="420"/>
      </w:pPr>
      <w:rPr>
        <w:rFonts w:cs="Times New Roman"/>
      </w:rPr>
    </w:lvl>
    <w:lvl w:ilvl="6" w:tplc="0409000F">
      <w:start w:val="1"/>
      <w:numFmt w:val="decimal"/>
      <w:lvlText w:val="%7."/>
      <w:lvlJc w:val="left"/>
      <w:pPr>
        <w:ind w:left="6360" w:hanging="420"/>
      </w:pPr>
      <w:rPr>
        <w:rFonts w:cs="Times New Roman"/>
      </w:rPr>
    </w:lvl>
    <w:lvl w:ilvl="7" w:tplc="04090019">
      <w:start w:val="1"/>
      <w:numFmt w:val="lowerLetter"/>
      <w:lvlText w:val="%8)"/>
      <w:lvlJc w:val="left"/>
      <w:pPr>
        <w:ind w:left="6780" w:hanging="420"/>
      </w:pPr>
      <w:rPr>
        <w:rFonts w:cs="Times New Roman"/>
      </w:rPr>
    </w:lvl>
    <w:lvl w:ilvl="8" w:tplc="0409001B">
      <w:start w:val="1"/>
      <w:numFmt w:val="lowerRoman"/>
      <w:lvlText w:val="%9."/>
      <w:lvlJc w:val="right"/>
      <w:pPr>
        <w:ind w:left="7200" w:hanging="420"/>
      </w:pPr>
      <w:rPr>
        <w:rFonts w:cs="Times New Roman"/>
      </w:rPr>
    </w:lvl>
  </w:abstractNum>
  <w:abstractNum w:abstractNumId="8" w15:restartNumberingAfterBreak="0">
    <w:nsid w:val="7CD12D2C"/>
    <w:multiLevelType w:val="hybridMultilevel"/>
    <w:tmpl w:val="90021712"/>
    <w:lvl w:ilvl="0" w:tplc="A2AADF20">
      <w:start w:val="1"/>
      <w:numFmt w:val="chineseCountingThousand"/>
      <w:lvlText w:val="（%1）"/>
      <w:lvlJc w:val="left"/>
      <w:pPr>
        <w:ind w:left="2264" w:hanging="420"/>
      </w:pPr>
      <w:rPr>
        <w:rFonts w:cs="Times New Roman"/>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abstractNum w:abstractNumId="9" w15:restartNumberingAfterBreak="0">
    <w:nsid w:val="7DA15258"/>
    <w:multiLevelType w:val="hybridMultilevel"/>
    <w:tmpl w:val="6A8ABD70"/>
    <w:lvl w:ilvl="0" w:tplc="198A4582">
      <w:start w:val="1"/>
      <w:numFmt w:val="chineseCountingThousand"/>
      <w:lvlText w:val="（%1）"/>
      <w:lvlJc w:val="left"/>
      <w:pPr>
        <w:ind w:left="1697" w:hanging="420"/>
      </w:pPr>
      <w:rPr>
        <w:rFonts w:cs="Times New Roman"/>
        <w:lang w:val="en-US"/>
      </w:rPr>
    </w:lvl>
    <w:lvl w:ilvl="1" w:tplc="04090019">
      <w:start w:val="1"/>
      <w:numFmt w:val="lowerLetter"/>
      <w:lvlText w:val="%2)"/>
      <w:lvlJc w:val="left"/>
      <w:pPr>
        <w:ind w:left="1409" w:hanging="420"/>
      </w:pPr>
      <w:rPr>
        <w:rFonts w:cs="Times New Roman"/>
      </w:rPr>
    </w:lvl>
    <w:lvl w:ilvl="2" w:tplc="0409001B">
      <w:start w:val="1"/>
      <w:numFmt w:val="lowerRoman"/>
      <w:lvlText w:val="%3."/>
      <w:lvlJc w:val="right"/>
      <w:pPr>
        <w:ind w:left="1829" w:hanging="420"/>
      </w:pPr>
      <w:rPr>
        <w:rFonts w:cs="Times New Roman"/>
      </w:rPr>
    </w:lvl>
    <w:lvl w:ilvl="3" w:tplc="0409000F">
      <w:start w:val="1"/>
      <w:numFmt w:val="decimal"/>
      <w:lvlText w:val="%4."/>
      <w:lvlJc w:val="left"/>
      <w:pPr>
        <w:ind w:left="2249" w:hanging="420"/>
      </w:pPr>
      <w:rPr>
        <w:rFonts w:cs="Times New Roman"/>
      </w:rPr>
    </w:lvl>
    <w:lvl w:ilvl="4" w:tplc="04090019">
      <w:start w:val="1"/>
      <w:numFmt w:val="lowerLetter"/>
      <w:lvlText w:val="%5)"/>
      <w:lvlJc w:val="left"/>
      <w:pPr>
        <w:ind w:left="2669" w:hanging="420"/>
      </w:pPr>
      <w:rPr>
        <w:rFonts w:cs="Times New Roman"/>
      </w:rPr>
    </w:lvl>
    <w:lvl w:ilvl="5" w:tplc="0409001B">
      <w:start w:val="1"/>
      <w:numFmt w:val="lowerRoman"/>
      <w:lvlText w:val="%6."/>
      <w:lvlJc w:val="right"/>
      <w:pPr>
        <w:ind w:left="3089" w:hanging="420"/>
      </w:pPr>
      <w:rPr>
        <w:rFonts w:cs="Times New Roman"/>
      </w:rPr>
    </w:lvl>
    <w:lvl w:ilvl="6" w:tplc="0409000F">
      <w:start w:val="1"/>
      <w:numFmt w:val="decimal"/>
      <w:lvlText w:val="%7."/>
      <w:lvlJc w:val="left"/>
      <w:pPr>
        <w:ind w:left="3509" w:hanging="420"/>
      </w:pPr>
      <w:rPr>
        <w:rFonts w:cs="Times New Roman"/>
      </w:rPr>
    </w:lvl>
    <w:lvl w:ilvl="7" w:tplc="04090019">
      <w:start w:val="1"/>
      <w:numFmt w:val="lowerLetter"/>
      <w:lvlText w:val="%8)"/>
      <w:lvlJc w:val="left"/>
      <w:pPr>
        <w:ind w:left="3929" w:hanging="420"/>
      </w:pPr>
      <w:rPr>
        <w:rFonts w:cs="Times New Roman"/>
      </w:rPr>
    </w:lvl>
    <w:lvl w:ilvl="8" w:tplc="0409001B">
      <w:start w:val="1"/>
      <w:numFmt w:val="lowerRoman"/>
      <w:lvlText w:val="%9."/>
      <w:lvlJc w:val="right"/>
      <w:pPr>
        <w:ind w:left="4349" w:hanging="42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2D"/>
    <w:rsid w:val="007B1EC4"/>
    <w:rsid w:val="00824EA4"/>
    <w:rsid w:val="0087632D"/>
    <w:rsid w:val="00A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64240-7328-42F9-9653-22C4BD37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3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824EA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4EA4"/>
    <w:rPr>
      <w:rFonts w:ascii="Times New Roman" w:eastAsia="宋体" w:hAnsi="Times New Roman" w:cs="Times New Roman"/>
      <w:sz w:val="18"/>
      <w:szCs w:val="18"/>
    </w:rPr>
  </w:style>
  <w:style w:type="paragraph" w:styleId="a7">
    <w:name w:val="footer"/>
    <w:basedOn w:val="a"/>
    <w:link w:val="a8"/>
    <w:uiPriority w:val="99"/>
    <w:unhideWhenUsed/>
    <w:rsid w:val="00824EA4"/>
    <w:pPr>
      <w:tabs>
        <w:tab w:val="center" w:pos="4153"/>
        <w:tab w:val="right" w:pos="8306"/>
      </w:tabs>
      <w:snapToGrid w:val="0"/>
      <w:jc w:val="left"/>
    </w:pPr>
    <w:rPr>
      <w:sz w:val="18"/>
      <w:szCs w:val="18"/>
    </w:rPr>
  </w:style>
  <w:style w:type="character" w:customStyle="1" w:styleId="a8">
    <w:name w:val="页脚 字符"/>
    <w:basedOn w:val="a0"/>
    <w:link w:val="a7"/>
    <w:uiPriority w:val="99"/>
    <w:rsid w:val="00824E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2019-09-23T08:23:00Z</dcterms:created>
  <dcterms:modified xsi:type="dcterms:W3CDTF">2019-09-23T08:25:00Z</dcterms:modified>
</cp:coreProperties>
</file>