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C4" w:rsidRDefault="00280AC4" w:rsidP="00280AC4">
      <w:pPr>
        <w:pStyle w:val="a3"/>
        <w:shd w:val="clear" w:color="auto" w:fill="FFFFFF"/>
        <w:spacing w:before="150" w:beforeAutospacing="0" w:after="0" w:afterAutospacing="0" w:line="315" w:lineRule="atLeast"/>
        <w:ind w:firstLine="480"/>
        <w:jc w:val="center"/>
        <w:rPr>
          <w:b/>
          <w:color w:val="535353"/>
          <w:sz w:val="30"/>
          <w:szCs w:val="30"/>
        </w:rPr>
      </w:pPr>
      <w:r w:rsidRPr="0097645F">
        <w:rPr>
          <w:rFonts w:hint="eastAsia"/>
          <w:b/>
          <w:color w:val="535353"/>
          <w:sz w:val="30"/>
          <w:szCs w:val="30"/>
        </w:rPr>
        <w:t>焦煤</w:t>
      </w:r>
      <w:r w:rsidR="008973E5" w:rsidRPr="0097645F">
        <w:rPr>
          <w:rFonts w:hint="eastAsia"/>
          <w:b/>
          <w:color w:val="535353"/>
          <w:sz w:val="30"/>
          <w:szCs w:val="30"/>
        </w:rPr>
        <w:t>短期维持震荡，灵活</w:t>
      </w:r>
      <w:bookmarkStart w:id="0" w:name="_GoBack"/>
      <w:bookmarkEnd w:id="0"/>
      <w:r w:rsidR="008973E5" w:rsidRPr="0097645F">
        <w:rPr>
          <w:rFonts w:hint="eastAsia"/>
          <w:b/>
          <w:color w:val="535353"/>
          <w:sz w:val="30"/>
          <w:szCs w:val="30"/>
        </w:rPr>
        <w:t>操作</w:t>
      </w:r>
    </w:p>
    <w:p w:rsidR="000F60A8" w:rsidRPr="000F60A8" w:rsidRDefault="000F60A8" w:rsidP="00280AC4">
      <w:pPr>
        <w:pStyle w:val="a3"/>
        <w:shd w:val="clear" w:color="auto" w:fill="FFFFFF"/>
        <w:spacing w:before="150" w:beforeAutospacing="0" w:after="0" w:afterAutospacing="0" w:line="315" w:lineRule="atLeast"/>
        <w:ind w:firstLine="480"/>
        <w:jc w:val="center"/>
        <w:rPr>
          <w:b/>
          <w:color w:val="535353"/>
        </w:rPr>
      </w:pPr>
      <w:r>
        <w:rPr>
          <w:rFonts w:hint="eastAsia"/>
          <w:b/>
          <w:color w:val="535353"/>
          <w:sz w:val="30"/>
          <w:szCs w:val="30"/>
        </w:rPr>
        <w:t xml:space="preserve">             </w:t>
      </w:r>
      <w:r w:rsidRPr="000F60A8">
        <w:rPr>
          <w:rFonts w:hint="eastAsia"/>
          <w:b/>
          <w:color w:val="535353"/>
        </w:rPr>
        <w:t xml:space="preserve"> </w:t>
      </w:r>
      <w:r>
        <w:rPr>
          <w:rFonts w:hint="eastAsia"/>
          <w:b/>
          <w:color w:val="535353"/>
        </w:rPr>
        <w:t xml:space="preserve">                             </w:t>
      </w:r>
      <w:r w:rsidRPr="000F60A8">
        <w:rPr>
          <w:rFonts w:hint="eastAsia"/>
          <w:b/>
          <w:color w:val="535353"/>
        </w:rPr>
        <w:t xml:space="preserve">信达期货 韩飞 </w:t>
      </w:r>
    </w:p>
    <w:p w:rsidR="00280AC4" w:rsidRDefault="00280AC4" w:rsidP="00280AC4">
      <w:pPr>
        <w:pStyle w:val="a3"/>
        <w:shd w:val="clear" w:color="auto" w:fill="FFFFFF"/>
        <w:spacing w:before="150" w:beforeAutospacing="0" w:after="0" w:afterAutospacing="0" w:line="315" w:lineRule="atLeast"/>
        <w:ind w:firstLine="480"/>
        <w:jc w:val="both"/>
        <w:rPr>
          <w:color w:val="535353"/>
          <w:sz w:val="21"/>
          <w:szCs w:val="21"/>
        </w:rPr>
      </w:pPr>
      <w:r>
        <w:rPr>
          <w:rFonts w:hint="eastAsia"/>
          <w:color w:val="535353"/>
          <w:sz w:val="21"/>
          <w:szCs w:val="21"/>
        </w:rPr>
        <w:t>目前炼焦煤</w:t>
      </w:r>
      <w:r w:rsidR="008973E5">
        <w:rPr>
          <w:rFonts w:hint="eastAsia"/>
          <w:color w:val="535353"/>
          <w:sz w:val="21"/>
          <w:szCs w:val="21"/>
        </w:rPr>
        <w:t>现货</w:t>
      </w:r>
      <w:r>
        <w:rPr>
          <w:rFonts w:hint="eastAsia"/>
          <w:color w:val="535353"/>
          <w:sz w:val="21"/>
          <w:szCs w:val="21"/>
        </w:rPr>
        <w:t>市场整体</w:t>
      </w:r>
      <w:r w:rsidR="008973E5">
        <w:rPr>
          <w:rFonts w:hint="eastAsia"/>
          <w:color w:val="535353"/>
          <w:sz w:val="21"/>
          <w:szCs w:val="21"/>
        </w:rPr>
        <w:t>维稳</w:t>
      </w:r>
      <w:r>
        <w:rPr>
          <w:rFonts w:hint="eastAsia"/>
          <w:color w:val="535353"/>
          <w:sz w:val="21"/>
          <w:szCs w:val="21"/>
        </w:rPr>
        <w:t>，</w:t>
      </w:r>
      <w:r w:rsidR="008973E5">
        <w:rPr>
          <w:rFonts w:hint="eastAsia"/>
          <w:color w:val="535353"/>
          <w:sz w:val="21"/>
          <w:szCs w:val="21"/>
        </w:rPr>
        <w:t>期货盘面保持震荡</w:t>
      </w:r>
      <w:r>
        <w:rPr>
          <w:rFonts w:hint="eastAsia"/>
          <w:color w:val="535353"/>
          <w:sz w:val="21"/>
          <w:szCs w:val="21"/>
        </w:rPr>
        <w:t>。</w:t>
      </w:r>
      <w:r w:rsidR="008973E5">
        <w:rPr>
          <w:rFonts w:hint="eastAsia"/>
          <w:color w:val="535353"/>
          <w:sz w:val="21"/>
          <w:szCs w:val="21"/>
        </w:rPr>
        <w:t>从基本面数据来看，焦煤仍</w:t>
      </w:r>
      <w:r w:rsidR="005B59D6">
        <w:rPr>
          <w:rFonts w:hint="eastAsia"/>
          <w:color w:val="535353"/>
          <w:sz w:val="21"/>
          <w:szCs w:val="21"/>
        </w:rPr>
        <w:t>以偏弱行情为主</w:t>
      </w:r>
      <w:r w:rsidR="008973E5">
        <w:rPr>
          <w:rFonts w:hint="eastAsia"/>
          <w:color w:val="535353"/>
          <w:sz w:val="21"/>
          <w:szCs w:val="21"/>
        </w:rPr>
        <w:t>，</w:t>
      </w:r>
      <w:r w:rsidR="005B59D6">
        <w:rPr>
          <w:rFonts w:hint="eastAsia"/>
          <w:color w:val="535353"/>
          <w:sz w:val="21"/>
          <w:szCs w:val="21"/>
        </w:rPr>
        <w:t>近日央行降息利好焦煤价格</w:t>
      </w:r>
      <w:r w:rsidR="008973E5">
        <w:rPr>
          <w:rFonts w:hint="eastAsia"/>
          <w:color w:val="535353"/>
          <w:sz w:val="21"/>
          <w:szCs w:val="21"/>
        </w:rPr>
        <w:t>。</w:t>
      </w:r>
      <w:r w:rsidR="005B59D6">
        <w:rPr>
          <w:rFonts w:hint="eastAsia"/>
          <w:color w:val="535353"/>
          <w:sz w:val="21"/>
          <w:szCs w:val="21"/>
        </w:rPr>
        <w:t>目前多空因素交织，</w:t>
      </w:r>
      <w:r w:rsidR="008973E5">
        <w:rPr>
          <w:rFonts w:hint="eastAsia"/>
          <w:color w:val="535353"/>
          <w:sz w:val="21"/>
          <w:szCs w:val="21"/>
        </w:rPr>
        <w:t>综合考虑宏观面政策因素及基本面数据因素，</w:t>
      </w:r>
      <w:r w:rsidR="0097645F">
        <w:rPr>
          <w:rFonts w:hint="eastAsia"/>
          <w:color w:val="535353"/>
          <w:sz w:val="21"/>
          <w:szCs w:val="21"/>
        </w:rPr>
        <w:t>认为</w:t>
      </w:r>
      <w:r w:rsidR="005B59D6">
        <w:rPr>
          <w:rFonts w:hint="eastAsia"/>
          <w:color w:val="535353"/>
          <w:sz w:val="21"/>
          <w:szCs w:val="21"/>
        </w:rPr>
        <w:t>后期可依据降息累计效应及实际效果做出决策，</w:t>
      </w:r>
      <w:r w:rsidR="008973E5">
        <w:rPr>
          <w:rFonts w:hint="eastAsia"/>
          <w:color w:val="535353"/>
          <w:sz w:val="21"/>
          <w:szCs w:val="21"/>
        </w:rPr>
        <w:t>操作上可以参考在区间735-755内灵活操作。</w:t>
      </w:r>
    </w:p>
    <w:p w:rsidR="00461D41" w:rsidRPr="00461D41" w:rsidRDefault="005B59D6" w:rsidP="00D26885">
      <w:pPr>
        <w:pStyle w:val="a3"/>
        <w:shd w:val="clear" w:color="auto" w:fill="FFFFFF"/>
        <w:spacing w:before="150" w:beforeAutospacing="0" w:after="0" w:afterAutospacing="0" w:line="315" w:lineRule="atLeast"/>
        <w:ind w:firstLine="480"/>
        <w:jc w:val="both"/>
        <w:rPr>
          <w:color w:val="535353"/>
          <w:sz w:val="21"/>
          <w:szCs w:val="21"/>
        </w:rPr>
      </w:pPr>
      <w:r>
        <w:rPr>
          <w:rFonts w:hint="eastAsia"/>
          <w:color w:val="535353"/>
          <w:sz w:val="21"/>
          <w:szCs w:val="21"/>
        </w:rPr>
        <w:t>目前焦煤现货价格部分地区上调，主产区及港口价格企稳</w:t>
      </w:r>
      <w:r w:rsidR="0044469B" w:rsidRPr="00461D41">
        <w:rPr>
          <w:rFonts w:hint="eastAsia"/>
          <w:color w:val="535353"/>
          <w:sz w:val="21"/>
          <w:szCs w:val="21"/>
        </w:rPr>
        <w:t>。主焦煤山西产车板价880元/吨，安徽淮北产930元/吨，河南平顶山产920元/吨，京唐港澳洲煤A8.5G80S＜0.6V26-28京唐港澳洲焦煤平均报价805元/吨，折算到盘面焦煤价格为755元/吨。</w:t>
      </w:r>
    </w:p>
    <w:tbl>
      <w:tblPr>
        <w:tblW w:w="8358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8"/>
      </w:tblGrid>
      <w:tr w:rsidR="00461D41" w:rsidRPr="00461D41" w:rsidTr="00514431">
        <w:trPr>
          <w:trHeight w:val="169"/>
        </w:trPr>
        <w:tc>
          <w:tcPr>
            <w:tcW w:w="8358" w:type="dxa"/>
            <w:tcBorders>
              <w:top w:val="single" w:sz="4" w:space="0" w:color="FAFAFA"/>
              <w:left w:val="single" w:sz="4" w:space="0" w:color="FAFAFA"/>
              <w:bottom w:val="single" w:sz="2" w:space="0" w:color="646464"/>
              <w:right w:val="single" w:sz="4" w:space="0" w:color="FAFAFA"/>
            </w:tcBorders>
            <w:vAlign w:val="bottom"/>
          </w:tcPr>
          <w:p w:rsidR="00461D41" w:rsidRPr="00461D41" w:rsidRDefault="00461D41" w:rsidP="00514431">
            <w:pPr>
              <w:rPr>
                <w:rFonts w:ascii="微软雅黑" w:eastAsia="微软雅黑" w:cs="微软雅黑"/>
                <w:bCs/>
                <w:color w:val="003366"/>
                <w:kern w:val="0"/>
                <w:szCs w:val="21"/>
              </w:rPr>
            </w:pPr>
            <w:r w:rsidRPr="00461D41"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>图</w:t>
            </w:r>
            <w:r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>1</w:t>
            </w:r>
            <w:r w:rsidRPr="00461D41"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>.</w:t>
            </w:r>
            <w:r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>焦煤现货价格</w:t>
            </w:r>
            <w:r w:rsidRPr="00461D41"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 xml:space="preserve">            </w:t>
            </w:r>
            <w:r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 xml:space="preserve">                      </w:t>
            </w:r>
            <w:r w:rsidRPr="00461D41"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 xml:space="preserve">                   单位：万吨</w:t>
            </w:r>
          </w:p>
        </w:tc>
      </w:tr>
    </w:tbl>
    <w:p w:rsidR="00461D41" w:rsidRPr="00461D41" w:rsidRDefault="0038730F" w:rsidP="00461D41">
      <w:pPr>
        <w:rPr>
          <w:rFonts w:ascii="微软雅黑" w:eastAsia="微软雅黑" w:cs="微软雅黑"/>
          <w:bCs/>
          <w:color w:val="003366"/>
          <w:kern w:val="0"/>
          <w:szCs w:val="21"/>
        </w:rPr>
      </w:pPr>
      <w:r>
        <w:rPr>
          <w:noProof/>
          <w:color w:val="003366"/>
        </w:rPr>
        <w:drawing>
          <wp:inline distT="0" distB="0" distL="0" distR="0">
            <wp:extent cx="2768600" cy="19685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3366"/>
        </w:rPr>
        <w:drawing>
          <wp:inline distT="0" distB="0" distL="0" distR="0">
            <wp:extent cx="2501900" cy="21336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373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3"/>
      </w:tblGrid>
      <w:tr w:rsidR="00461D41" w:rsidRPr="00461D41" w:rsidTr="0038730F">
        <w:trPr>
          <w:trHeight w:val="165"/>
        </w:trPr>
        <w:tc>
          <w:tcPr>
            <w:tcW w:w="8373" w:type="dxa"/>
            <w:tcBorders>
              <w:top w:val="single" w:sz="2" w:space="0" w:color="646464"/>
              <w:left w:val="single" w:sz="4" w:space="0" w:color="FAFAFA"/>
              <w:bottom w:val="single" w:sz="4" w:space="0" w:color="FAFAFA"/>
              <w:right w:val="single" w:sz="4" w:space="0" w:color="FAFAFA"/>
            </w:tcBorders>
          </w:tcPr>
          <w:p w:rsidR="00461D41" w:rsidRPr="00461D41" w:rsidRDefault="00461D41" w:rsidP="00514431">
            <w:pPr>
              <w:rPr>
                <w:rFonts w:ascii="微软雅黑" w:eastAsia="微软雅黑" w:cs="微软雅黑"/>
                <w:bCs/>
                <w:color w:val="003366"/>
                <w:kern w:val="0"/>
                <w:szCs w:val="21"/>
              </w:rPr>
            </w:pPr>
            <w:r w:rsidRPr="00461D41"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>资料来源：WIND，信达期货研发中心</w:t>
            </w:r>
          </w:p>
        </w:tc>
      </w:tr>
    </w:tbl>
    <w:p w:rsidR="00461D41" w:rsidRPr="0038730F" w:rsidRDefault="00461D41" w:rsidP="0038730F">
      <w:pPr>
        <w:ind w:firstLineChars="200" w:firstLine="420"/>
        <w:rPr>
          <w:rFonts w:ascii="宋体" w:eastAsia="宋体" w:hAnsi="宋体" w:cs="宋体"/>
          <w:color w:val="535353"/>
          <w:kern w:val="0"/>
          <w:szCs w:val="21"/>
        </w:rPr>
      </w:pPr>
      <w:r w:rsidRPr="00461D41">
        <w:rPr>
          <w:rFonts w:ascii="宋体" w:eastAsia="宋体" w:hAnsi="宋体" w:cs="宋体" w:hint="eastAsia"/>
          <w:color w:val="535353"/>
          <w:kern w:val="0"/>
          <w:szCs w:val="21"/>
        </w:rPr>
        <w:t>供给层面，全国重点煤矿库存依然维持高位，</w:t>
      </w:r>
      <w:r w:rsidR="005B59D6" w:rsidRPr="005B59D6">
        <w:rPr>
          <w:rFonts w:ascii="宋体" w:eastAsia="宋体" w:hAnsi="宋体" w:cs="宋体" w:hint="eastAsia"/>
          <w:color w:val="535353"/>
          <w:kern w:val="0"/>
          <w:szCs w:val="21"/>
        </w:rPr>
        <w:t>产煤大省煤炭产量有所下滑</w:t>
      </w:r>
      <w:r w:rsidR="005B59D6">
        <w:rPr>
          <w:rFonts w:ascii="宋体" w:eastAsia="宋体" w:hAnsi="宋体" w:cs="宋体" w:hint="eastAsia"/>
          <w:color w:val="535353"/>
          <w:kern w:val="0"/>
          <w:szCs w:val="21"/>
        </w:rPr>
        <w:t>，</w:t>
      </w:r>
      <w:r w:rsidR="008B4262">
        <w:rPr>
          <w:rFonts w:ascii="宋体" w:eastAsia="宋体" w:hAnsi="宋体" w:cs="宋体" w:hint="eastAsia"/>
          <w:color w:val="535353"/>
          <w:kern w:val="0"/>
          <w:szCs w:val="21"/>
        </w:rPr>
        <w:t>9月份山西原煤产量7209.31</w:t>
      </w:r>
      <w:r w:rsidR="005B59D6">
        <w:rPr>
          <w:rFonts w:ascii="宋体" w:eastAsia="宋体" w:hAnsi="宋体" w:cs="宋体" w:hint="eastAsia"/>
          <w:color w:val="535353"/>
          <w:kern w:val="0"/>
          <w:szCs w:val="21"/>
        </w:rPr>
        <w:t>万吨，环比下降696.44</w:t>
      </w:r>
      <w:r w:rsidR="008B4262">
        <w:rPr>
          <w:rFonts w:ascii="宋体" w:eastAsia="宋体" w:hAnsi="宋体" w:cs="宋体" w:hint="eastAsia"/>
          <w:color w:val="535353"/>
          <w:kern w:val="0"/>
          <w:szCs w:val="21"/>
        </w:rPr>
        <w:t>。同期炼焦煤产量4830.18万吨，</w:t>
      </w:r>
      <w:hyperlink r:id="rId10" w:tgtFrame="_blank" w:history="1">
        <w:r w:rsidRPr="00461D41">
          <w:rPr>
            <w:rFonts w:ascii="宋体" w:eastAsia="宋体" w:hAnsi="宋体" w:cs="宋体" w:hint="eastAsia"/>
            <w:color w:val="535353"/>
          </w:rPr>
          <w:t>进口</w:t>
        </w:r>
      </w:hyperlink>
      <w:r w:rsidRPr="00461D41">
        <w:rPr>
          <w:rFonts w:ascii="宋体" w:eastAsia="宋体" w:hAnsi="宋体" w:cs="宋体" w:hint="eastAsia"/>
          <w:color w:val="535353"/>
          <w:kern w:val="0"/>
          <w:szCs w:val="21"/>
        </w:rPr>
        <w:t>量</w:t>
      </w:r>
      <w:r w:rsidR="008B4262">
        <w:rPr>
          <w:rFonts w:ascii="宋体" w:eastAsia="宋体" w:hAnsi="宋体" w:cs="宋体" w:hint="eastAsia"/>
          <w:color w:val="535353"/>
          <w:kern w:val="0"/>
          <w:szCs w:val="21"/>
        </w:rPr>
        <w:t>450.10万吨，环比增加明显，</w:t>
      </w:r>
      <w:proofErr w:type="gramStart"/>
      <w:r w:rsidR="008B4262">
        <w:rPr>
          <w:rFonts w:ascii="宋体" w:eastAsia="宋体" w:hAnsi="宋体" w:cs="宋体" w:hint="eastAsia"/>
          <w:color w:val="535353"/>
          <w:kern w:val="0"/>
          <w:szCs w:val="21"/>
        </w:rPr>
        <w:t>月度总</w:t>
      </w:r>
      <w:proofErr w:type="gramEnd"/>
      <w:r w:rsidR="008B4262">
        <w:rPr>
          <w:rFonts w:ascii="宋体" w:eastAsia="宋体" w:hAnsi="宋体" w:cs="宋体" w:hint="eastAsia"/>
          <w:color w:val="535353"/>
          <w:kern w:val="0"/>
          <w:szCs w:val="21"/>
        </w:rPr>
        <w:t>供给大于总需求</w:t>
      </w:r>
      <w:r w:rsidRPr="00461D41">
        <w:rPr>
          <w:rFonts w:ascii="宋体" w:eastAsia="宋体" w:hAnsi="宋体" w:cs="宋体" w:hint="eastAsia"/>
          <w:color w:val="535353"/>
          <w:kern w:val="0"/>
          <w:szCs w:val="21"/>
        </w:rPr>
        <w:t>，</w:t>
      </w:r>
      <w:r w:rsidR="00275AFA">
        <w:rPr>
          <w:rFonts w:ascii="宋体" w:eastAsia="宋体" w:hAnsi="宋体" w:cs="宋体" w:hint="eastAsia"/>
          <w:color w:val="535353"/>
          <w:kern w:val="0"/>
          <w:szCs w:val="21"/>
        </w:rPr>
        <w:t>目前</w:t>
      </w:r>
      <w:r w:rsidRPr="00461D41">
        <w:rPr>
          <w:rFonts w:ascii="宋体" w:eastAsia="宋体" w:hAnsi="宋体" w:cs="宋体" w:hint="eastAsia"/>
          <w:color w:val="535353"/>
          <w:kern w:val="0"/>
          <w:szCs w:val="21"/>
        </w:rPr>
        <w:t>供给端大幅收缩的情况依然难以见到</w:t>
      </w:r>
      <w:r w:rsidR="008B4262">
        <w:rPr>
          <w:rFonts w:ascii="宋体" w:eastAsia="宋体" w:hAnsi="宋体" w:cs="宋体" w:hint="eastAsia"/>
          <w:color w:val="535353"/>
          <w:kern w:val="0"/>
          <w:szCs w:val="21"/>
        </w:rPr>
        <w:t>。</w:t>
      </w:r>
    </w:p>
    <w:tbl>
      <w:tblPr>
        <w:tblW w:w="8358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3"/>
        <w:gridCol w:w="45"/>
      </w:tblGrid>
      <w:tr w:rsidR="00461D41" w:rsidRPr="00461D41" w:rsidTr="00514431">
        <w:trPr>
          <w:gridAfter w:val="1"/>
          <w:wAfter w:w="45" w:type="dxa"/>
          <w:trHeight w:val="169"/>
        </w:trPr>
        <w:tc>
          <w:tcPr>
            <w:tcW w:w="8358" w:type="dxa"/>
            <w:tcBorders>
              <w:top w:val="single" w:sz="4" w:space="0" w:color="FAFAFA"/>
              <w:left w:val="single" w:sz="4" w:space="0" w:color="FAFAFA"/>
              <w:bottom w:val="single" w:sz="2" w:space="0" w:color="646464"/>
              <w:right w:val="single" w:sz="4" w:space="0" w:color="FAFAFA"/>
            </w:tcBorders>
            <w:vAlign w:val="bottom"/>
          </w:tcPr>
          <w:p w:rsidR="00461D41" w:rsidRPr="00461D41" w:rsidRDefault="00461D41" w:rsidP="00461D41">
            <w:pPr>
              <w:rPr>
                <w:rFonts w:ascii="微软雅黑" w:eastAsia="微软雅黑" w:cs="微软雅黑"/>
                <w:bCs/>
                <w:color w:val="003366"/>
                <w:kern w:val="0"/>
                <w:szCs w:val="21"/>
              </w:rPr>
            </w:pPr>
            <w:r w:rsidRPr="00461D41"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>图</w:t>
            </w:r>
            <w:r w:rsidR="008B4262"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>2</w:t>
            </w:r>
            <w:r w:rsidRPr="00461D41"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 xml:space="preserve">.山西原煤产量             </w:t>
            </w:r>
            <w:r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 xml:space="preserve">                      </w:t>
            </w:r>
            <w:r w:rsidR="00275AFA"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 xml:space="preserve"> </w:t>
            </w:r>
            <w:r w:rsidRPr="00461D41"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 xml:space="preserve">                 单位：万吨</w:t>
            </w:r>
          </w:p>
        </w:tc>
      </w:tr>
      <w:tr w:rsidR="00461D41" w:rsidRPr="00461D41" w:rsidTr="00514431">
        <w:trPr>
          <w:trHeight w:val="226"/>
        </w:trPr>
        <w:tc>
          <w:tcPr>
            <w:tcW w:w="8403" w:type="dxa"/>
            <w:gridSpan w:val="2"/>
            <w:tcBorders>
              <w:top w:val="single" w:sz="2" w:space="0" w:color="646464"/>
              <w:left w:val="single" w:sz="4" w:space="0" w:color="FAFAFA"/>
              <w:bottom w:val="single" w:sz="4" w:space="0" w:color="FAFAFA"/>
              <w:right w:val="single" w:sz="4" w:space="0" w:color="FAFAFA"/>
            </w:tcBorders>
          </w:tcPr>
          <w:p w:rsidR="00275AFA" w:rsidRPr="00461D41" w:rsidRDefault="00275AFA" w:rsidP="00461D41">
            <w:pPr>
              <w:rPr>
                <w:rFonts w:ascii="微软雅黑" w:eastAsia="微软雅黑" w:cs="微软雅黑"/>
                <w:bCs/>
                <w:color w:val="003366"/>
                <w:kern w:val="0"/>
                <w:szCs w:val="21"/>
              </w:rPr>
            </w:pPr>
            <w:r>
              <w:rPr>
                <w:rFonts w:ascii="微软雅黑" w:eastAsia="微软雅黑" w:cs="微软雅黑"/>
                <w:bCs/>
                <w:noProof/>
                <w:color w:val="003366"/>
                <w:kern w:val="0"/>
                <w:szCs w:val="21"/>
              </w:rPr>
              <w:drawing>
                <wp:inline distT="0" distB="0" distL="0" distR="0" wp14:anchorId="63814A72">
                  <wp:extent cx="5295899" cy="2216150"/>
                  <wp:effectExtent l="0" t="0" r="63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6636" cy="22164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8373" w:type="dxa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373"/>
            </w:tblGrid>
            <w:tr w:rsidR="00275AFA" w:rsidRPr="00461D41" w:rsidTr="00514431">
              <w:trPr>
                <w:trHeight w:val="165"/>
              </w:trPr>
              <w:tc>
                <w:tcPr>
                  <w:tcW w:w="8373" w:type="dxa"/>
                  <w:tcBorders>
                    <w:top w:val="single" w:sz="2" w:space="0" w:color="646464"/>
                    <w:left w:val="single" w:sz="4" w:space="0" w:color="FAFAFA"/>
                    <w:bottom w:val="single" w:sz="4" w:space="0" w:color="FAFAFA"/>
                    <w:right w:val="single" w:sz="4" w:space="0" w:color="FAFAFA"/>
                  </w:tcBorders>
                </w:tcPr>
                <w:p w:rsidR="00275AFA" w:rsidRPr="00461D41" w:rsidRDefault="00275AFA" w:rsidP="00514431">
                  <w:pPr>
                    <w:rPr>
                      <w:rFonts w:ascii="微软雅黑" w:eastAsia="微软雅黑" w:cs="微软雅黑"/>
                      <w:bCs/>
                      <w:color w:val="003366"/>
                      <w:kern w:val="0"/>
                      <w:szCs w:val="21"/>
                    </w:rPr>
                  </w:pPr>
                  <w:r w:rsidRPr="00461D41">
                    <w:rPr>
                      <w:rFonts w:ascii="微软雅黑" w:eastAsia="微软雅黑" w:cs="微软雅黑" w:hint="eastAsia"/>
                      <w:bCs/>
                      <w:color w:val="003366"/>
                      <w:kern w:val="0"/>
                      <w:szCs w:val="21"/>
                    </w:rPr>
                    <w:lastRenderedPageBreak/>
                    <w:t>资料来源：WIND，信达期货研发中心</w:t>
                  </w:r>
                </w:p>
              </w:tc>
            </w:tr>
          </w:tbl>
          <w:p w:rsidR="00461D41" w:rsidRPr="00275AFA" w:rsidRDefault="00461D41" w:rsidP="00461D41">
            <w:pPr>
              <w:rPr>
                <w:rFonts w:ascii="微软雅黑" w:eastAsia="微软雅黑" w:cs="微软雅黑"/>
                <w:bCs/>
                <w:color w:val="003366"/>
                <w:kern w:val="0"/>
                <w:szCs w:val="21"/>
              </w:rPr>
            </w:pPr>
          </w:p>
        </w:tc>
      </w:tr>
    </w:tbl>
    <w:p w:rsidR="008B4262" w:rsidRPr="000F39A9" w:rsidRDefault="00461D41" w:rsidP="008B4262">
      <w:pPr>
        <w:ind w:firstLineChars="200" w:firstLine="420"/>
        <w:rPr>
          <w:rFonts w:ascii="宋体" w:eastAsia="宋体" w:hAnsi="宋体" w:cs="宋体"/>
          <w:color w:val="535353"/>
          <w:kern w:val="0"/>
          <w:szCs w:val="21"/>
        </w:rPr>
      </w:pPr>
      <w:r w:rsidRPr="000F39A9">
        <w:rPr>
          <w:rFonts w:ascii="宋体" w:eastAsia="宋体" w:hAnsi="宋体" w:cs="宋体" w:hint="eastAsia"/>
          <w:color w:val="535353"/>
          <w:kern w:val="0"/>
          <w:szCs w:val="21"/>
        </w:rPr>
        <w:lastRenderedPageBreak/>
        <w:t>需求层面，</w:t>
      </w:r>
      <w:r w:rsidR="00BB16A3">
        <w:rPr>
          <w:rFonts w:ascii="宋体" w:eastAsia="宋体" w:hAnsi="宋体" w:cs="宋体" w:hint="eastAsia"/>
          <w:color w:val="535353"/>
          <w:kern w:val="0"/>
          <w:szCs w:val="21"/>
        </w:rPr>
        <w:t>随着近期河北山东地区钢厂的复产，下游需求或有所转好</w:t>
      </w:r>
      <w:r w:rsidRPr="000F39A9">
        <w:rPr>
          <w:rFonts w:ascii="宋体" w:eastAsia="宋体" w:hAnsi="宋体" w:cs="宋体" w:hint="eastAsia"/>
          <w:color w:val="535353"/>
          <w:kern w:val="0"/>
          <w:szCs w:val="21"/>
        </w:rPr>
        <w:t>。</w:t>
      </w:r>
      <w:r w:rsidR="008B4262" w:rsidRPr="000F39A9">
        <w:rPr>
          <w:rFonts w:ascii="宋体" w:eastAsia="宋体" w:hAnsi="宋体" w:cs="宋体" w:hint="eastAsia"/>
          <w:color w:val="535353"/>
          <w:kern w:val="0"/>
          <w:szCs w:val="21"/>
        </w:rPr>
        <w:t>微观数据来看，</w:t>
      </w:r>
      <w:r w:rsidR="00E32D3E">
        <w:rPr>
          <w:rFonts w:ascii="宋体" w:eastAsia="宋体" w:hAnsi="宋体" w:cs="宋体" w:hint="eastAsia"/>
          <w:color w:val="535353"/>
          <w:kern w:val="0"/>
          <w:szCs w:val="21"/>
        </w:rPr>
        <w:t>全国最新开工率89.09%，环比增加4.7%，河北高炉开工率87.30%，环比增加11.11%，高炉开工率增幅明显；</w:t>
      </w:r>
      <w:r w:rsidR="008B4262" w:rsidRPr="000F39A9">
        <w:rPr>
          <w:rFonts w:ascii="宋体" w:eastAsia="宋体" w:hAnsi="宋体" w:cs="宋体" w:hint="eastAsia"/>
          <w:color w:val="535353"/>
          <w:kern w:val="0"/>
          <w:szCs w:val="21"/>
        </w:rPr>
        <w:t>截至11月上旬，重点</w:t>
      </w:r>
      <w:proofErr w:type="gramStart"/>
      <w:r w:rsidR="008B4262" w:rsidRPr="000F39A9">
        <w:rPr>
          <w:rFonts w:ascii="宋体" w:eastAsia="宋体" w:hAnsi="宋体" w:cs="宋体" w:hint="eastAsia"/>
          <w:color w:val="535353"/>
          <w:kern w:val="0"/>
          <w:szCs w:val="21"/>
        </w:rPr>
        <w:t>钢企粗钢日均</w:t>
      </w:r>
      <w:proofErr w:type="gramEnd"/>
      <w:r w:rsidR="008B4262" w:rsidRPr="000F39A9">
        <w:rPr>
          <w:rFonts w:ascii="宋体" w:eastAsia="宋体" w:hAnsi="宋体" w:cs="宋体" w:hint="eastAsia"/>
          <w:color w:val="535353"/>
          <w:kern w:val="0"/>
          <w:szCs w:val="21"/>
        </w:rPr>
        <w:t>产量为163.49万吨,环比增加0.21%。粗钢产量较前期</w:t>
      </w:r>
      <w:r w:rsidR="00BB16A3">
        <w:rPr>
          <w:rFonts w:ascii="宋体" w:eastAsia="宋体" w:hAnsi="宋体" w:cs="宋体" w:hint="eastAsia"/>
          <w:color w:val="535353"/>
          <w:kern w:val="0"/>
          <w:szCs w:val="21"/>
        </w:rPr>
        <w:t>有所回升</w:t>
      </w:r>
      <w:r w:rsidR="006244DE" w:rsidRPr="000F39A9">
        <w:rPr>
          <w:rFonts w:ascii="宋体" w:eastAsia="宋体" w:hAnsi="宋体" w:cs="宋体" w:hint="eastAsia"/>
          <w:color w:val="535353"/>
          <w:kern w:val="0"/>
          <w:szCs w:val="21"/>
        </w:rPr>
        <w:t>。</w:t>
      </w:r>
    </w:p>
    <w:tbl>
      <w:tblPr>
        <w:tblW w:w="8358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3"/>
        <w:gridCol w:w="45"/>
      </w:tblGrid>
      <w:tr w:rsidR="006244DE" w:rsidRPr="00461D41" w:rsidTr="00514431">
        <w:trPr>
          <w:gridAfter w:val="1"/>
          <w:wAfter w:w="45" w:type="dxa"/>
          <w:trHeight w:val="169"/>
        </w:trPr>
        <w:tc>
          <w:tcPr>
            <w:tcW w:w="8358" w:type="dxa"/>
            <w:tcBorders>
              <w:top w:val="single" w:sz="4" w:space="0" w:color="FAFAFA"/>
              <w:left w:val="single" w:sz="4" w:space="0" w:color="FAFAFA"/>
              <w:bottom w:val="single" w:sz="2" w:space="0" w:color="646464"/>
              <w:right w:val="single" w:sz="4" w:space="0" w:color="FAFAFA"/>
            </w:tcBorders>
            <w:vAlign w:val="bottom"/>
          </w:tcPr>
          <w:p w:rsidR="006244DE" w:rsidRPr="00461D41" w:rsidRDefault="006244DE" w:rsidP="00514431">
            <w:pPr>
              <w:rPr>
                <w:rFonts w:ascii="微软雅黑" w:eastAsia="微软雅黑" w:cs="微软雅黑"/>
                <w:bCs/>
                <w:color w:val="003366"/>
                <w:kern w:val="0"/>
                <w:szCs w:val="21"/>
              </w:rPr>
            </w:pPr>
            <w:r w:rsidRPr="00461D41"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>图</w:t>
            </w:r>
            <w:r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>3</w:t>
            </w:r>
            <w:r w:rsidRPr="00461D41"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>.</w:t>
            </w:r>
            <w:r w:rsidR="00E32D3E"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>高炉开工率</w:t>
            </w:r>
            <w:r w:rsidRPr="00461D41"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 xml:space="preserve">            </w:t>
            </w:r>
            <w:r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 xml:space="preserve">                      </w:t>
            </w:r>
            <w:r w:rsidR="000F39A9"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 xml:space="preserve">   </w:t>
            </w:r>
            <w:r w:rsidRPr="00461D41"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 xml:space="preserve">              </w:t>
            </w:r>
            <w:r w:rsidR="00E32D3E"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 xml:space="preserve">      </w:t>
            </w:r>
            <w:r w:rsidRPr="00461D41"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>单位：</w:t>
            </w:r>
            <w:r w:rsidR="00E32D3E"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>%</w:t>
            </w:r>
          </w:p>
        </w:tc>
      </w:tr>
      <w:tr w:rsidR="006244DE" w:rsidRPr="00461D41" w:rsidTr="00514431">
        <w:trPr>
          <w:trHeight w:val="226"/>
        </w:trPr>
        <w:tc>
          <w:tcPr>
            <w:tcW w:w="8403" w:type="dxa"/>
            <w:gridSpan w:val="2"/>
            <w:tcBorders>
              <w:top w:val="single" w:sz="2" w:space="0" w:color="646464"/>
              <w:left w:val="single" w:sz="4" w:space="0" w:color="FAFAFA"/>
              <w:bottom w:val="single" w:sz="4" w:space="0" w:color="FAFAFA"/>
              <w:right w:val="single" w:sz="4" w:space="0" w:color="FAFAFA"/>
            </w:tcBorders>
          </w:tcPr>
          <w:tbl>
            <w:tblPr>
              <w:tblW w:w="8403" w:type="dxa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403"/>
            </w:tblGrid>
            <w:tr w:rsidR="000F39A9" w:rsidRPr="00461D41" w:rsidTr="00514431">
              <w:trPr>
                <w:trHeight w:val="226"/>
              </w:trPr>
              <w:tc>
                <w:tcPr>
                  <w:tcW w:w="8403" w:type="dxa"/>
                  <w:tcBorders>
                    <w:top w:val="single" w:sz="2" w:space="0" w:color="646464"/>
                    <w:left w:val="single" w:sz="4" w:space="0" w:color="FAFAFA"/>
                    <w:bottom w:val="single" w:sz="4" w:space="0" w:color="FAFAFA"/>
                    <w:right w:val="single" w:sz="4" w:space="0" w:color="FAFAFA"/>
                  </w:tcBorders>
                </w:tcPr>
                <w:p w:rsidR="00E32D3E" w:rsidRPr="00461D41" w:rsidRDefault="00BB16A3" w:rsidP="00514431">
                  <w:pPr>
                    <w:rPr>
                      <w:rFonts w:ascii="微软雅黑" w:eastAsia="微软雅黑" w:cs="微软雅黑"/>
                      <w:bCs/>
                      <w:color w:val="00336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cs="微软雅黑"/>
                      <w:bCs/>
                      <w:noProof/>
                      <w:color w:val="003366"/>
                      <w:kern w:val="0"/>
                      <w:szCs w:val="21"/>
                    </w:rPr>
                    <w:drawing>
                      <wp:inline distT="0" distB="0" distL="0" distR="0" wp14:anchorId="186AECE8">
                        <wp:extent cx="5251450" cy="2743200"/>
                        <wp:effectExtent l="0" t="0" r="6350" b="0"/>
                        <wp:docPr id="3" name="图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51450" cy="27432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8373" w:type="dxa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373"/>
                  </w:tblGrid>
                  <w:tr w:rsidR="00E32D3E" w:rsidRPr="00461D41" w:rsidTr="00514431">
                    <w:trPr>
                      <w:trHeight w:val="165"/>
                    </w:trPr>
                    <w:tc>
                      <w:tcPr>
                        <w:tcW w:w="8373" w:type="dxa"/>
                        <w:tcBorders>
                          <w:top w:val="single" w:sz="2" w:space="0" w:color="646464"/>
                          <w:left w:val="single" w:sz="4" w:space="0" w:color="FAFAFA"/>
                          <w:bottom w:val="single" w:sz="4" w:space="0" w:color="FAFAFA"/>
                          <w:right w:val="single" w:sz="4" w:space="0" w:color="FAFAFA"/>
                        </w:tcBorders>
                      </w:tcPr>
                      <w:p w:rsidR="00E32D3E" w:rsidRPr="00461D41" w:rsidRDefault="00E32D3E" w:rsidP="00514431">
                        <w:pPr>
                          <w:rPr>
                            <w:rFonts w:ascii="微软雅黑" w:eastAsia="微软雅黑" w:cs="微软雅黑"/>
                            <w:bCs/>
                            <w:color w:val="003366"/>
                            <w:kern w:val="0"/>
                            <w:szCs w:val="21"/>
                          </w:rPr>
                        </w:pPr>
                        <w:r w:rsidRPr="00461D41">
                          <w:rPr>
                            <w:rFonts w:ascii="微软雅黑" w:eastAsia="微软雅黑" w:cs="微软雅黑" w:hint="eastAsia"/>
                            <w:bCs/>
                            <w:color w:val="003366"/>
                            <w:kern w:val="0"/>
                            <w:szCs w:val="21"/>
                          </w:rPr>
                          <w:t>资料来源：WIND，信达期货研发中心</w:t>
                        </w:r>
                      </w:p>
                    </w:tc>
                  </w:tr>
                </w:tbl>
                <w:p w:rsidR="000F39A9" w:rsidRPr="00E32D3E" w:rsidRDefault="000F39A9" w:rsidP="00514431">
                  <w:pPr>
                    <w:rPr>
                      <w:rFonts w:ascii="微软雅黑" w:eastAsia="微软雅黑" w:cs="微软雅黑"/>
                      <w:bCs/>
                      <w:color w:val="003366"/>
                      <w:kern w:val="0"/>
                      <w:szCs w:val="21"/>
                    </w:rPr>
                  </w:pPr>
                </w:p>
              </w:tc>
            </w:tr>
          </w:tbl>
          <w:p w:rsidR="006244DE" w:rsidRPr="00461D41" w:rsidRDefault="006244DE" w:rsidP="00514431">
            <w:pPr>
              <w:rPr>
                <w:rFonts w:ascii="微软雅黑" w:eastAsia="微软雅黑" w:cs="微软雅黑"/>
                <w:bCs/>
                <w:color w:val="003366"/>
                <w:kern w:val="0"/>
                <w:szCs w:val="21"/>
              </w:rPr>
            </w:pPr>
          </w:p>
        </w:tc>
      </w:tr>
    </w:tbl>
    <w:p w:rsidR="000F39A9" w:rsidRPr="000F39A9" w:rsidRDefault="000F39A9" w:rsidP="000F39A9">
      <w:pPr>
        <w:ind w:firstLineChars="200" w:firstLine="420"/>
        <w:rPr>
          <w:rFonts w:ascii="宋体" w:eastAsia="宋体" w:hAnsi="宋体" w:cs="宋体"/>
          <w:color w:val="535353"/>
          <w:kern w:val="0"/>
          <w:szCs w:val="21"/>
        </w:rPr>
      </w:pPr>
      <w:r w:rsidRPr="000F39A9">
        <w:rPr>
          <w:rFonts w:ascii="宋体" w:eastAsia="宋体" w:hAnsi="宋体" w:cs="宋体" w:hint="eastAsia"/>
          <w:color w:val="535353"/>
          <w:kern w:val="0"/>
          <w:szCs w:val="21"/>
        </w:rPr>
        <w:t>下游焦化企业</w:t>
      </w:r>
      <w:r w:rsidR="004502C9">
        <w:rPr>
          <w:rFonts w:ascii="宋体" w:eastAsia="宋体" w:hAnsi="宋体" w:cs="宋体" w:hint="eastAsia"/>
          <w:color w:val="535353"/>
          <w:kern w:val="0"/>
          <w:szCs w:val="21"/>
        </w:rPr>
        <w:t>开工率方面，前期APEC会议限产，</w:t>
      </w:r>
      <w:proofErr w:type="gramStart"/>
      <w:r w:rsidR="004502C9">
        <w:rPr>
          <w:rFonts w:ascii="宋体" w:eastAsia="宋体" w:hAnsi="宋体" w:cs="宋体" w:hint="eastAsia"/>
          <w:color w:val="535353"/>
          <w:kern w:val="0"/>
          <w:szCs w:val="21"/>
        </w:rPr>
        <w:t>焦企开工率</w:t>
      </w:r>
      <w:proofErr w:type="gramEnd"/>
      <w:r w:rsidR="004502C9">
        <w:rPr>
          <w:rFonts w:ascii="宋体" w:eastAsia="宋体" w:hAnsi="宋体" w:cs="宋体" w:hint="eastAsia"/>
          <w:color w:val="535353"/>
          <w:kern w:val="0"/>
          <w:szCs w:val="21"/>
        </w:rPr>
        <w:t>迅速下滑。最新开工率数据，</w:t>
      </w:r>
      <w:r w:rsidRPr="000F39A9">
        <w:rPr>
          <w:rFonts w:ascii="宋体" w:eastAsia="宋体" w:hAnsi="宋体" w:cs="宋体" w:hint="eastAsia"/>
          <w:color w:val="535353"/>
          <w:kern w:val="0"/>
          <w:szCs w:val="21"/>
        </w:rPr>
        <w:t>产能&lt;100万吨、产能100-200万吨、产能&gt;200万吨最新开工率分别为72%、75%、83%，中小焦化企业开工率略有回升</w:t>
      </w:r>
      <w:r w:rsidR="004502C9">
        <w:rPr>
          <w:rFonts w:ascii="宋体" w:eastAsia="宋体" w:hAnsi="宋体" w:cs="宋体" w:hint="eastAsia"/>
          <w:color w:val="535353"/>
          <w:kern w:val="0"/>
          <w:szCs w:val="21"/>
        </w:rPr>
        <w:t>，</w:t>
      </w:r>
      <w:proofErr w:type="gramStart"/>
      <w:r w:rsidR="00275AFA">
        <w:rPr>
          <w:rFonts w:ascii="宋体" w:eastAsia="宋体" w:hAnsi="宋体" w:cs="宋体" w:hint="eastAsia"/>
          <w:color w:val="535353"/>
          <w:kern w:val="0"/>
          <w:szCs w:val="21"/>
        </w:rPr>
        <w:t>焦企开工率</w:t>
      </w:r>
      <w:proofErr w:type="gramEnd"/>
      <w:r w:rsidR="00275AFA">
        <w:rPr>
          <w:rFonts w:ascii="宋体" w:eastAsia="宋体" w:hAnsi="宋体" w:cs="宋体" w:hint="eastAsia"/>
          <w:color w:val="535353"/>
          <w:kern w:val="0"/>
          <w:szCs w:val="21"/>
        </w:rPr>
        <w:t>的回升有助于焦煤价格</w:t>
      </w:r>
      <w:r w:rsidR="0097645F">
        <w:rPr>
          <w:rFonts w:ascii="宋体" w:eastAsia="宋体" w:hAnsi="宋体" w:cs="宋体" w:hint="eastAsia"/>
          <w:color w:val="535353"/>
          <w:kern w:val="0"/>
          <w:szCs w:val="21"/>
        </w:rPr>
        <w:t>维</w:t>
      </w:r>
      <w:r w:rsidR="00275AFA">
        <w:rPr>
          <w:rFonts w:ascii="宋体" w:eastAsia="宋体" w:hAnsi="宋体" w:cs="宋体" w:hint="eastAsia"/>
          <w:color w:val="535353"/>
          <w:kern w:val="0"/>
          <w:szCs w:val="21"/>
        </w:rPr>
        <w:t>稳</w:t>
      </w:r>
      <w:r w:rsidRPr="000F39A9">
        <w:rPr>
          <w:rFonts w:ascii="宋体" w:eastAsia="宋体" w:hAnsi="宋体" w:cs="宋体" w:hint="eastAsia"/>
          <w:color w:val="535353"/>
          <w:kern w:val="0"/>
          <w:szCs w:val="21"/>
        </w:rPr>
        <w:t>。</w:t>
      </w:r>
      <w:r w:rsidRPr="000F39A9">
        <w:rPr>
          <w:rFonts w:ascii="宋体" w:eastAsia="宋体" w:hAnsi="宋体" w:cs="宋体"/>
          <w:color w:val="535353"/>
          <w:kern w:val="0"/>
          <w:szCs w:val="21"/>
        </w:rPr>
        <w:t xml:space="preserve"> </w:t>
      </w:r>
    </w:p>
    <w:tbl>
      <w:tblPr>
        <w:tblW w:w="8358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3"/>
        <w:gridCol w:w="45"/>
      </w:tblGrid>
      <w:tr w:rsidR="000F39A9" w:rsidRPr="00461D41" w:rsidTr="00514431">
        <w:trPr>
          <w:gridAfter w:val="1"/>
          <w:wAfter w:w="45" w:type="dxa"/>
          <w:trHeight w:val="169"/>
        </w:trPr>
        <w:tc>
          <w:tcPr>
            <w:tcW w:w="8358" w:type="dxa"/>
            <w:tcBorders>
              <w:top w:val="single" w:sz="4" w:space="0" w:color="FAFAFA"/>
              <w:left w:val="single" w:sz="4" w:space="0" w:color="FAFAFA"/>
              <w:bottom w:val="single" w:sz="2" w:space="0" w:color="646464"/>
              <w:right w:val="single" w:sz="4" w:space="0" w:color="FAFAFA"/>
            </w:tcBorders>
            <w:vAlign w:val="bottom"/>
          </w:tcPr>
          <w:p w:rsidR="000F39A9" w:rsidRPr="00461D41" w:rsidRDefault="000F39A9" w:rsidP="000F39A9">
            <w:pPr>
              <w:rPr>
                <w:rFonts w:ascii="微软雅黑" w:eastAsia="微软雅黑" w:cs="微软雅黑"/>
                <w:bCs/>
                <w:color w:val="003366"/>
                <w:kern w:val="0"/>
                <w:szCs w:val="21"/>
              </w:rPr>
            </w:pPr>
            <w:r w:rsidRPr="00461D41"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>图</w:t>
            </w:r>
            <w:r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>4</w:t>
            </w:r>
            <w:r w:rsidRPr="00461D41"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>.</w:t>
            </w:r>
            <w:proofErr w:type="gramStart"/>
            <w:r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>焦企产能</w:t>
            </w:r>
            <w:proofErr w:type="gramEnd"/>
            <w:r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>利用率</w:t>
            </w:r>
            <w:r w:rsidRPr="00461D41"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 xml:space="preserve">             </w:t>
            </w:r>
            <w:r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 xml:space="preserve">                        </w:t>
            </w:r>
            <w:r w:rsidRPr="00461D41"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 xml:space="preserve">              单位：</w:t>
            </w:r>
            <w:r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>%</w:t>
            </w:r>
            <w:r w:rsidRPr="00461D41">
              <w:rPr>
                <w:rFonts w:ascii="微软雅黑" w:eastAsia="微软雅黑" w:cs="微软雅黑"/>
                <w:bCs/>
                <w:color w:val="003366"/>
                <w:kern w:val="0"/>
                <w:szCs w:val="21"/>
              </w:rPr>
              <w:t xml:space="preserve"> </w:t>
            </w:r>
          </w:p>
        </w:tc>
      </w:tr>
      <w:tr w:rsidR="000F39A9" w:rsidRPr="00461D41" w:rsidTr="00514431">
        <w:trPr>
          <w:trHeight w:val="226"/>
        </w:trPr>
        <w:tc>
          <w:tcPr>
            <w:tcW w:w="8403" w:type="dxa"/>
            <w:gridSpan w:val="2"/>
            <w:tcBorders>
              <w:top w:val="single" w:sz="2" w:space="0" w:color="646464"/>
              <w:left w:val="single" w:sz="4" w:space="0" w:color="FAFAFA"/>
              <w:bottom w:val="single" w:sz="4" w:space="0" w:color="FAFAFA"/>
              <w:right w:val="single" w:sz="4" w:space="0" w:color="FAFAFA"/>
            </w:tcBorders>
          </w:tcPr>
          <w:tbl>
            <w:tblPr>
              <w:tblW w:w="8403" w:type="dxa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403"/>
            </w:tblGrid>
            <w:tr w:rsidR="000F39A9" w:rsidRPr="00461D41" w:rsidTr="00514431">
              <w:trPr>
                <w:trHeight w:val="226"/>
              </w:trPr>
              <w:tc>
                <w:tcPr>
                  <w:tcW w:w="8403" w:type="dxa"/>
                  <w:tcBorders>
                    <w:top w:val="single" w:sz="2" w:space="0" w:color="646464"/>
                    <w:left w:val="single" w:sz="4" w:space="0" w:color="FAFAFA"/>
                    <w:bottom w:val="single" w:sz="4" w:space="0" w:color="FAFAFA"/>
                    <w:right w:val="single" w:sz="4" w:space="0" w:color="FAFAFA"/>
                  </w:tcBorders>
                </w:tcPr>
                <w:p w:rsidR="004502C9" w:rsidRPr="000F39A9" w:rsidRDefault="004502C9" w:rsidP="00514431">
                  <w:pPr>
                    <w:rPr>
                      <w:rFonts w:ascii="微软雅黑" w:eastAsia="微软雅黑" w:cs="微软雅黑"/>
                      <w:bCs/>
                      <w:color w:val="003366"/>
                      <w:kern w:val="0"/>
                      <w:szCs w:val="21"/>
                    </w:rPr>
                  </w:pPr>
                  <w:r>
                    <w:rPr>
                      <w:rFonts w:ascii="微软雅黑" w:eastAsia="微软雅黑" w:cs="微软雅黑"/>
                      <w:bCs/>
                      <w:noProof/>
                      <w:color w:val="003366"/>
                      <w:kern w:val="0"/>
                      <w:szCs w:val="21"/>
                    </w:rPr>
                    <w:drawing>
                      <wp:inline distT="0" distB="0" distL="0" distR="0" wp14:anchorId="49888DEF">
                        <wp:extent cx="5321300" cy="2222500"/>
                        <wp:effectExtent l="0" t="0" r="0" b="6350"/>
                        <wp:docPr id="16" name="图片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20610" cy="222221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8403" w:type="dxa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403"/>
                  </w:tblGrid>
                  <w:tr w:rsidR="004502C9" w:rsidRPr="00461D41" w:rsidTr="00514431">
                    <w:trPr>
                      <w:trHeight w:val="226"/>
                    </w:trPr>
                    <w:tc>
                      <w:tcPr>
                        <w:tcW w:w="8403" w:type="dxa"/>
                        <w:tcBorders>
                          <w:top w:val="single" w:sz="2" w:space="0" w:color="646464"/>
                          <w:left w:val="single" w:sz="4" w:space="0" w:color="FAFAFA"/>
                          <w:bottom w:val="single" w:sz="4" w:space="0" w:color="FAFAFA"/>
                          <w:right w:val="single" w:sz="4" w:space="0" w:color="FAFAFA"/>
                        </w:tcBorders>
                      </w:tcPr>
                      <w:p w:rsidR="004502C9" w:rsidRPr="00461D41" w:rsidRDefault="004502C9" w:rsidP="00514431">
                        <w:pPr>
                          <w:rPr>
                            <w:rFonts w:ascii="微软雅黑" w:eastAsia="微软雅黑" w:cs="微软雅黑"/>
                            <w:bCs/>
                            <w:color w:val="003366"/>
                            <w:kern w:val="0"/>
                            <w:szCs w:val="21"/>
                          </w:rPr>
                        </w:pPr>
                        <w:r w:rsidRPr="00461D41">
                          <w:rPr>
                            <w:rFonts w:ascii="微软雅黑" w:eastAsia="微软雅黑" w:cs="微软雅黑" w:hint="eastAsia"/>
                            <w:bCs/>
                            <w:color w:val="003366"/>
                            <w:kern w:val="0"/>
                            <w:szCs w:val="21"/>
                          </w:rPr>
                          <w:t>资料来源：WIND，信达期货研发中心</w:t>
                        </w:r>
                      </w:p>
                    </w:tc>
                  </w:tr>
                </w:tbl>
                <w:p w:rsidR="000F39A9" w:rsidRPr="00461D41" w:rsidRDefault="000F39A9" w:rsidP="00514431">
                  <w:pPr>
                    <w:rPr>
                      <w:rFonts w:ascii="微软雅黑" w:eastAsia="微软雅黑" w:cs="微软雅黑"/>
                      <w:bCs/>
                      <w:color w:val="003366"/>
                      <w:kern w:val="0"/>
                      <w:szCs w:val="21"/>
                    </w:rPr>
                  </w:pPr>
                </w:p>
              </w:tc>
            </w:tr>
          </w:tbl>
          <w:p w:rsidR="000F39A9" w:rsidRPr="00461D41" w:rsidRDefault="000F39A9" w:rsidP="00514431">
            <w:pPr>
              <w:rPr>
                <w:rFonts w:ascii="微软雅黑" w:eastAsia="微软雅黑" w:cs="微软雅黑"/>
                <w:bCs/>
                <w:color w:val="003366"/>
                <w:kern w:val="0"/>
                <w:szCs w:val="21"/>
              </w:rPr>
            </w:pPr>
          </w:p>
        </w:tc>
      </w:tr>
    </w:tbl>
    <w:p w:rsidR="00F56147" w:rsidRPr="00F56147" w:rsidRDefault="00F56147" w:rsidP="00F56147">
      <w:pPr>
        <w:ind w:firstLineChars="200" w:firstLine="420"/>
        <w:rPr>
          <w:rFonts w:ascii="宋体" w:eastAsia="宋体" w:hAnsi="宋体" w:cs="宋体"/>
          <w:color w:val="535353"/>
          <w:kern w:val="0"/>
          <w:szCs w:val="21"/>
        </w:rPr>
      </w:pPr>
      <w:r w:rsidRPr="00F56147">
        <w:rPr>
          <w:rFonts w:ascii="宋体" w:eastAsia="宋体" w:hAnsi="宋体" w:cs="宋体" w:hint="eastAsia"/>
          <w:color w:val="535353"/>
          <w:kern w:val="0"/>
          <w:szCs w:val="21"/>
        </w:rPr>
        <w:t>从库存数据来看，</w:t>
      </w:r>
      <w:r w:rsidRPr="00F56147">
        <w:rPr>
          <w:rFonts w:ascii="宋体" w:eastAsia="宋体" w:hAnsi="宋体" w:cs="宋体"/>
          <w:color w:val="535353"/>
          <w:kern w:val="0"/>
          <w:szCs w:val="21"/>
        </w:rPr>
        <w:t>山西各大型煤</w:t>
      </w:r>
      <w:proofErr w:type="gramStart"/>
      <w:r w:rsidRPr="00F56147">
        <w:rPr>
          <w:rFonts w:ascii="宋体" w:eastAsia="宋体" w:hAnsi="宋体" w:cs="宋体"/>
          <w:color w:val="535353"/>
          <w:kern w:val="0"/>
          <w:szCs w:val="21"/>
        </w:rPr>
        <w:t>企基本</w:t>
      </w:r>
      <w:proofErr w:type="gramEnd"/>
      <w:r w:rsidRPr="00F56147">
        <w:rPr>
          <w:rFonts w:ascii="宋体" w:eastAsia="宋体" w:hAnsi="宋体" w:cs="宋体"/>
          <w:color w:val="535353"/>
          <w:kern w:val="0"/>
          <w:szCs w:val="21"/>
        </w:rPr>
        <w:t>运营正常，</w:t>
      </w:r>
      <w:r w:rsidRPr="00F56147">
        <w:rPr>
          <w:rFonts w:ascii="宋体" w:eastAsia="宋体" w:hAnsi="宋体" w:cs="宋体" w:hint="eastAsia"/>
          <w:color w:val="535353"/>
          <w:kern w:val="0"/>
          <w:szCs w:val="21"/>
        </w:rPr>
        <w:t>山西焦煤最新库存为153.10万吨，5</w:t>
      </w:r>
      <w:r w:rsidRPr="00F56147">
        <w:rPr>
          <w:rFonts w:ascii="宋体" w:eastAsia="宋体" w:hAnsi="宋体" w:cs="宋体" w:hint="eastAsia"/>
          <w:color w:val="535353"/>
          <w:kern w:val="0"/>
          <w:szCs w:val="21"/>
        </w:rPr>
        <w:lastRenderedPageBreak/>
        <w:t>日平均库存为166.97万吨。港口库存方面，截至11月14日，北方四港焦煤库存为318.7万吨，近期焦煤港口库存持续走低</w:t>
      </w:r>
      <w:r>
        <w:rPr>
          <w:rFonts w:ascii="宋体" w:eastAsia="宋体" w:hAnsi="宋体" w:cs="宋体" w:hint="eastAsia"/>
          <w:color w:val="535353"/>
          <w:kern w:val="0"/>
          <w:szCs w:val="21"/>
        </w:rPr>
        <w:t>。</w:t>
      </w:r>
      <w:r w:rsidRPr="00F56147">
        <w:rPr>
          <w:rFonts w:ascii="宋体" w:eastAsia="宋体" w:hAnsi="宋体" w:cs="宋体" w:hint="eastAsia"/>
          <w:color w:val="535353"/>
          <w:kern w:val="0"/>
          <w:szCs w:val="21"/>
        </w:rPr>
        <w:t>下游国内样本钢厂及</w:t>
      </w:r>
      <w:proofErr w:type="gramStart"/>
      <w:r w:rsidRPr="00F56147">
        <w:rPr>
          <w:rFonts w:ascii="宋体" w:eastAsia="宋体" w:hAnsi="宋体" w:cs="宋体" w:hint="eastAsia"/>
          <w:color w:val="535353"/>
          <w:kern w:val="0"/>
          <w:szCs w:val="21"/>
        </w:rPr>
        <w:t>独立焦企的</w:t>
      </w:r>
      <w:proofErr w:type="gramEnd"/>
      <w:r w:rsidRPr="00F56147">
        <w:rPr>
          <w:rFonts w:ascii="宋体" w:eastAsia="宋体" w:hAnsi="宋体" w:cs="宋体" w:hint="eastAsia"/>
          <w:color w:val="535353"/>
          <w:kern w:val="0"/>
          <w:szCs w:val="21"/>
        </w:rPr>
        <w:t>焦煤平均库存15.07万吨，环比增加7.95%；平均库存可用天数为18.75天</w:t>
      </w:r>
      <w:r w:rsidR="009D223C">
        <w:rPr>
          <w:rFonts w:ascii="宋体" w:eastAsia="宋体" w:hAnsi="宋体" w:cs="宋体" w:hint="eastAsia"/>
          <w:color w:val="535353"/>
          <w:kern w:val="0"/>
          <w:szCs w:val="21"/>
        </w:rPr>
        <w:t>。</w:t>
      </w:r>
    </w:p>
    <w:tbl>
      <w:tblPr>
        <w:tblW w:w="8358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3"/>
        <w:gridCol w:w="45"/>
      </w:tblGrid>
      <w:tr w:rsidR="00F56147" w:rsidRPr="00461D41" w:rsidTr="00D26885">
        <w:trPr>
          <w:gridAfter w:val="1"/>
          <w:wAfter w:w="45" w:type="dxa"/>
          <w:trHeight w:val="169"/>
        </w:trPr>
        <w:tc>
          <w:tcPr>
            <w:tcW w:w="8313" w:type="dxa"/>
            <w:tcBorders>
              <w:top w:val="single" w:sz="4" w:space="0" w:color="FAFAFA"/>
              <w:left w:val="single" w:sz="4" w:space="0" w:color="FAFAFA"/>
              <w:bottom w:val="single" w:sz="2" w:space="0" w:color="646464"/>
              <w:right w:val="single" w:sz="4" w:space="0" w:color="FAFAFA"/>
            </w:tcBorders>
            <w:vAlign w:val="bottom"/>
          </w:tcPr>
          <w:p w:rsidR="00F56147" w:rsidRPr="00461D41" w:rsidRDefault="00F56147" w:rsidP="00514431">
            <w:pPr>
              <w:rPr>
                <w:rFonts w:ascii="微软雅黑" w:eastAsia="微软雅黑" w:cs="微软雅黑"/>
                <w:bCs/>
                <w:color w:val="003366"/>
                <w:kern w:val="0"/>
                <w:szCs w:val="21"/>
              </w:rPr>
            </w:pPr>
            <w:r w:rsidRPr="00461D41"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>图</w:t>
            </w:r>
            <w:r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>5</w:t>
            </w:r>
            <w:r w:rsidRPr="00461D41"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>.</w:t>
            </w:r>
            <w:r w:rsidR="009D223C"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>炼焦煤港口库存</w:t>
            </w:r>
            <w:r w:rsidRPr="00461D41"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 xml:space="preserve">            </w:t>
            </w:r>
            <w:r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 xml:space="preserve">                        </w:t>
            </w:r>
            <w:r w:rsidRPr="00461D41"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 xml:space="preserve">              单位：</w:t>
            </w:r>
            <w:r>
              <w:rPr>
                <w:rFonts w:ascii="微软雅黑" w:eastAsia="微软雅黑" w:cs="微软雅黑" w:hint="eastAsia"/>
                <w:bCs/>
                <w:color w:val="003366"/>
                <w:kern w:val="0"/>
                <w:szCs w:val="21"/>
              </w:rPr>
              <w:t>万吨</w:t>
            </w:r>
          </w:p>
        </w:tc>
      </w:tr>
      <w:tr w:rsidR="00F56147" w:rsidRPr="00461D41" w:rsidTr="00D26885">
        <w:trPr>
          <w:trHeight w:val="226"/>
        </w:trPr>
        <w:tc>
          <w:tcPr>
            <w:tcW w:w="8358" w:type="dxa"/>
            <w:gridSpan w:val="2"/>
            <w:tcBorders>
              <w:top w:val="single" w:sz="2" w:space="0" w:color="646464"/>
              <w:left w:val="single" w:sz="4" w:space="0" w:color="FAFAFA"/>
              <w:bottom w:val="single" w:sz="4" w:space="0" w:color="FAFAFA"/>
              <w:right w:val="single" w:sz="4" w:space="0" w:color="FAFAFA"/>
            </w:tcBorders>
          </w:tcPr>
          <w:tbl>
            <w:tblPr>
              <w:tblW w:w="8403" w:type="dxa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403"/>
            </w:tblGrid>
            <w:tr w:rsidR="00F56147" w:rsidRPr="00461D41" w:rsidTr="00514431">
              <w:trPr>
                <w:trHeight w:val="226"/>
              </w:trPr>
              <w:tc>
                <w:tcPr>
                  <w:tcW w:w="8403" w:type="dxa"/>
                  <w:tcBorders>
                    <w:top w:val="single" w:sz="2" w:space="0" w:color="646464"/>
                    <w:left w:val="single" w:sz="4" w:space="0" w:color="FAFAFA"/>
                    <w:bottom w:val="single" w:sz="4" w:space="0" w:color="FAFAFA"/>
                    <w:right w:val="single" w:sz="4" w:space="0" w:color="FAFAFA"/>
                  </w:tcBorders>
                </w:tcPr>
                <w:tbl>
                  <w:tblPr>
                    <w:tblW w:w="8403" w:type="dxa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403"/>
                  </w:tblGrid>
                  <w:tr w:rsidR="00F56147" w:rsidRPr="00461D41" w:rsidTr="00514431">
                    <w:trPr>
                      <w:trHeight w:val="226"/>
                    </w:trPr>
                    <w:tc>
                      <w:tcPr>
                        <w:tcW w:w="8403" w:type="dxa"/>
                        <w:tcBorders>
                          <w:top w:val="single" w:sz="2" w:space="0" w:color="646464"/>
                          <w:left w:val="single" w:sz="4" w:space="0" w:color="FAFAFA"/>
                          <w:bottom w:val="single" w:sz="4" w:space="0" w:color="FAFAFA"/>
                          <w:right w:val="single" w:sz="4" w:space="0" w:color="FAFAFA"/>
                        </w:tcBorders>
                      </w:tcPr>
                      <w:tbl>
                        <w:tblPr>
                          <w:tblW w:w="8403" w:type="dxa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8403"/>
                        </w:tblGrid>
                        <w:tr w:rsidR="00F56147" w:rsidRPr="00461D41" w:rsidTr="00514431">
                          <w:trPr>
                            <w:trHeight w:val="226"/>
                          </w:trPr>
                          <w:tc>
                            <w:tcPr>
                              <w:tcW w:w="8403" w:type="dxa"/>
                              <w:tcBorders>
                                <w:top w:val="single" w:sz="2" w:space="0" w:color="646464"/>
                                <w:left w:val="single" w:sz="4" w:space="0" w:color="FAFAFA"/>
                                <w:bottom w:val="single" w:sz="4" w:space="0" w:color="FAFAFA"/>
                                <w:right w:val="single" w:sz="4" w:space="0" w:color="FAFAFA"/>
                              </w:tcBorders>
                            </w:tcPr>
                            <w:p w:rsidR="00F56147" w:rsidRPr="000F39A9" w:rsidRDefault="009D223C" w:rsidP="00514431">
                              <w:pPr>
                                <w:rPr>
                                  <w:rFonts w:ascii="微软雅黑" w:eastAsia="微软雅黑" w:cs="微软雅黑"/>
                                  <w:bCs/>
                                  <w:color w:val="003366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cs="微软雅黑"/>
                                  <w:bCs/>
                                  <w:noProof/>
                                  <w:color w:val="003366"/>
                                  <w:kern w:val="0"/>
                                  <w:szCs w:val="21"/>
                                </w:rPr>
                                <w:drawing>
                                  <wp:inline distT="0" distB="0" distL="0" distR="0" wp14:anchorId="15132929" wp14:editId="1B1ED700">
                                    <wp:extent cx="5584190" cy="2524125"/>
                                    <wp:effectExtent l="0" t="0" r="0" b="9525"/>
                                    <wp:docPr id="6" name="图片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584190" cy="25241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tbl>
                              <w:tblPr>
                                <w:tblW w:w="8403" w:type="dxa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8403"/>
                              </w:tblGrid>
                              <w:tr w:rsidR="009D223C" w:rsidRPr="00461D41" w:rsidTr="00514431">
                                <w:trPr>
                                  <w:trHeight w:val="226"/>
                                </w:trPr>
                                <w:tc>
                                  <w:tcPr>
                                    <w:tcW w:w="8403" w:type="dxa"/>
                                    <w:tcBorders>
                                      <w:top w:val="single" w:sz="2" w:space="0" w:color="646464"/>
                                      <w:left w:val="single" w:sz="4" w:space="0" w:color="FAFAFA"/>
                                      <w:bottom w:val="single" w:sz="4" w:space="0" w:color="FAFAFA"/>
                                      <w:right w:val="single" w:sz="4" w:space="0" w:color="FAFAFA"/>
                                    </w:tcBorders>
                                  </w:tcPr>
                                  <w:p w:rsidR="009D223C" w:rsidRPr="00461D41" w:rsidRDefault="009D223C" w:rsidP="00514431">
                                    <w:pPr>
                                      <w:rPr>
                                        <w:rFonts w:ascii="微软雅黑" w:eastAsia="微软雅黑" w:cs="微软雅黑"/>
                                        <w:bCs/>
                                        <w:color w:val="003366"/>
                                        <w:kern w:val="0"/>
                                        <w:szCs w:val="21"/>
                                      </w:rPr>
                                    </w:pPr>
                                    <w:r w:rsidRPr="00461D41">
                                      <w:rPr>
                                        <w:rFonts w:ascii="微软雅黑" w:eastAsia="微软雅黑" w:cs="微软雅黑" w:hint="eastAsia"/>
                                        <w:bCs/>
                                        <w:color w:val="003366"/>
                                        <w:kern w:val="0"/>
                                        <w:szCs w:val="21"/>
                                      </w:rPr>
                                      <w:t>资料来源：WIND，信达期货研发中心</w:t>
                                    </w:r>
                                  </w:p>
                                </w:tc>
                              </w:tr>
                            </w:tbl>
                            <w:p w:rsidR="00F56147" w:rsidRPr="009D223C" w:rsidRDefault="00F56147" w:rsidP="00514431">
                              <w:pPr>
                                <w:rPr>
                                  <w:rFonts w:ascii="微软雅黑" w:eastAsia="微软雅黑" w:cs="微软雅黑"/>
                                  <w:bCs/>
                                  <w:color w:val="003366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F56147" w:rsidRPr="00461D41" w:rsidRDefault="00F56147" w:rsidP="00514431">
                        <w:pPr>
                          <w:rPr>
                            <w:rFonts w:ascii="微软雅黑" w:eastAsia="微软雅黑" w:cs="微软雅黑"/>
                            <w:bCs/>
                            <w:color w:val="003366"/>
                            <w:kern w:val="0"/>
                            <w:szCs w:val="21"/>
                          </w:rPr>
                        </w:pPr>
                      </w:p>
                    </w:tc>
                  </w:tr>
                </w:tbl>
                <w:p w:rsidR="00F56147" w:rsidRPr="00461D41" w:rsidRDefault="00F56147" w:rsidP="00514431">
                  <w:pPr>
                    <w:rPr>
                      <w:rFonts w:ascii="微软雅黑" w:eastAsia="微软雅黑" w:cs="微软雅黑"/>
                      <w:bCs/>
                      <w:color w:val="003366"/>
                      <w:kern w:val="0"/>
                      <w:szCs w:val="21"/>
                    </w:rPr>
                  </w:pPr>
                </w:p>
              </w:tc>
            </w:tr>
          </w:tbl>
          <w:p w:rsidR="00F56147" w:rsidRPr="00461D41" w:rsidRDefault="00F56147" w:rsidP="00514431">
            <w:pPr>
              <w:rPr>
                <w:rFonts w:ascii="微软雅黑" w:eastAsia="微软雅黑" w:cs="微软雅黑"/>
                <w:bCs/>
                <w:color w:val="003366"/>
                <w:kern w:val="0"/>
                <w:szCs w:val="21"/>
              </w:rPr>
            </w:pPr>
          </w:p>
        </w:tc>
      </w:tr>
    </w:tbl>
    <w:p w:rsidR="001F2411" w:rsidRPr="001F2411" w:rsidRDefault="001F2411" w:rsidP="001F2411">
      <w:pPr>
        <w:ind w:firstLineChars="200" w:firstLine="420"/>
        <w:rPr>
          <w:rFonts w:ascii="宋体" w:eastAsia="宋体" w:hAnsi="宋体" w:cs="宋体"/>
          <w:color w:val="535353"/>
          <w:kern w:val="0"/>
          <w:szCs w:val="21"/>
        </w:rPr>
      </w:pPr>
      <w:r w:rsidRPr="001F2411">
        <w:rPr>
          <w:rFonts w:ascii="宋体" w:eastAsia="宋体" w:hAnsi="宋体" w:cs="宋体" w:hint="eastAsia"/>
          <w:color w:val="535353"/>
          <w:kern w:val="0"/>
          <w:szCs w:val="21"/>
        </w:rPr>
        <w:t>消息层面，央行</w:t>
      </w:r>
      <w:r w:rsidRPr="001F2411">
        <w:rPr>
          <w:rFonts w:ascii="宋体" w:eastAsia="宋体" w:hAnsi="宋体" w:cs="宋体"/>
          <w:color w:val="535353"/>
          <w:kern w:val="0"/>
          <w:szCs w:val="21"/>
        </w:rPr>
        <w:t>11月22日起下调</w:t>
      </w:r>
      <w:hyperlink r:id="rId15" w:tgtFrame="_blank" w:history="1">
        <w:r w:rsidRPr="001F2411">
          <w:rPr>
            <w:color w:val="535353"/>
          </w:rPr>
          <w:t>金融机构</w:t>
        </w:r>
      </w:hyperlink>
      <w:hyperlink r:id="rId16" w:tgtFrame="_blank" w:history="1">
        <w:r w:rsidRPr="001F2411">
          <w:rPr>
            <w:color w:val="535353"/>
          </w:rPr>
          <w:t>利率</w:t>
        </w:r>
      </w:hyperlink>
      <w:r w:rsidRPr="001F2411">
        <w:rPr>
          <w:rFonts w:ascii="宋体" w:eastAsia="宋体" w:hAnsi="宋体" w:cs="宋体" w:hint="eastAsia"/>
          <w:color w:val="535353"/>
          <w:kern w:val="0"/>
          <w:szCs w:val="21"/>
        </w:rPr>
        <w:t>，</w:t>
      </w:r>
      <w:r w:rsidRPr="001F2411">
        <w:rPr>
          <w:rFonts w:ascii="宋体" w:eastAsia="宋体" w:hAnsi="宋体" w:cs="宋体"/>
          <w:color w:val="535353"/>
          <w:kern w:val="0"/>
          <w:szCs w:val="21"/>
        </w:rPr>
        <w:t>一年</w:t>
      </w:r>
      <w:proofErr w:type="gramStart"/>
      <w:r w:rsidRPr="001F2411">
        <w:rPr>
          <w:rFonts w:ascii="宋体" w:eastAsia="宋体" w:hAnsi="宋体" w:cs="宋体"/>
          <w:color w:val="535353"/>
          <w:kern w:val="0"/>
          <w:szCs w:val="21"/>
        </w:rPr>
        <w:t>期贷</w:t>
      </w:r>
      <w:proofErr w:type="gramEnd"/>
      <w:r w:rsidRPr="001F2411">
        <w:rPr>
          <w:rFonts w:ascii="宋体" w:eastAsia="宋体" w:hAnsi="宋体" w:cs="宋体"/>
          <w:color w:val="535353"/>
          <w:kern w:val="0"/>
          <w:szCs w:val="21"/>
        </w:rPr>
        <w:t>款基准利率下调0.4个百分点至5.6%；一年期存款基准利率下调0.25个百分点至2.75%，同时结合推进利率市场化改革，将金融机构存款利率浮动区间的上限由存款基准利率的1.1倍调整为1.2倍</w:t>
      </w:r>
      <w:r w:rsidRPr="001F2411">
        <w:rPr>
          <w:rFonts w:ascii="宋体" w:eastAsia="宋体" w:hAnsi="宋体" w:cs="宋体" w:hint="eastAsia"/>
          <w:color w:val="535353"/>
          <w:kern w:val="0"/>
          <w:szCs w:val="21"/>
        </w:rPr>
        <w:t>。短期利好大宗商品价格走势，但空间有限，预计商品整体走势还将维持原来的下行轨道，后期如果要走</w:t>
      </w:r>
      <w:proofErr w:type="gramStart"/>
      <w:r w:rsidRPr="001F2411">
        <w:rPr>
          <w:rFonts w:ascii="宋体" w:eastAsia="宋体" w:hAnsi="宋体" w:cs="宋体" w:hint="eastAsia"/>
          <w:color w:val="535353"/>
          <w:kern w:val="0"/>
          <w:szCs w:val="21"/>
        </w:rPr>
        <w:t>强在于</w:t>
      </w:r>
      <w:proofErr w:type="gramEnd"/>
      <w:r w:rsidRPr="001F2411">
        <w:rPr>
          <w:rFonts w:ascii="宋体" w:eastAsia="宋体" w:hAnsi="宋体" w:cs="宋体" w:hint="eastAsia"/>
          <w:color w:val="535353"/>
          <w:kern w:val="0"/>
          <w:szCs w:val="21"/>
        </w:rPr>
        <w:t>放松政策的持续性及累加效果。</w:t>
      </w:r>
    </w:p>
    <w:p w:rsidR="006244DE" w:rsidRPr="00D26885" w:rsidRDefault="001F2411" w:rsidP="00D26885">
      <w:pPr>
        <w:ind w:firstLineChars="200" w:firstLine="420"/>
        <w:rPr>
          <w:rFonts w:ascii="宋体" w:eastAsia="宋体" w:hAnsi="宋体" w:cs="宋体"/>
          <w:color w:val="535353"/>
          <w:kern w:val="0"/>
          <w:szCs w:val="21"/>
        </w:rPr>
      </w:pPr>
      <w:r>
        <w:rPr>
          <w:rFonts w:ascii="宋体" w:eastAsia="宋体" w:hAnsi="宋体" w:cs="宋体" w:hint="eastAsia"/>
          <w:color w:val="535353"/>
          <w:kern w:val="0"/>
          <w:szCs w:val="21"/>
        </w:rPr>
        <w:t>考虑到目前焦煤多空因素交织，预计后期将保持震荡行情。因此，</w:t>
      </w:r>
      <w:r w:rsidR="00D26885" w:rsidRPr="00D26885">
        <w:rPr>
          <w:rFonts w:ascii="宋体" w:eastAsia="宋体" w:hAnsi="宋体" w:cs="宋体" w:hint="eastAsia"/>
          <w:color w:val="535353"/>
          <w:kern w:val="0"/>
          <w:szCs w:val="21"/>
        </w:rPr>
        <w:t>我们认为，</w:t>
      </w:r>
      <w:r>
        <w:rPr>
          <w:rFonts w:ascii="宋体" w:eastAsia="宋体" w:hAnsi="宋体" w:cs="宋体" w:hint="eastAsia"/>
          <w:color w:val="535353"/>
          <w:kern w:val="0"/>
          <w:szCs w:val="21"/>
        </w:rPr>
        <w:t>可以依靠后期政策利好的持续及基本面因素</w:t>
      </w:r>
      <w:r w:rsidR="00D26885" w:rsidRPr="00D26885">
        <w:rPr>
          <w:rFonts w:ascii="宋体" w:eastAsia="宋体" w:hAnsi="宋体" w:cs="宋体" w:hint="eastAsia"/>
          <w:color w:val="535353"/>
          <w:kern w:val="0"/>
          <w:szCs w:val="21"/>
        </w:rPr>
        <w:t>，</w:t>
      </w:r>
      <w:r>
        <w:rPr>
          <w:rFonts w:ascii="宋体" w:eastAsia="宋体" w:hAnsi="宋体" w:cs="宋体" w:hint="eastAsia"/>
          <w:color w:val="535353"/>
          <w:kern w:val="0"/>
          <w:szCs w:val="21"/>
        </w:rPr>
        <w:t>在区间735-755内对焦煤进行灵活操作</w:t>
      </w:r>
      <w:r w:rsidR="00D26885" w:rsidRPr="00D26885">
        <w:rPr>
          <w:rFonts w:ascii="宋体" w:eastAsia="宋体" w:hAnsi="宋体" w:cs="宋体" w:hint="eastAsia"/>
          <w:color w:val="535353"/>
          <w:kern w:val="0"/>
          <w:szCs w:val="21"/>
        </w:rPr>
        <w:t>。</w:t>
      </w:r>
    </w:p>
    <w:sectPr w:rsidR="006244DE" w:rsidRPr="00D26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6BE" w:rsidRDefault="008146BE" w:rsidP="00293002">
      <w:r>
        <w:separator/>
      </w:r>
    </w:p>
  </w:endnote>
  <w:endnote w:type="continuationSeparator" w:id="0">
    <w:p w:rsidR="008146BE" w:rsidRDefault="008146BE" w:rsidP="00293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6BE" w:rsidRDefault="008146BE" w:rsidP="00293002">
      <w:r>
        <w:separator/>
      </w:r>
    </w:p>
  </w:footnote>
  <w:footnote w:type="continuationSeparator" w:id="0">
    <w:p w:rsidR="008146BE" w:rsidRDefault="008146BE" w:rsidP="00293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411"/>
    <w:rsid w:val="000F39A9"/>
    <w:rsid w:val="000F60A8"/>
    <w:rsid w:val="0018392A"/>
    <w:rsid w:val="001F2411"/>
    <w:rsid w:val="00275AFA"/>
    <w:rsid w:val="00280AC4"/>
    <w:rsid w:val="00293002"/>
    <w:rsid w:val="0030701B"/>
    <w:rsid w:val="0038730F"/>
    <w:rsid w:val="0044469B"/>
    <w:rsid w:val="004502C9"/>
    <w:rsid w:val="00461D41"/>
    <w:rsid w:val="00541411"/>
    <w:rsid w:val="005B59D6"/>
    <w:rsid w:val="006244DE"/>
    <w:rsid w:val="0063655B"/>
    <w:rsid w:val="008146BE"/>
    <w:rsid w:val="008973E5"/>
    <w:rsid w:val="008B4262"/>
    <w:rsid w:val="0097645F"/>
    <w:rsid w:val="009D223C"/>
    <w:rsid w:val="00BB16A3"/>
    <w:rsid w:val="00D26885"/>
    <w:rsid w:val="00D369F6"/>
    <w:rsid w:val="00E32D3E"/>
    <w:rsid w:val="00E75AA4"/>
    <w:rsid w:val="00F5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A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280AC4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44469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4469B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293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9300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93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930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A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280AC4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44469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4469B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293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9300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93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930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aike.sososteel.com/doc/view/67013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baike.sososteel.com/doc/view/72672.html" TargetMode="External"/><Relationship Id="rId10" Type="http://schemas.openxmlformats.org/officeDocument/2006/relationships/hyperlink" Target="http://baike.sososteel.com/doc/view/69397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5DC3C-64C4-4244-9631-6425F33AE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1074</Words>
  <Characters>1248</Characters>
  <Application>Microsoft Office Word</Application>
  <DocSecurity>0</DocSecurity>
  <Lines>54</Lines>
  <Paragraphs>20</Paragraphs>
  <ScaleCrop>false</ScaleCrop>
  <Company>china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83</cp:revision>
  <dcterms:created xsi:type="dcterms:W3CDTF">2014-11-21T08:49:00Z</dcterms:created>
  <dcterms:modified xsi:type="dcterms:W3CDTF">2014-11-24T08:04:00Z</dcterms:modified>
</cp:coreProperties>
</file>