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drawingml.chart+xml" PartName="/word/charts/chart1.xml"/>
  <Override ContentType="application/vnd.openxmlformats-officedocument.drawingml.chart+xml" PartName="/word/charts/chart2.xml"/>
  <Override ContentType="application/vnd.openxmlformats-officedocument.drawingml.chart+xml" PartName="/word/charts/chart3.xml"/>
  <Override ContentType="application/vnd.openxmlformats-officedocument.drawingml.chart+xml" PartName="/word/charts/chart4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9B" w:rsidRDefault="0021660D" w:rsidP="0068507F">
      <w:pPr>
        <w:jc w:val="center"/>
      </w:pPr>
      <w:r>
        <w:rPr>
          <w:rFonts w:hint="eastAsia"/>
        </w:rPr>
        <w:t>国际油价</w:t>
      </w:r>
      <w:r w:rsidR="00B9611D">
        <w:rPr>
          <w:rFonts w:hint="eastAsia"/>
        </w:rPr>
        <w:t>维持弱势</w:t>
      </w:r>
      <w:r>
        <w:rPr>
          <w:rFonts w:hint="eastAsia"/>
        </w:rPr>
        <w:t>，</w:t>
      </w:r>
      <w:r>
        <w:rPr>
          <w:rFonts w:hint="eastAsia"/>
        </w:rPr>
        <w:t>PP</w:t>
      </w:r>
      <w:r>
        <w:rPr>
          <w:rFonts w:hint="eastAsia"/>
        </w:rPr>
        <w:t>仍具有下行空间</w:t>
      </w:r>
    </w:p>
    <w:p w:rsidR="0068507F" w:rsidRDefault="0068507F" w:rsidP="0068507F">
      <w:pPr>
        <w:jc w:val="center"/>
      </w:pPr>
    </w:p>
    <w:p w:rsidR="0068507F" w:rsidRDefault="0068507F" w:rsidP="00D45F67">
      <w:pPr>
        <w:spacing w:line="360" w:lineRule="auto"/>
        <w:jc w:val="left"/>
      </w:pPr>
      <w:r>
        <w:rPr>
          <w:rFonts w:hint="eastAsia"/>
        </w:rPr>
        <w:t xml:space="preserve">  </w:t>
      </w:r>
      <w:r w:rsidR="00942F83">
        <w:rPr>
          <w:rFonts w:hint="eastAsia"/>
        </w:rPr>
        <w:t xml:space="preserve">  </w:t>
      </w:r>
      <w:r>
        <w:rPr>
          <w:rFonts w:hint="eastAsia"/>
        </w:rPr>
        <w:t>近期国际油价在持续横盘了</w:t>
      </w:r>
      <w:r>
        <w:rPr>
          <w:rFonts w:hint="eastAsia"/>
        </w:rPr>
        <w:t>2</w:t>
      </w:r>
      <w:r>
        <w:rPr>
          <w:rFonts w:hint="eastAsia"/>
        </w:rPr>
        <w:t>个月之后，跌破横盘区间下限，展开了新一轮跌势，并促使国内化工品重回弱势格局。</w:t>
      </w:r>
      <w:r w:rsidR="004B3E43">
        <w:rPr>
          <w:rFonts w:hint="eastAsia"/>
        </w:rPr>
        <w:t>对于目前国内</w:t>
      </w:r>
      <w:r w:rsidR="00D45F67">
        <w:rPr>
          <w:rFonts w:hint="eastAsia"/>
        </w:rPr>
        <w:t>油</w:t>
      </w:r>
      <w:r w:rsidR="004B3E43">
        <w:rPr>
          <w:rFonts w:hint="eastAsia"/>
        </w:rPr>
        <w:t>化工品来说，</w:t>
      </w:r>
      <w:r w:rsidR="00D45F67">
        <w:rPr>
          <w:rFonts w:hint="eastAsia"/>
        </w:rPr>
        <w:t>由于</w:t>
      </w:r>
      <w:r w:rsidR="00942F83">
        <w:rPr>
          <w:rFonts w:hint="eastAsia"/>
        </w:rPr>
        <w:t>PTA</w:t>
      </w:r>
      <w:r w:rsidR="00942F83">
        <w:rPr>
          <w:rFonts w:hint="eastAsia"/>
        </w:rPr>
        <w:t>累计跌幅已经超过</w:t>
      </w:r>
      <w:r w:rsidR="00942F83">
        <w:rPr>
          <w:rFonts w:hint="eastAsia"/>
        </w:rPr>
        <w:t>40%</w:t>
      </w:r>
      <w:r w:rsidR="00491CC7">
        <w:rPr>
          <w:rFonts w:hint="eastAsia"/>
        </w:rPr>
        <w:t>，尽管</w:t>
      </w:r>
      <w:r w:rsidR="00D45F67">
        <w:rPr>
          <w:rFonts w:hint="eastAsia"/>
        </w:rPr>
        <w:t>PTA</w:t>
      </w:r>
      <w:r w:rsidR="007B03A6">
        <w:rPr>
          <w:rFonts w:hint="eastAsia"/>
        </w:rPr>
        <w:t>期价</w:t>
      </w:r>
      <w:r w:rsidR="00491CC7">
        <w:rPr>
          <w:rFonts w:hint="eastAsia"/>
        </w:rPr>
        <w:t>近期</w:t>
      </w:r>
      <w:r w:rsidR="007B03A6">
        <w:rPr>
          <w:rFonts w:hint="eastAsia"/>
        </w:rPr>
        <w:t>依然难以筑底，但目前放空的安全性已经大大</w:t>
      </w:r>
      <w:r w:rsidR="00942F83">
        <w:rPr>
          <w:rFonts w:hint="eastAsia"/>
        </w:rPr>
        <w:t>折扣。而</w:t>
      </w:r>
      <w:r w:rsidR="00942F83">
        <w:rPr>
          <w:rFonts w:hint="eastAsia"/>
        </w:rPr>
        <w:t>LLDPE</w:t>
      </w:r>
      <w:r w:rsidR="00942F83">
        <w:rPr>
          <w:rFonts w:hint="eastAsia"/>
        </w:rPr>
        <w:t>和</w:t>
      </w:r>
      <w:r w:rsidR="00942F83">
        <w:rPr>
          <w:rFonts w:hint="eastAsia"/>
        </w:rPr>
        <w:t>PP</w:t>
      </w:r>
      <w:r w:rsidR="0021660D">
        <w:rPr>
          <w:rFonts w:hint="eastAsia"/>
        </w:rPr>
        <w:t>在最近的三年时间</w:t>
      </w:r>
      <w:r w:rsidR="00942F83">
        <w:rPr>
          <w:rFonts w:hint="eastAsia"/>
        </w:rPr>
        <w:t>则整体走势依然比较坚挺。而随着</w:t>
      </w:r>
      <w:r w:rsidR="0021660D">
        <w:rPr>
          <w:rFonts w:hint="eastAsia"/>
        </w:rPr>
        <w:t>行业格局的改变以及市场短期矛盾的爆发，市场再度迎来了做空机会，目前</w:t>
      </w:r>
      <w:r w:rsidR="00942F83">
        <w:rPr>
          <w:rFonts w:hint="eastAsia"/>
        </w:rPr>
        <w:t>做空</w:t>
      </w:r>
      <w:r w:rsidR="00942F83">
        <w:rPr>
          <w:rFonts w:hint="eastAsia"/>
        </w:rPr>
        <w:t>PP</w:t>
      </w:r>
      <w:r w:rsidR="00942F83">
        <w:rPr>
          <w:rFonts w:hint="eastAsia"/>
        </w:rPr>
        <w:t>无论是安全性上还是从下跌空间上都依然是首选。</w:t>
      </w:r>
    </w:p>
    <w:p w:rsidR="00942F83" w:rsidRPr="007D7ED6" w:rsidRDefault="00942F83" w:rsidP="00D45F67">
      <w:pPr>
        <w:spacing w:line="360" w:lineRule="auto"/>
        <w:jc w:val="left"/>
        <w:rPr>
          <w:b/>
        </w:rPr>
      </w:pPr>
      <w:r>
        <w:rPr>
          <w:rFonts w:hint="eastAsia"/>
        </w:rPr>
        <w:t xml:space="preserve">   </w:t>
      </w:r>
      <w:r w:rsidRPr="007D7ED6">
        <w:rPr>
          <w:rFonts w:hint="eastAsia"/>
          <w:b/>
        </w:rPr>
        <w:t xml:space="preserve"> </w:t>
      </w:r>
      <w:r w:rsidRPr="007D7ED6">
        <w:rPr>
          <w:rFonts w:hint="eastAsia"/>
          <w:b/>
        </w:rPr>
        <w:t>一、煤化工产品冲击市场，</w:t>
      </w:r>
      <w:r w:rsidR="00F9056D">
        <w:rPr>
          <w:rFonts w:hint="eastAsia"/>
          <w:b/>
        </w:rPr>
        <w:t>聚烯烃</w:t>
      </w:r>
      <w:r w:rsidRPr="007D7ED6">
        <w:rPr>
          <w:rFonts w:hint="eastAsia"/>
          <w:b/>
        </w:rPr>
        <w:t>行业结构面临改变</w:t>
      </w:r>
      <w:bookmarkStart w:id="0" w:name="_GoBack"/>
      <w:bookmarkEnd w:id="0"/>
    </w:p>
    <w:p w:rsidR="00942F83" w:rsidRDefault="00722E77" w:rsidP="006D68A7">
      <w:pPr>
        <w:spacing w:line="360" w:lineRule="auto"/>
        <w:ind w:firstLine="420"/>
        <w:jc w:val="left"/>
      </w:pPr>
      <w:r>
        <w:rPr>
          <w:rFonts w:hint="eastAsia"/>
        </w:rPr>
        <w:t>近期我国新型煤化工的发展是市场关注的焦点，特别是煤制烯烃的发展正在逐步改变着聚烯烃的行业格局。再加上在</w:t>
      </w:r>
      <w:r>
        <w:rPr>
          <w:rFonts w:hint="eastAsia"/>
        </w:rPr>
        <w:t>2014</w:t>
      </w:r>
      <w:r>
        <w:rPr>
          <w:rFonts w:hint="eastAsia"/>
        </w:rPr>
        <w:t>年油价暴跌之前，国际油价持续盘踞高位，我国</w:t>
      </w:r>
      <w:r w:rsidR="006D68A7" w:rsidRPr="006D68A7">
        <w:rPr>
          <w:rFonts w:hint="eastAsia"/>
        </w:rPr>
        <w:t>的国家能源安全受到威胁，加上煤制烯烃的经济性日益提升，在此背景下，</w:t>
      </w:r>
      <w:r w:rsidR="007D7ED6">
        <w:rPr>
          <w:rFonts w:hint="eastAsia"/>
        </w:rPr>
        <w:t>新型</w:t>
      </w:r>
      <w:r w:rsidR="006D68A7" w:rsidRPr="006D68A7">
        <w:rPr>
          <w:rFonts w:hint="eastAsia"/>
        </w:rPr>
        <w:t>煤化工战略</w:t>
      </w:r>
      <w:r w:rsidR="007D7ED6">
        <w:rPr>
          <w:rFonts w:hint="eastAsia"/>
        </w:rPr>
        <w:t>被提升到</w:t>
      </w:r>
      <w:r w:rsidR="006D68A7" w:rsidRPr="006D68A7">
        <w:rPr>
          <w:rFonts w:hint="eastAsia"/>
        </w:rPr>
        <w:t>从国家层面</w:t>
      </w:r>
      <w:r>
        <w:rPr>
          <w:rFonts w:hint="eastAsia"/>
        </w:rPr>
        <w:t>进行实施</w:t>
      </w:r>
      <w:r w:rsidR="006D68A7" w:rsidRPr="006D68A7">
        <w:rPr>
          <w:rFonts w:hint="eastAsia"/>
        </w:rPr>
        <w:t>。</w:t>
      </w:r>
      <w:r w:rsidR="006D68A7" w:rsidRPr="006D68A7">
        <w:rPr>
          <w:rFonts w:hint="eastAsia"/>
        </w:rPr>
        <w:t>2010</w:t>
      </w:r>
      <w:r w:rsidR="006D68A7" w:rsidRPr="006D68A7">
        <w:rPr>
          <w:rFonts w:hint="eastAsia"/>
        </w:rPr>
        <w:t>年神华包头煤制烯烃装置的顺利投产，为在高油价以及金融危机背</w:t>
      </w:r>
      <w:r>
        <w:rPr>
          <w:rFonts w:hint="eastAsia"/>
        </w:rPr>
        <w:t>景下的我国</w:t>
      </w:r>
      <w:r w:rsidR="006D68A7" w:rsidRPr="006D68A7">
        <w:rPr>
          <w:rFonts w:hint="eastAsia"/>
        </w:rPr>
        <w:t>煤制烯烃市场注入了巨大动力，大量煤制烯烃项目在此期间获批筹建并在随后几年产能不断释放。</w:t>
      </w:r>
    </w:p>
    <w:p w:rsidR="006D68A7" w:rsidRDefault="006D68A7" w:rsidP="006D68A7">
      <w:pPr>
        <w:spacing w:line="360" w:lineRule="auto"/>
        <w:ind w:firstLineChars="200" w:firstLine="420"/>
      </w:pPr>
      <w:r>
        <w:rPr>
          <w:rFonts w:hint="eastAsia"/>
        </w:rPr>
        <w:t>根据统计，</w:t>
      </w:r>
      <w:r w:rsidR="003320B9" w:rsidRPr="003320B9">
        <w:rPr>
          <w:rFonts w:hint="eastAsia"/>
        </w:rPr>
        <w:t>截止</w:t>
      </w:r>
      <w:r w:rsidR="003320B9" w:rsidRPr="003320B9">
        <w:rPr>
          <w:rFonts w:hint="eastAsia"/>
        </w:rPr>
        <w:t>2014</w:t>
      </w:r>
      <w:r w:rsidR="003320B9" w:rsidRPr="003320B9">
        <w:rPr>
          <w:rFonts w:hint="eastAsia"/>
        </w:rPr>
        <w:t>年年底，国内共有</w:t>
      </w:r>
      <w:r w:rsidR="003320B9" w:rsidRPr="003320B9">
        <w:rPr>
          <w:rFonts w:hint="eastAsia"/>
        </w:rPr>
        <w:t>10</w:t>
      </w:r>
      <w:r w:rsidR="003320B9" w:rsidRPr="003320B9">
        <w:rPr>
          <w:rFonts w:hint="eastAsia"/>
        </w:rPr>
        <w:t>套煤制烯烃装置已经顺利投产，其中聚乙烯产能</w:t>
      </w:r>
      <w:r w:rsidR="003320B9" w:rsidRPr="003320B9">
        <w:rPr>
          <w:rFonts w:hint="eastAsia"/>
        </w:rPr>
        <w:t>166</w:t>
      </w:r>
      <w:r w:rsidR="003320B9" w:rsidRPr="003320B9">
        <w:rPr>
          <w:rFonts w:hint="eastAsia"/>
        </w:rPr>
        <w:t>万吨，聚丙烯产能</w:t>
      </w:r>
      <w:r w:rsidR="003320B9" w:rsidRPr="003320B9">
        <w:rPr>
          <w:rFonts w:hint="eastAsia"/>
        </w:rPr>
        <w:t>376</w:t>
      </w:r>
      <w:r w:rsidR="003320B9" w:rsidRPr="003320B9">
        <w:rPr>
          <w:rFonts w:hint="eastAsia"/>
        </w:rPr>
        <w:t>万吨，合计聚烯烃产能</w:t>
      </w:r>
      <w:r w:rsidR="003320B9" w:rsidRPr="003320B9">
        <w:rPr>
          <w:rFonts w:hint="eastAsia"/>
        </w:rPr>
        <w:t>542</w:t>
      </w:r>
      <w:r w:rsidR="003320B9" w:rsidRPr="003320B9">
        <w:rPr>
          <w:rFonts w:hint="eastAsia"/>
        </w:rPr>
        <w:t>万吨。</w:t>
      </w:r>
      <w:r w:rsidRPr="006D68A7">
        <w:rPr>
          <w:rFonts w:hint="eastAsia"/>
        </w:rPr>
        <w:t>根据计划，后期在建或拟建的煤制烯烃项目还有</w:t>
      </w:r>
      <w:r w:rsidRPr="006D68A7">
        <w:rPr>
          <w:rFonts w:hint="eastAsia"/>
        </w:rPr>
        <w:t>42</w:t>
      </w:r>
      <w:r w:rsidRPr="006D68A7">
        <w:rPr>
          <w:rFonts w:hint="eastAsia"/>
        </w:rPr>
        <w:t>个，设计产能</w:t>
      </w:r>
      <w:r w:rsidRPr="006D68A7">
        <w:rPr>
          <w:rFonts w:hint="eastAsia"/>
        </w:rPr>
        <w:t>2808</w:t>
      </w:r>
      <w:r w:rsidRPr="006D68A7">
        <w:rPr>
          <w:rFonts w:hint="eastAsia"/>
        </w:rPr>
        <w:t>万吨，如果上述项目全部建成，国内煤制烯烃产能将达到</w:t>
      </w:r>
      <w:r w:rsidRPr="006D68A7">
        <w:rPr>
          <w:rFonts w:hint="eastAsia"/>
        </w:rPr>
        <w:t>3450</w:t>
      </w:r>
      <w:r w:rsidRPr="006D68A7">
        <w:rPr>
          <w:rFonts w:hint="eastAsia"/>
        </w:rPr>
        <w:t>万吨。</w:t>
      </w:r>
    </w:p>
    <w:p w:rsidR="00A11ED2" w:rsidRDefault="00A11ED2" w:rsidP="006D68A7">
      <w:pPr>
        <w:spacing w:line="360" w:lineRule="auto"/>
        <w:ind w:firstLineChars="200" w:firstLine="420"/>
      </w:pPr>
      <w:r w:rsidRPr="00A11ED2">
        <w:rPr>
          <w:rFonts w:hint="eastAsia"/>
        </w:rPr>
        <w:t>2012-2015</w:t>
      </w:r>
      <w:r w:rsidRPr="00A11ED2">
        <w:rPr>
          <w:rFonts w:hint="eastAsia"/>
        </w:rPr>
        <w:t>年</w:t>
      </w:r>
      <w:r w:rsidRPr="00A11ED2">
        <w:rPr>
          <w:rFonts w:hint="eastAsia"/>
        </w:rPr>
        <w:t>PP</w:t>
      </w:r>
      <w:r w:rsidRPr="00A11ED2">
        <w:rPr>
          <w:rFonts w:hint="eastAsia"/>
        </w:rPr>
        <w:t>按丙烯来源</w:t>
      </w:r>
      <w:proofErr w:type="gramStart"/>
      <w:r w:rsidRPr="00A11ED2">
        <w:rPr>
          <w:rFonts w:hint="eastAsia"/>
        </w:rPr>
        <w:t>分类占</w:t>
      </w:r>
      <w:proofErr w:type="gramEnd"/>
      <w:r w:rsidRPr="00A11ED2">
        <w:rPr>
          <w:rFonts w:hint="eastAsia"/>
        </w:rPr>
        <w:t>比</w:t>
      </w:r>
    </w:p>
    <w:p w:rsidR="006D68A7" w:rsidRDefault="006D68A7" w:rsidP="006D68A7">
      <w:pPr>
        <w:spacing w:line="360" w:lineRule="auto"/>
        <w:jc w:val="center"/>
      </w:pPr>
      <w:r w:rsidRPr="006D68A7">
        <w:rPr>
          <w:noProof/>
        </w:rPr>
        <w:drawing>
          <wp:inline distT="0" distB="0" distL="0" distR="0" wp14:anchorId="50FCA5EE" wp14:editId="07767681">
            <wp:extent cx="5274310" cy="2475996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C3AE8" w:rsidRDefault="002C3AE8" w:rsidP="002C3AE8">
      <w:pPr>
        <w:spacing w:line="360" w:lineRule="auto"/>
      </w:pPr>
      <w:r>
        <w:rPr>
          <w:rFonts w:hint="eastAsia"/>
        </w:rPr>
        <w:t>数据来源：</w:t>
      </w:r>
      <w:proofErr w:type="gramStart"/>
      <w:r>
        <w:rPr>
          <w:rFonts w:hint="eastAsia"/>
        </w:rPr>
        <w:t>卓创资讯</w:t>
      </w:r>
      <w:proofErr w:type="gramEnd"/>
    </w:p>
    <w:p w:rsidR="006D68A7" w:rsidRDefault="006D68A7" w:rsidP="006D68A7">
      <w:pPr>
        <w:spacing w:line="360" w:lineRule="auto"/>
        <w:ind w:firstLine="420"/>
        <w:jc w:val="left"/>
      </w:pPr>
      <w:r>
        <w:rPr>
          <w:rFonts w:hint="eastAsia"/>
        </w:rPr>
        <w:t>根据统计，</w:t>
      </w:r>
      <w:r w:rsidR="003320B9">
        <w:rPr>
          <w:rFonts w:hint="eastAsia"/>
        </w:rPr>
        <w:t>截止到</w:t>
      </w:r>
      <w:r w:rsidR="003320B9">
        <w:rPr>
          <w:rFonts w:hint="eastAsia"/>
        </w:rPr>
        <w:t>2014</w:t>
      </w:r>
      <w:r w:rsidR="003320B9">
        <w:rPr>
          <w:rFonts w:hint="eastAsia"/>
        </w:rPr>
        <w:t>年底，我国煤制</w:t>
      </w:r>
      <w:r w:rsidR="003320B9">
        <w:rPr>
          <w:rFonts w:hint="eastAsia"/>
        </w:rPr>
        <w:t>PP</w:t>
      </w:r>
      <w:r w:rsidR="003320B9">
        <w:rPr>
          <w:rFonts w:hint="eastAsia"/>
        </w:rPr>
        <w:t>占比在</w:t>
      </w:r>
      <w:r w:rsidR="003320B9">
        <w:rPr>
          <w:rFonts w:hint="eastAsia"/>
        </w:rPr>
        <w:t>17.7%</w:t>
      </w:r>
      <w:r w:rsidR="003320B9">
        <w:rPr>
          <w:rFonts w:hint="eastAsia"/>
        </w:rPr>
        <w:t>，而在</w:t>
      </w:r>
      <w:r w:rsidR="003320B9">
        <w:rPr>
          <w:rFonts w:hint="eastAsia"/>
        </w:rPr>
        <w:t>2010</w:t>
      </w:r>
      <w:r w:rsidR="003320B9">
        <w:rPr>
          <w:rFonts w:hint="eastAsia"/>
        </w:rPr>
        <w:t>年该数值仅在</w:t>
      </w:r>
      <w:r w:rsidR="003320B9">
        <w:rPr>
          <w:rFonts w:hint="eastAsia"/>
        </w:rPr>
        <w:t>3.1%</w:t>
      </w:r>
      <w:r w:rsidR="003320B9">
        <w:rPr>
          <w:rFonts w:hint="eastAsia"/>
        </w:rPr>
        <w:t>，预计到</w:t>
      </w:r>
      <w:r w:rsidR="003320B9">
        <w:rPr>
          <w:rFonts w:hint="eastAsia"/>
        </w:rPr>
        <w:t>2015</w:t>
      </w:r>
      <w:r w:rsidR="003320B9">
        <w:rPr>
          <w:rFonts w:hint="eastAsia"/>
        </w:rPr>
        <w:t>年底，该数值将达到</w:t>
      </w:r>
      <w:r w:rsidR="003320B9">
        <w:rPr>
          <w:rFonts w:hint="eastAsia"/>
        </w:rPr>
        <w:t>22%</w:t>
      </w:r>
      <w:r w:rsidR="003320B9">
        <w:rPr>
          <w:rFonts w:hint="eastAsia"/>
        </w:rPr>
        <w:t>，到</w:t>
      </w:r>
      <w:r w:rsidR="003320B9">
        <w:rPr>
          <w:rFonts w:hint="eastAsia"/>
        </w:rPr>
        <w:t>2020</w:t>
      </w:r>
      <w:r w:rsidR="003320B9">
        <w:rPr>
          <w:rFonts w:hint="eastAsia"/>
        </w:rPr>
        <w:t>年，煤制</w:t>
      </w:r>
      <w:r w:rsidR="003320B9">
        <w:rPr>
          <w:rFonts w:hint="eastAsia"/>
        </w:rPr>
        <w:t>PP</w:t>
      </w:r>
      <w:r w:rsidR="003320B9">
        <w:rPr>
          <w:rFonts w:hint="eastAsia"/>
        </w:rPr>
        <w:t>将达到了</w:t>
      </w:r>
      <w:r w:rsidR="003320B9">
        <w:rPr>
          <w:rFonts w:hint="eastAsia"/>
        </w:rPr>
        <w:t>39%</w:t>
      </w:r>
      <w:r w:rsidR="003320B9">
        <w:rPr>
          <w:rFonts w:hint="eastAsia"/>
        </w:rPr>
        <w:t>的水平，而再加</w:t>
      </w:r>
      <w:r w:rsidR="003320B9">
        <w:rPr>
          <w:rFonts w:hint="eastAsia"/>
        </w:rPr>
        <w:lastRenderedPageBreak/>
        <w:t>上外购甲醇制</w:t>
      </w:r>
      <w:r w:rsidR="003320B9">
        <w:rPr>
          <w:rFonts w:hint="eastAsia"/>
        </w:rPr>
        <w:t>PP</w:t>
      </w:r>
      <w:r w:rsidR="003320B9">
        <w:rPr>
          <w:rFonts w:hint="eastAsia"/>
        </w:rPr>
        <w:t>以及</w:t>
      </w:r>
      <w:r w:rsidR="003320B9">
        <w:rPr>
          <w:rFonts w:hint="eastAsia"/>
        </w:rPr>
        <w:t>PDH</w:t>
      </w:r>
      <w:r w:rsidR="003320B9">
        <w:rPr>
          <w:rFonts w:hint="eastAsia"/>
        </w:rPr>
        <w:t>工艺制</w:t>
      </w:r>
      <w:r w:rsidR="003320B9">
        <w:rPr>
          <w:rFonts w:hint="eastAsia"/>
        </w:rPr>
        <w:t>PP</w:t>
      </w:r>
      <w:r w:rsidR="003320B9">
        <w:rPr>
          <w:rFonts w:hint="eastAsia"/>
        </w:rPr>
        <w:t>，总产能将超过</w:t>
      </w:r>
      <w:r w:rsidR="003320B9">
        <w:rPr>
          <w:rFonts w:hint="eastAsia"/>
        </w:rPr>
        <w:t>50%</w:t>
      </w:r>
      <w:r w:rsidR="003320B9">
        <w:rPr>
          <w:rFonts w:hint="eastAsia"/>
        </w:rPr>
        <w:t>。而同期，煤制</w:t>
      </w:r>
      <w:r w:rsidR="003320B9">
        <w:rPr>
          <w:rFonts w:hint="eastAsia"/>
        </w:rPr>
        <w:t>PE</w:t>
      </w:r>
      <w:r w:rsidR="003320B9">
        <w:rPr>
          <w:rFonts w:hint="eastAsia"/>
        </w:rPr>
        <w:t>的产能扩散步伐将比较慢。</w:t>
      </w:r>
      <w:r w:rsidR="003320B9">
        <w:rPr>
          <w:rFonts w:hint="eastAsia"/>
        </w:rPr>
        <w:t>2014</w:t>
      </w:r>
      <w:r w:rsidR="003320B9">
        <w:rPr>
          <w:rFonts w:hint="eastAsia"/>
        </w:rPr>
        <w:t>年底，我国煤制</w:t>
      </w:r>
      <w:r w:rsidR="003320B9">
        <w:rPr>
          <w:rFonts w:hint="eastAsia"/>
        </w:rPr>
        <w:t>PE</w:t>
      </w:r>
      <w:r w:rsidR="003320B9">
        <w:rPr>
          <w:rFonts w:hint="eastAsia"/>
        </w:rPr>
        <w:t>的占比在</w:t>
      </w:r>
      <w:r w:rsidR="003320B9">
        <w:rPr>
          <w:rFonts w:hint="eastAsia"/>
        </w:rPr>
        <w:t>12%</w:t>
      </w:r>
      <w:r w:rsidR="003320B9">
        <w:rPr>
          <w:rFonts w:hint="eastAsia"/>
        </w:rPr>
        <w:t>，而</w:t>
      </w:r>
      <w:r w:rsidR="003320B9">
        <w:rPr>
          <w:rFonts w:hint="eastAsia"/>
        </w:rPr>
        <w:t>2010</w:t>
      </w:r>
      <w:r w:rsidR="003320B9">
        <w:rPr>
          <w:rFonts w:hint="eastAsia"/>
        </w:rPr>
        <w:t>年该数值与</w:t>
      </w:r>
      <w:r w:rsidR="003320B9">
        <w:rPr>
          <w:rFonts w:hint="eastAsia"/>
        </w:rPr>
        <w:t>PP</w:t>
      </w:r>
      <w:r w:rsidR="003320B9">
        <w:rPr>
          <w:rFonts w:hint="eastAsia"/>
        </w:rPr>
        <w:t>的数值则较为接近，为</w:t>
      </w:r>
      <w:r w:rsidR="003320B9">
        <w:rPr>
          <w:rFonts w:hint="eastAsia"/>
        </w:rPr>
        <w:t>2.8%</w:t>
      </w:r>
      <w:r w:rsidR="003320B9">
        <w:rPr>
          <w:rFonts w:hint="eastAsia"/>
        </w:rPr>
        <w:t>。预计到</w:t>
      </w:r>
      <w:r w:rsidR="003320B9">
        <w:rPr>
          <w:rFonts w:hint="eastAsia"/>
        </w:rPr>
        <w:t>2015</w:t>
      </w:r>
      <w:r w:rsidR="003320B9">
        <w:rPr>
          <w:rFonts w:hint="eastAsia"/>
        </w:rPr>
        <w:t>年底及到</w:t>
      </w:r>
      <w:r w:rsidR="003320B9">
        <w:rPr>
          <w:rFonts w:hint="eastAsia"/>
        </w:rPr>
        <w:t>2020</w:t>
      </w:r>
      <w:r w:rsidR="003320B9">
        <w:rPr>
          <w:rFonts w:hint="eastAsia"/>
        </w:rPr>
        <w:t>年，煤制</w:t>
      </w:r>
      <w:r w:rsidR="003320B9">
        <w:rPr>
          <w:rFonts w:hint="eastAsia"/>
        </w:rPr>
        <w:t>PE</w:t>
      </w:r>
      <w:r w:rsidR="003320B9">
        <w:rPr>
          <w:rFonts w:hint="eastAsia"/>
        </w:rPr>
        <w:t>的产能将达到</w:t>
      </w:r>
      <w:r w:rsidR="003320B9">
        <w:rPr>
          <w:rFonts w:hint="eastAsia"/>
        </w:rPr>
        <w:t>20%</w:t>
      </w:r>
      <w:r w:rsidR="003320B9">
        <w:rPr>
          <w:rFonts w:hint="eastAsia"/>
        </w:rPr>
        <w:t>和</w:t>
      </w:r>
      <w:r w:rsidR="003320B9">
        <w:rPr>
          <w:rFonts w:hint="eastAsia"/>
        </w:rPr>
        <w:t>35%</w:t>
      </w:r>
      <w:r w:rsidR="003320B9">
        <w:rPr>
          <w:rFonts w:hint="eastAsia"/>
        </w:rPr>
        <w:t>，较</w:t>
      </w:r>
      <w:r w:rsidR="003320B9">
        <w:rPr>
          <w:rFonts w:hint="eastAsia"/>
        </w:rPr>
        <w:t>PP</w:t>
      </w:r>
      <w:r w:rsidR="003320B9">
        <w:rPr>
          <w:rFonts w:hint="eastAsia"/>
        </w:rPr>
        <w:t>均有较大的差距。</w:t>
      </w:r>
    </w:p>
    <w:p w:rsidR="00A11ED2" w:rsidRDefault="00A11ED2" w:rsidP="006D68A7">
      <w:pPr>
        <w:spacing w:line="360" w:lineRule="auto"/>
        <w:ind w:firstLine="420"/>
        <w:jc w:val="left"/>
      </w:pPr>
      <w:r w:rsidRPr="00A11ED2">
        <w:rPr>
          <w:rFonts w:hint="eastAsia"/>
        </w:rPr>
        <w:t>2010-2014</w:t>
      </w:r>
      <w:r w:rsidRPr="00A11ED2">
        <w:rPr>
          <w:rFonts w:hint="eastAsia"/>
        </w:rPr>
        <w:t>年聚丙烯产能产量及开工率对比图</w:t>
      </w:r>
    </w:p>
    <w:p w:rsidR="007D7ED6" w:rsidRDefault="007D7ED6" w:rsidP="007D7ED6">
      <w:pPr>
        <w:spacing w:line="360" w:lineRule="auto"/>
        <w:ind w:firstLine="420"/>
        <w:jc w:val="left"/>
      </w:pPr>
      <w:r w:rsidRPr="007D7ED6">
        <w:rPr>
          <w:noProof/>
        </w:rPr>
        <w:drawing>
          <wp:inline distT="0" distB="0" distL="0" distR="0" wp14:anchorId="053D2288" wp14:editId="1562612C">
            <wp:extent cx="4543425" cy="2705100"/>
            <wp:effectExtent l="0" t="0" r="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3AE8" w:rsidRDefault="002C3AE8" w:rsidP="007D7ED6">
      <w:pPr>
        <w:spacing w:line="360" w:lineRule="auto"/>
        <w:ind w:firstLine="420"/>
        <w:jc w:val="left"/>
      </w:pPr>
      <w:r>
        <w:rPr>
          <w:rFonts w:hint="eastAsia"/>
        </w:rPr>
        <w:t>数据来源：</w:t>
      </w:r>
      <w:proofErr w:type="gramStart"/>
      <w:r>
        <w:rPr>
          <w:rFonts w:hint="eastAsia"/>
        </w:rPr>
        <w:t>卓创资讯</w:t>
      </w:r>
      <w:proofErr w:type="gramEnd"/>
    </w:p>
    <w:p w:rsidR="007D7ED6" w:rsidRDefault="003214F2" w:rsidP="007D7ED6">
      <w:pPr>
        <w:spacing w:line="360" w:lineRule="auto"/>
        <w:ind w:firstLine="420"/>
        <w:jc w:val="left"/>
      </w:pPr>
      <w:r>
        <w:rPr>
          <w:rFonts w:hint="eastAsia"/>
        </w:rPr>
        <w:t>伴随着产能的扩张，由于终端需求表现疲弱</w:t>
      </w:r>
      <w:r w:rsidR="007D7ED6">
        <w:rPr>
          <w:rFonts w:hint="eastAsia"/>
        </w:rPr>
        <w:t>，随之而来的就是装置开工率的下降。在</w:t>
      </w:r>
      <w:r w:rsidR="007D7ED6">
        <w:rPr>
          <w:rFonts w:hint="eastAsia"/>
        </w:rPr>
        <w:t>2013</w:t>
      </w:r>
      <w:r w:rsidR="007D7ED6">
        <w:rPr>
          <w:rFonts w:hint="eastAsia"/>
        </w:rPr>
        <w:t>年之前，</w:t>
      </w:r>
      <w:r w:rsidR="007D7ED6">
        <w:rPr>
          <w:rFonts w:hint="eastAsia"/>
        </w:rPr>
        <w:t>PP</w:t>
      </w:r>
      <w:r w:rsidR="007D7ED6">
        <w:rPr>
          <w:rFonts w:hint="eastAsia"/>
        </w:rPr>
        <w:t>开工率基本维持在</w:t>
      </w:r>
      <w:r w:rsidR="007D7ED6">
        <w:rPr>
          <w:rFonts w:hint="eastAsia"/>
        </w:rPr>
        <w:t>9</w:t>
      </w:r>
      <w:r w:rsidR="007D7ED6">
        <w:rPr>
          <w:rFonts w:hint="eastAsia"/>
        </w:rPr>
        <w:t>成以上，但随着煤化工产品投入市场，装置开工率出现大幅下滑，从</w:t>
      </w:r>
      <w:r w:rsidR="007D7ED6">
        <w:rPr>
          <w:rFonts w:hint="eastAsia"/>
        </w:rPr>
        <w:t>2014</w:t>
      </w:r>
      <w:r w:rsidR="007D7ED6">
        <w:rPr>
          <w:rFonts w:hint="eastAsia"/>
        </w:rPr>
        <w:t>年的平均情况来看，整体开工率仅在</w:t>
      </w:r>
      <w:r w:rsidR="007D7ED6">
        <w:rPr>
          <w:rFonts w:hint="eastAsia"/>
        </w:rPr>
        <w:t>8</w:t>
      </w:r>
      <w:r w:rsidR="007D7ED6">
        <w:rPr>
          <w:rFonts w:hint="eastAsia"/>
        </w:rPr>
        <w:t>成左右。</w:t>
      </w:r>
    </w:p>
    <w:p w:rsidR="00942F83" w:rsidRDefault="005B12C0" w:rsidP="00D45F67">
      <w:pPr>
        <w:spacing w:line="360" w:lineRule="auto"/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另一方面，中石油和中石化通过销售公司统一销售的模式也面临冲击。随着煤制烯烃项目的投产，这些新进入企</w:t>
      </w:r>
      <w:r w:rsidR="00B32D9A">
        <w:rPr>
          <w:rFonts w:hint="eastAsia"/>
        </w:rPr>
        <w:t>业多采用网上竞价销售和第三方电子商务平台进行销售，这也极大地削弱</w:t>
      </w:r>
      <w:r>
        <w:rPr>
          <w:rFonts w:hint="eastAsia"/>
        </w:rPr>
        <w:t>了中石油和中石化对价格的垄断作用，</w:t>
      </w:r>
      <w:r w:rsidR="008943D8">
        <w:rPr>
          <w:rFonts w:hint="eastAsia"/>
        </w:rPr>
        <w:t>在多元化的供给格局下，</w:t>
      </w:r>
      <w:r w:rsidR="008943D8">
        <w:rPr>
          <w:rFonts w:hint="eastAsia"/>
        </w:rPr>
        <w:t>LLDPE</w:t>
      </w:r>
      <w:r w:rsidR="008943D8">
        <w:rPr>
          <w:rFonts w:hint="eastAsia"/>
        </w:rPr>
        <w:t>和</w:t>
      </w:r>
      <w:r w:rsidR="008943D8">
        <w:rPr>
          <w:rFonts w:hint="eastAsia"/>
        </w:rPr>
        <w:t>PP</w:t>
      </w:r>
      <w:r>
        <w:rPr>
          <w:rFonts w:hint="eastAsia"/>
        </w:rPr>
        <w:t>将逐步形成市场化的价格形成机制。</w:t>
      </w:r>
    </w:p>
    <w:p w:rsidR="00942F83" w:rsidRPr="00466D90" w:rsidRDefault="009B4EFB" w:rsidP="00D45F67">
      <w:pPr>
        <w:spacing w:line="360" w:lineRule="auto"/>
        <w:ind w:firstLine="420"/>
        <w:jc w:val="left"/>
        <w:rPr>
          <w:b/>
        </w:rPr>
      </w:pPr>
      <w:r w:rsidRPr="00466D90">
        <w:rPr>
          <w:rFonts w:hint="eastAsia"/>
          <w:b/>
        </w:rPr>
        <w:t>二、终端需求不佳，短期供求矛盾突出</w:t>
      </w:r>
    </w:p>
    <w:p w:rsidR="00942F83" w:rsidRDefault="009B4EFB" w:rsidP="00D45F67">
      <w:pPr>
        <w:spacing w:line="360" w:lineRule="auto"/>
        <w:ind w:firstLine="420"/>
        <w:jc w:val="left"/>
      </w:pPr>
      <w:r>
        <w:rPr>
          <w:rFonts w:hint="eastAsia"/>
        </w:rPr>
        <w:t>中</w:t>
      </w:r>
      <w:r w:rsidR="007B03A6">
        <w:rPr>
          <w:rFonts w:hint="eastAsia"/>
        </w:rPr>
        <w:t>国经济进入到新常态，面临着艰难的转型之路。经济增速也由原来的高速增长</w:t>
      </w:r>
      <w:r>
        <w:rPr>
          <w:rFonts w:hint="eastAsia"/>
        </w:rPr>
        <w:t>下滑到</w:t>
      </w:r>
      <w:r>
        <w:rPr>
          <w:rFonts w:hint="eastAsia"/>
        </w:rPr>
        <w:t>7%</w:t>
      </w:r>
      <w:r>
        <w:rPr>
          <w:rFonts w:hint="eastAsia"/>
        </w:rPr>
        <w:t>左右的水平。</w:t>
      </w:r>
      <w:r w:rsidRPr="009B4EFB">
        <w:rPr>
          <w:rFonts w:hint="eastAsia"/>
        </w:rPr>
        <w:t>从</w:t>
      </w:r>
      <w:r w:rsidRPr="009B4EFB">
        <w:rPr>
          <w:rFonts w:hint="eastAsia"/>
        </w:rPr>
        <w:t>7</w:t>
      </w:r>
      <w:r w:rsidRPr="009B4EFB">
        <w:rPr>
          <w:rFonts w:hint="eastAsia"/>
        </w:rPr>
        <w:t>月初公布的数据显示，</w:t>
      </w:r>
      <w:r w:rsidRPr="009B4EFB">
        <w:rPr>
          <w:rFonts w:hint="eastAsia"/>
        </w:rPr>
        <w:t>CPI</w:t>
      </w:r>
      <w:r w:rsidRPr="009B4EFB">
        <w:rPr>
          <w:rFonts w:hint="eastAsia"/>
        </w:rPr>
        <w:t>已经连续</w:t>
      </w:r>
      <w:r w:rsidRPr="009B4EFB">
        <w:rPr>
          <w:rFonts w:hint="eastAsia"/>
        </w:rPr>
        <w:t>10</w:t>
      </w:r>
      <w:r w:rsidRPr="009B4EFB">
        <w:rPr>
          <w:rFonts w:hint="eastAsia"/>
        </w:rPr>
        <w:t>个月低位运行、</w:t>
      </w:r>
      <w:r w:rsidRPr="009B4EFB">
        <w:rPr>
          <w:rFonts w:hint="eastAsia"/>
        </w:rPr>
        <w:t>PPI</w:t>
      </w:r>
      <w:r w:rsidRPr="009B4EFB">
        <w:rPr>
          <w:rFonts w:hint="eastAsia"/>
        </w:rPr>
        <w:t>更是连续</w:t>
      </w:r>
      <w:r w:rsidRPr="009B4EFB">
        <w:rPr>
          <w:rFonts w:hint="eastAsia"/>
        </w:rPr>
        <w:t>40</w:t>
      </w:r>
      <w:r w:rsidRPr="009B4EFB">
        <w:rPr>
          <w:rFonts w:hint="eastAsia"/>
        </w:rPr>
        <w:t>个月同比下降。</w:t>
      </w:r>
      <w:r>
        <w:rPr>
          <w:rFonts w:hint="eastAsia"/>
        </w:rPr>
        <w:t>在这样的一个大背景下，作为</w:t>
      </w:r>
      <w:r>
        <w:rPr>
          <w:rFonts w:hint="eastAsia"/>
        </w:rPr>
        <w:t>LLDPE</w:t>
      </w:r>
      <w:r>
        <w:rPr>
          <w:rFonts w:hint="eastAsia"/>
        </w:rPr>
        <w:t>、</w:t>
      </w:r>
      <w:r>
        <w:rPr>
          <w:rFonts w:hint="eastAsia"/>
        </w:rPr>
        <w:t>PP</w:t>
      </w:r>
      <w:r w:rsidR="00B32D9A">
        <w:rPr>
          <w:rFonts w:hint="eastAsia"/>
        </w:rPr>
        <w:t>的下游制品的消费也受到极大的影响，其塑料制品产量也有前期的</w:t>
      </w:r>
      <w:r w:rsidR="00B32D9A">
        <w:rPr>
          <w:rFonts w:hint="eastAsia"/>
        </w:rPr>
        <w:t>10%</w:t>
      </w:r>
      <w:r w:rsidR="00B32D9A">
        <w:rPr>
          <w:rFonts w:hint="eastAsia"/>
        </w:rPr>
        <w:t>以上的高速增长下滑至目前</w:t>
      </w:r>
      <w:r w:rsidR="00B32D9A">
        <w:rPr>
          <w:rFonts w:hint="eastAsia"/>
        </w:rPr>
        <w:t>5%</w:t>
      </w:r>
      <w:r w:rsidR="00B32D9A">
        <w:rPr>
          <w:rFonts w:hint="eastAsia"/>
        </w:rPr>
        <w:t>一下，甚至出现负增长。而目前作为</w:t>
      </w:r>
      <w:r w:rsidR="00B32D9A">
        <w:rPr>
          <w:rFonts w:hint="eastAsia"/>
        </w:rPr>
        <w:t>LLDPE</w:t>
      </w:r>
      <w:r w:rsidR="00B32D9A">
        <w:rPr>
          <w:rFonts w:hint="eastAsia"/>
        </w:rPr>
        <w:t>主要下游消费的包装膜生产企业开工率维持在</w:t>
      </w:r>
      <w:r w:rsidR="00B32D9A">
        <w:rPr>
          <w:rFonts w:hint="eastAsia"/>
        </w:rPr>
        <w:t>60</w:t>
      </w:r>
      <w:r w:rsidR="00B32D9A">
        <w:rPr>
          <w:rFonts w:hint="eastAsia"/>
        </w:rPr>
        <w:t>—</w:t>
      </w:r>
      <w:r w:rsidR="00B32D9A">
        <w:rPr>
          <w:rFonts w:hint="eastAsia"/>
        </w:rPr>
        <w:t>70%</w:t>
      </w:r>
      <w:r w:rsidR="00B32D9A">
        <w:rPr>
          <w:rFonts w:hint="eastAsia"/>
        </w:rPr>
        <w:t>之间，</w:t>
      </w:r>
      <w:r w:rsidR="00D96043">
        <w:rPr>
          <w:rFonts w:hint="eastAsia"/>
        </w:rPr>
        <w:t>PP</w:t>
      </w:r>
      <w:r w:rsidR="00B32D9A">
        <w:rPr>
          <w:rFonts w:hint="eastAsia"/>
        </w:rPr>
        <w:t>的主要的下游塑料制品生产企业的开工率更是</w:t>
      </w:r>
      <w:r w:rsidR="00D96043">
        <w:rPr>
          <w:rFonts w:hint="eastAsia"/>
        </w:rPr>
        <w:t>不足</w:t>
      </w:r>
      <w:r w:rsidR="00D96043">
        <w:rPr>
          <w:rFonts w:hint="eastAsia"/>
        </w:rPr>
        <w:t>6</w:t>
      </w:r>
      <w:r w:rsidR="00D96043">
        <w:rPr>
          <w:rFonts w:hint="eastAsia"/>
        </w:rPr>
        <w:t>成。</w:t>
      </w:r>
    </w:p>
    <w:p w:rsidR="002C3AE8" w:rsidRDefault="002C3AE8" w:rsidP="00D45F67">
      <w:pPr>
        <w:spacing w:line="360" w:lineRule="auto"/>
        <w:ind w:firstLine="420"/>
        <w:jc w:val="left"/>
      </w:pPr>
      <w:r>
        <w:rPr>
          <w:rFonts w:hint="eastAsia"/>
        </w:rPr>
        <w:lastRenderedPageBreak/>
        <w:t>2000</w:t>
      </w:r>
      <w:r>
        <w:rPr>
          <w:rFonts w:hint="eastAsia"/>
        </w:rPr>
        <w:t>—</w:t>
      </w:r>
      <w:r>
        <w:rPr>
          <w:rFonts w:hint="eastAsia"/>
        </w:rPr>
        <w:t>2014</w:t>
      </w:r>
      <w:r>
        <w:rPr>
          <w:rFonts w:hint="eastAsia"/>
        </w:rPr>
        <w:t>年塑料制品产量及增长率</w:t>
      </w:r>
    </w:p>
    <w:p w:rsidR="000430B1" w:rsidRDefault="002C3AE8" w:rsidP="003210AC">
      <w:pPr>
        <w:spacing w:line="360" w:lineRule="auto"/>
        <w:jc w:val="center"/>
      </w:pPr>
      <w:r>
        <w:rPr>
          <w:noProof/>
        </w:rPr>
        <w:drawing>
          <wp:inline distT="0" distB="0" distL="0" distR="0" wp14:anchorId="060EC7D0" wp14:editId="1F672146">
            <wp:extent cx="4876800" cy="2809875"/>
            <wp:effectExtent l="0" t="0" r="19050" b="9525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3AE8" w:rsidRDefault="002C3AE8" w:rsidP="002C3AE8">
      <w:pPr>
        <w:spacing w:line="360" w:lineRule="auto"/>
      </w:pPr>
      <w:r>
        <w:rPr>
          <w:rFonts w:hint="eastAsia"/>
        </w:rPr>
        <w:t xml:space="preserve">    </w:t>
      </w:r>
      <w:r>
        <w:rPr>
          <w:rFonts w:hint="eastAsia"/>
        </w:rPr>
        <w:t>数据来源：</w:t>
      </w:r>
      <w:r>
        <w:rPr>
          <w:rFonts w:hint="eastAsia"/>
        </w:rPr>
        <w:t>wind</w:t>
      </w:r>
      <w:r>
        <w:rPr>
          <w:rFonts w:hint="eastAsia"/>
        </w:rPr>
        <w:t>资讯</w:t>
      </w:r>
    </w:p>
    <w:p w:rsidR="000430B1" w:rsidRDefault="00D96043" w:rsidP="008943D8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267BAE6" wp14:editId="5079C98B">
            <wp:extent cx="4695825" cy="2495377"/>
            <wp:effectExtent l="0" t="0" r="0" b="635"/>
            <wp:docPr id="6" name="图片 6" descr="C:\Documents and Settings\赵兰菊\Application Data\Tencent\Users\1292642844\QQ\WinTemp\RichOle\B[9%QZEB0}0B%O7AU_19U2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赵兰菊\Application Data\Tencent\Users\1292642844\QQ\WinTemp\RichOle\B[9%QZEB0}0B%O7AU_19U2J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13" cy="24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E8" w:rsidRDefault="002C3AE8" w:rsidP="002C3AE8">
      <w:pPr>
        <w:spacing w:line="360" w:lineRule="auto"/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数据来源：</w:t>
      </w:r>
      <w:proofErr w:type="gramStart"/>
      <w:r>
        <w:rPr>
          <w:rFonts w:hint="eastAsia"/>
        </w:rPr>
        <w:t>隆众资讯</w:t>
      </w:r>
      <w:proofErr w:type="gramEnd"/>
    </w:p>
    <w:p w:rsidR="000430B1" w:rsidRDefault="00D96043" w:rsidP="00D96043">
      <w:pPr>
        <w:spacing w:line="360" w:lineRule="auto"/>
        <w:ind w:firstLineChars="200" w:firstLine="420"/>
      </w:pPr>
      <w:r>
        <w:rPr>
          <w:rFonts w:hint="eastAsia"/>
        </w:rPr>
        <w:t>市场供需上的矛盾导致库存持续走高，根据对部分</w:t>
      </w:r>
      <w:r>
        <w:rPr>
          <w:rFonts w:hint="eastAsia"/>
        </w:rPr>
        <w:t>PP</w:t>
      </w:r>
      <w:r>
        <w:rPr>
          <w:rFonts w:hint="eastAsia"/>
        </w:rPr>
        <w:t>生产企业的调研，目前企业库存依然处于高位，维持在</w:t>
      </w:r>
      <w:r>
        <w:rPr>
          <w:rFonts w:hint="eastAsia"/>
        </w:rPr>
        <w:t>18</w:t>
      </w:r>
      <w:r>
        <w:rPr>
          <w:rFonts w:hint="eastAsia"/>
        </w:rPr>
        <w:t>万吨的高位。</w:t>
      </w:r>
      <w:r w:rsidR="0021660D">
        <w:rPr>
          <w:rFonts w:hint="eastAsia"/>
        </w:rPr>
        <w:t>而</w:t>
      </w:r>
      <w:r w:rsidR="0021660D">
        <w:rPr>
          <w:rFonts w:hint="eastAsia"/>
        </w:rPr>
        <w:t>PE</w:t>
      </w:r>
      <w:r w:rsidR="0021660D">
        <w:rPr>
          <w:rFonts w:hint="eastAsia"/>
        </w:rPr>
        <w:t>方面目前总库存则维持在</w:t>
      </w:r>
      <w:r w:rsidR="0021660D">
        <w:rPr>
          <w:rFonts w:hint="eastAsia"/>
        </w:rPr>
        <w:t>8</w:t>
      </w:r>
      <w:r w:rsidR="0021660D">
        <w:rPr>
          <w:rFonts w:hint="eastAsia"/>
        </w:rPr>
        <w:t>万吨左右，其中</w:t>
      </w:r>
      <w:r w:rsidR="0021660D">
        <w:rPr>
          <w:rFonts w:hint="eastAsia"/>
        </w:rPr>
        <w:t>LLDPE</w:t>
      </w:r>
      <w:r w:rsidR="0021660D">
        <w:rPr>
          <w:rFonts w:hint="eastAsia"/>
        </w:rPr>
        <w:t>的库存有</w:t>
      </w:r>
      <w:r w:rsidR="0021660D">
        <w:rPr>
          <w:rFonts w:hint="eastAsia"/>
        </w:rPr>
        <w:t>3</w:t>
      </w:r>
      <w:r w:rsidR="0021660D">
        <w:rPr>
          <w:rFonts w:hint="eastAsia"/>
        </w:rPr>
        <w:t>万吨。而</w:t>
      </w:r>
      <w:r>
        <w:rPr>
          <w:rFonts w:hint="eastAsia"/>
        </w:rPr>
        <w:t>由于终端需求依然缺乏亮点，</w:t>
      </w:r>
      <w:r w:rsidR="0021660D">
        <w:rPr>
          <w:rFonts w:hint="eastAsia"/>
        </w:rPr>
        <w:t>在目前供应压力下，</w:t>
      </w:r>
      <w:r>
        <w:rPr>
          <w:rFonts w:hint="eastAsia"/>
        </w:rPr>
        <w:t>后市库存仍将维持高位，并持续对行情造成压力。</w:t>
      </w:r>
    </w:p>
    <w:p w:rsidR="00942F83" w:rsidRDefault="00D96043" w:rsidP="008943D8">
      <w:pPr>
        <w:spacing w:line="360" w:lineRule="auto"/>
        <w:jc w:val="center"/>
      </w:pPr>
      <w:r w:rsidRPr="00D96043">
        <w:rPr>
          <w:noProof/>
        </w:rPr>
        <w:lastRenderedPageBreak/>
        <w:drawing>
          <wp:inline distT="0" distB="0" distL="0" distR="0" wp14:anchorId="423C8D03" wp14:editId="27FA7260">
            <wp:extent cx="5274310" cy="2552302"/>
            <wp:effectExtent l="0" t="0" r="0" b="0"/>
            <wp:docPr id="9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C3AE8" w:rsidRDefault="002C3AE8" w:rsidP="002C3AE8">
      <w:pPr>
        <w:spacing w:line="360" w:lineRule="auto"/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数据来源：</w:t>
      </w:r>
      <w:proofErr w:type="gramStart"/>
      <w:r>
        <w:rPr>
          <w:rFonts w:hint="eastAsia"/>
        </w:rPr>
        <w:t>卓创资讯</w:t>
      </w:r>
      <w:proofErr w:type="gramEnd"/>
    </w:p>
    <w:p w:rsidR="00942F83" w:rsidRDefault="007B03A6" w:rsidP="007422C6">
      <w:pPr>
        <w:spacing w:line="360" w:lineRule="auto"/>
        <w:ind w:firstLine="420"/>
        <w:jc w:val="left"/>
      </w:pPr>
      <w:r>
        <w:rPr>
          <w:rFonts w:hint="eastAsia"/>
        </w:rPr>
        <w:t>从</w:t>
      </w:r>
      <w:r w:rsidR="00B32D9A">
        <w:rPr>
          <w:rFonts w:hint="eastAsia"/>
        </w:rPr>
        <w:t>利润方面来看，尽管近期</w:t>
      </w:r>
      <w:r w:rsidR="002735CE">
        <w:rPr>
          <w:rFonts w:hint="eastAsia"/>
        </w:rPr>
        <w:t>LLDPE</w:t>
      </w:r>
      <w:r w:rsidR="002735CE">
        <w:rPr>
          <w:rFonts w:hint="eastAsia"/>
        </w:rPr>
        <w:t>和</w:t>
      </w:r>
      <w:r w:rsidR="002735CE">
        <w:rPr>
          <w:rFonts w:hint="eastAsia"/>
        </w:rPr>
        <w:t>PP</w:t>
      </w:r>
      <w:r w:rsidR="002735CE">
        <w:rPr>
          <w:rFonts w:hint="eastAsia"/>
        </w:rPr>
        <w:t>价格均出现了不同程度的下跌，但对于煤制产品和传统油制产品来说，依然具有较大的利润空间，而甲醇制产品受到甲醇价格的影响，</w:t>
      </w:r>
      <w:r w:rsidR="00B32D9A">
        <w:rPr>
          <w:rFonts w:hint="eastAsia"/>
        </w:rPr>
        <w:t>利润空间较小</w:t>
      </w:r>
      <w:r w:rsidR="002735CE">
        <w:rPr>
          <w:rFonts w:hint="eastAsia"/>
        </w:rPr>
        <w:t>。根据测算，</w:t>
      </w:r>
      <w:proofErr w:type="gramStart"/>
      <w:r w:rsidR="002735CE">
        <w:rPr>
          <w:rFonts w:hint="eastAsia"/>
        </w:rPr>
        <w:t>目前油</w:t>
      </w:r>
      <w:proofErr w:type="gramEnd"/>
      <w:r w:rsidR="002735CE">
        <w:rPr>
          <w:rFonts w:hint="eastAsia"/>
        </w:rPr>
        <w:t>制</w:t>
      </w:r>
      <w:r w:rsidR="007422C6">
        <w:rPr>
          <w:rFonts w:hint="eastAsia"/>
        </w:rPr>
        <w:t>和甲醇制</w:t>
      </w:r>
      <w:r w:rsidR="002735CE">
        <w:rPr>
          <w:rFonts w:hint="eastAsia"/>
        </w:rPr>
        <w:t>聚烯烃产品的利润依然在</w:t>
      </w:r>
      <w:r w:rsidR="002735CE">
        <w:rPr>
          <w:rFonts w:hint="eastAsia"/>
        </w:rPr>
        <w:t>1000</w:t>
      </w:r>
      <w:r w:rsidR="002735CE">
        <w:rPr>
          <w:rFonts w:hint="eastAsia"/>
        </w:rPr>
        <w:t>元</w:t>
      </w:r>
      <w:r w:rsidR="002735CE">
        <w:rPr>
          <w:rFonts w:hint="eastAsia"/>
        </w:rPr>
        <w:t>/</w:t>
      </w:r>
      <w:r w:rsidR="002735CE">
        <w:rPr>
          <w:rFonts w:hint="eastAsia"/>
        </w:rPr>
        <w:t>吨</w:t>
      </w:r>
      <w:r w:rsidR="007422C6">
        <w:rPr>
          <w:rFonts w:hint="eastAsia"/>
        </w:rPr>
        <w:t>附近</w:t>
      </w:r>
      <w:r w:rsidR="002735CE">
        <w:rPr>
          <w:rFonts w:hint="eastAsia"/>
        </w:rPr>
        <w:t>，而煤制产品的利润在</w:t>
      </w:r>
      <w:r w:rsidR="002735CE">
        <w:rPr>
          <w:rFonts w:hint="eastAsia"/>
        </w:rPr>
        <w:t>1500</w:t>
      </w:r>
      <w:r w:rsidR="002735CE">
        <w:rPr>
          <w:rFonts w:hint="eastAsia"/>
        </w:rPr>
        <w:t>元</w:t>
      </w:r>
      <w:r w:rsidR="002735CE">
        <w:rPr>
          <w:rFonts w:hint="eastAsia"/>
        </w:rPr>
        <w:t>/</w:t>
      </w:r>
      <w:r w:rsidR="002735CE">
        <w:rPr>
          <w:rFonts w:hint="eastAsia"/>
        </w:rPr>
        <w:t>吨附近</w:t>
      </w:r>
      <w:r w:rsidR="007422C6">
        <w:rPr>
          <w:rFonts w:hint="eastAsia"/>
        </w:rPr>
        <w:t>。而同样作为石脑油下游产品的</w:t>
      </w:r>
      <w:r w:rsidR="007422C6">
        <w:rPr>
          <w:rFonts w:hint="eastAsia"/>
        </w:rPr>
        <w:t>PTA</w:t>
      </w:r>
      <w:r w:rsidR="007422C6">
        <w:rPr>
          <w:rFonts w:hint="eastAsia"/>
        </w:rPr>
        <w:t>则已经处于亏损的境地，所以这个角度来看，目前的聚烯烃产品价格依然有下跌的空间。特别是随着国际油价和煤炭价格的持续走低，聚烯烃</w:t>
      </w:r>
      <w:r w:rsidR="00B32D9A">
        <w:rPr>
          <w:rFonts w:hint="eastAsia"/>
        </w:rPr>
        <w:t>产品</w:t>
      </w:r>
      <w:r w:rsidR="007422C6">
        <w:rPr>
          <w:rFonts w:hint="eastAsia"/>
        </w:rPr>
        <w:t>依然面临着成本坍塌带来的下跌空间。</w:t>
      </w:r>
    </w:p>
    <w:p w:rsidR="00942F83" w:rsidRPr="00A11ED2" w:rsidRDefault="007422C6" w:rsidP="00D45F67">
      <w:pPr>
        <w:spacing w:line="360" w:lineRule="auto"/>
        <w:ind w:firstLine="420"/>
        <w:jc w:val="left"/>
        <w:rPr>
          <w:b/>
        </w:rPr>
      </w:pPr>
      <w:r w:rsidRPr="00A11ED2">
        <w:rPr>
          <w:rFonts w:hint="eastAsia"/>
          <w:b/>
        </w:rPr>
        <w:t>三、技术分析——</w:t>
      </w:r>
      <w:r w:rsidR="00942F83" w:rsidRPr="00A11ED2">
        <w:rPr>
          <w:rFonts w:hint="eastAsia"/>
          <w:b/>
        </w:rPr>
        <w:t>行情</w:t>
      </w:r>
      <w:proofErr w:type="gramStart"/>
      <w:r w:rsidR="00942F83" w:rsidRPr="00A11ED2">
        <w:rPr>
          <w:rFonts w:hint="eastAsia"/>
          <w:b/>
        </w:rPr>
        <w:t>迎来低</w:t>
      </w:r>
      <w:proofErr w:type="gramEnd"/>
      <w:r w:rsidR="00942F83" w:rsidRPr="00A11ED2">
        <w:rPr>
          <w:rFonts w:hint="eastAsia"/>
          <w:b/>
        </w:rPr>
        <w:t>风险介入点</w:t>
      </w:r>
    </w:p>
    <w:p w:rsidR="00D33ED7" w:rsidRDefault="007422C6" w:rsidP="00D33ED7">
      <w:pPr>
        <w:spacing w:line="360" w:lineRule="auto"/>
        <w:ind w:firstLine="420"/>
        <w:jc w:val="left"/>
        <w:rPr>
          <w:rFonts w:hint="eastAsia"/>
        </w:rPr>
      </w:pPr>
      <w:r>
        <w:rPr>
          <w:rFonts w:hint="eastAsia"/>
        </w:rPr>
        <w:t>根据上述分析，我们判定聚烯烃产品将出现一波下跌趋势。</w:t>
      </w:r>
      <w:r w:rsidR="00D33ED7">
        <w:rPr>
          <w:rFonts w:hint="eastAsia"/>
        </w:rPr>
        <w:t>而从技术上来看，我们需要等待技术上的低风险介入点。</w:t>
      </w:r>
    </w:p>
    <w:p w:rsidR="00D33ED7" w:rsidRDefault="00B9611D" w:rsidP="00D33ED7">
      <w:pPr>
        <w:spacing w:line="360" w:lineRule="auto"/>
        <w:ind w:firstLine="420"/>
        <w:jc w:val="left"/>
        <w:rPr>
          <w:rFonts w:hint="eastAsia"/>
        </w:rPr>
      </w:pPr>
      <w:r>
        <w:rPr>
          <w:rFonts w:hint="eastAsia"/>
        </w:rPr>
        <w:t>PP1601</w:t>
      </w:r>
      <w:r>
        <w:rPr>
          <w:rFonts w:hint="eastAsia"/>
        </w:rPr>
        <w:t>日线图：</w:t>
      </w:r>
    </w:p>
    <w:p w:rsidR="00B9611D" w:rsidRPr="00B9611D" w:rsidRDefault="00B9611D" w:rsidP="00B961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524500" cy="3214781"/>
            <wp:effectExtent l="0" t="0" r="0" b="5080"/>
            <wp:docPr id="3" name="图片 3" descr="C:\Users\caili\AppData\Roaming\Tencent\Users\540529255\QQ\WinTemp\RichOle\DSBIERP[S~F~H%HK`}TBTY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ili\AppData\Roaming\Tencent\Users\540529255\QQ\WinTemp\RichOle\DSBIERP[S~F~H%HK`}TBTYP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21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11D" w:rsidRPr="00D33ED7" w:rsidRDefault="00B9611D" w:rsidP="00B9611D">
      <w:pPr>
        <w:spacing w:line="360" w:lineRule="auto"/>
        <w:jc w:val="center"/>
      </w:pPr>
    </w:p>
    <w:p w:rsidR="00942F83" w:rsidRPr="00942F83" w:rsidRDefault="00B9611D" w:rsidP="00391617">
      <w:pPr>
        <w:spacing w:line="360" w:lineRule="auto"/>
        <w:ind w:firstLineChars="200" w:firstLine="420"/>
      </w:pPr>
      <w:r>
        <w:rPr>
          <w:rFonts w:hint="eastAsia"/>
        </w:rPr>
        <w:t>从上图可以看到，目前</w:t>
      </w:r>
      <w:r>
        <w:rPr>
          <w:rFonts w:hint="eastAsia"/>
        </w:rPr>
        <w:t>PP</w:t>
      </w:r>
      <w:r>
        <w:rPr>
          <w:rFonts w:hint="eastAsia"/>
        </w:rPr>
        <w:t>日线处于典型的下行趋势当中，上一波反弹的高点</w:t>
      </w:r>
      <w:r>
        <w:rPr>
          <w:rFonts w:hint="eastAsia"/>
        </w:rPr>
        <w:t>7900</w:t>
      </w:r>
      <w:r>
        <w:rPr>
          <w:rFonts w:hint="eastAsia"/>
        </w:rPr>
        <w:t>元一线是上方关键阻力位，在该点下方，期价处于调整走势的性质不会改变。在这样的判断下，我们需要的只是一个低风险的入场点，随着近期市场转暖，聚烯烃产品均出现了较为明显的走高，其中</w:t>
      </w:r>
      <w:r>
        <w:rPr>
          <w:rFonts w:hint="eastAsia"/>
        </w:rPr>
        <w:t>LLDPE</w:t>
      </w:r>
      <w:r>
        <w:rPr>
          <w:rFonts w:hint="eastAsia"/>
        </w:rPr>
        <w:t>也比</w:t>
      </w:r>
      <w:r>
        <w:rPr>
          <w:rFonts w:hint="eastAsia"/>
        </w:rPr>
        <w:t>PP</w:t>
      </w:r>
      <w:r>
        <w:rPr>
          <w:rFonts w:hint="eastAsia"/>
        </w:rPr>
        <w:t>更加强势。所以做空我们首选</w:t>
      </w:r>
      <w:r>
        <w:rPr>
          <w:rFonts w:hint="eastAsia"/>
        </w:rPr>
        <w:t>PP</w:t>
      </w:r>
      <w:r>
        <w:rPr>
          <w:rFonts w:hint="eastAsia"/>
        </w:rPr>
        <w:t>。操作上，</w:t>
      </w:r>
      <w:proofErr w:type="gramStart"/>
      <w:r>
        <w:rPr>
          <w:rFonts w:hint="eastAsia"/>
        </w:rPr>
        <w:t>带期价</w:t>
      </w:r>
      <w:proofErr w:type="gramEnd"/>
      <w:r>
        <w:rPr>
          <w:rFonts w:hint="eastAsia"/>
        </w:rPr>
        <w:t>反弹至</w:t>
      </w:r>
      <w:r>
        <w:rPr>
          <w:rFonts w:hint="eastAsia"/>
        </w:rPr>
        <w:t>7800</w:t>
      </w:r>
      <w:r>
        <w:rPr>
          <w:rFonts w:hint="eastAsia"/>
        </w:rPr>
        <w:t>元附近可以陆续介入空单，止损设在</w:t>
      </w:r>
      <w:r>
        <w:rPr>
          <w:rFonts w:hint="eastAsia"/>
        </w:rPr>
        <w:t>7900</w:t>
      </w:r>
      <w:r>
        <w:rPr>
          <w:rFonts w:hint="eastAsia"/>
        </w:rPr>
        <w:t>元一线，盈亏比方面，行情要维持其下行趋势，在下一轮下跌中必须要跌破前期</w:t>
      </w:r>
      <w:r>
        <w:rPr>
          <w:rFonts w:hint="eastAsia"/>
        </w:rPr>
        <w:t>7200</w:t>
      </w:r>
      <w:r>
        <w:rPr>
          <w:rFonts w:hint="eastAsia"/>
        </w:rPr>
        <w:t>元一线的低点，所以盈亏比上不会低于</w:t>
      </w:r>
      <w:r>
        <w:rPr>
          <w:rFonts w:hint="eastAsia"/>
        </w:rPr>
        <w:t>6:1,</w:t>
      </w:r>
      <w:r>
        <w:rPr>
          <w:rFonts w:hint="eastAsia"/>
        </w:rPr>
        <w:t>如果行情没有能完成规定动作及再度走强，建议及时平仓离场。</w:t>
      </w:r>
    </w:p>
    <w:sectPr w:rsidR="00942F83" w:rsidRPr="00942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2D5" w:rsidRDefault="00DA62D5" w:rsidP="0068507F">
      <w:r>
        <w:separator/>
      </w:r>
    </w:p>
  </w:endnote>
  <w:endnote w:type="continuationSeparator" w:id="0">
    <w:p w:rsidR="00DA62D5" w:rsidRDefault="00DA62D5" w:rsidP="0068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2D5" w:rsidRDefault="00DA62D5" w:rsidP="0068507F">
      <w:r>
        <w:separator/>
      </w:r>
    </w:p>
  </w:footnote>
  <w:footnote w:type="continuationSeparator" w:id="0">
    <w:p w:rsidR="00DA62D5" w:rsidRDefault="00DA62D5" w:rsidP="00685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74"/>
    <w:rsid w:val="000430B1"/>
    <w:rsid w:val="00126CC7"/>
    <w:rsid w:val="0021660D"/>
    <w:rsid w:val="002735CE"/>
    <w:rsid w:val="002C3AE8"/>
    <w:rsid w:val="002E1774"/>
    <w:rsid w:val="003210AC"/>
    <w:rsid w:val="003214F2"/>
    <w:rsid w:val="003320B9"/>
    <w:rsid w:val="00381CF3"/>
    <w:rsid w:val="00391617"/>
    <w:rsid w:val="00406751"/>
    <w:rsid w:val="00466D90"/>
    <w:rsid w:val="00491CC7"/>
    <w:rsid w:val="004B3E43"/>
    <w:rsid w:val="00503BC7"/>
    <w:rsid w:val="0053346F"/>
    <w:rsid w:val="005B12C0"/>
    <w:rsid w:val="00604CBB"/>
    <w:rsid w:val="00671285"/>
    <w:rsid w:val="0068507F"/>
    <w:rsid w:val="006C3F8C"/>
    <w:rsid w:val="006D68A7"/>
    <w:rsid w:val="00722E77"/>
    <w:rsid w:val="007422C6"/>
    <w:rsid w:val="0074792A"/>
    <w:rsid w:val="007753D4"/>
    <w:rsid w:val="007B03A6"/>
    <w:rsid w:val="007C4226"/>
    <w:rsid w:val="007D7ED6"/>
    <w:rsid w:val="008943D8"/>
    <w:rsid w:val="00942F83"/>
    <w:rsid w:val="009B4EFB"/>
    <w:rsid w:val="00A06A67"/>
    <w:rsid w:val="00A07876"/>
    <w:rsid w:val="00A11ED2"/>
    <w:rsid w:val="00A744AC"/>
    <w:rsid w:val="00B32D9A"/>
    <w:rsid w:val="00B61273"/>
    <w:rsid w:val="00B9611D"/>
    <w:rsid w:val="00CA100B"/>
    <w:rsid w:val="00D33ED7"/>
    <w:rsid w:val="00D45F67"/>
    <w:rsid w:val="00D96043"/>
    <w:rsid w:val="00DA62D5"/>
    <w:rsid w:val="00DE4399"/>
    <w:rsid w:val="00DE7A9B"/>
    <w:rsid w:val="00F0226B"/>
    <w:rsid w:val="00F9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50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5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07F"/>
    <w:rPr>
      <w:sz w:val="18"/>
      <w:szCs w:val="18"/>
    </w:rPr>
  </w:style>
  <w:style w:type="paragraph" w:styleId="a5">
    <w:name w:val="List Paragraph"/>
    <w:basedOn w:val="a"/>
    <w:uiPriority w:val="34"/>
    <w:qFormat/>
    <w:rsid w:val="00942F8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D68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D68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50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5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07F"/>
    <w:rPr>
      <w:sz w:val="18"/>
      <w:szCs w:val="18"/>
    </w:rPr>
  </w:style>
  <w:style w:type="paragraph" w:styleId="a5">
    <w:name w:val="List Paragraph"/>
    <w:basedOn w:val="a"/>
    <w:uiPriority w:val="34"/>
    <w:qFormat/>
    <w:rsid w:val="00942F8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D68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D68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10" Target="media/image1.png" Type="http://schemas.openxmlformats.org/officeDocument/2006/relationships/image"/>
<Relationship Id="rId11" Target="file:///C:/Documents%20and%20Settings/&#36213;&#20848;&#33738;/Application%20Data/Tencent/Users/1292642844/QQ/WinTemp/RichOle/B%5b9%25QZEB0%7d0B%25O7AU_19U2J.png" TargetMode="External" Type="http://schemas.openxmlformats.org/officeDocument/2006/relationships/image"/>
<Relationship Id="rId12" Target="charts/chart4.xml" Type="http://schemas.openxmlformats.org/officeDocument/2006/relationships/chart"/>
<Relationship Id="rId13" Target="media/image2.png" Type="http://schemas.openxmlformats.org/officeDocument/2006/relationships/image"/>
<Relationship Id="rId14" Target="fontTable.xml" Type="http://schemas.openxmlformats.org/officeDocument/2006/relationships/fontTable"/>
<Relationship Id="rId15" Target="theme/theme1.xml" Type="http://schemas.openxmlformats.org/officeDocument/2006/relationships/theme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charts/chart1.xml" Type="http://schemas.openxmlformats.org/officeDocument/2006/relationships/chart"/>
<Relationship Id="rId8" Target="charts/chart2.xml" Type="http://schemas.openxmlformats.org/officeDocument/2006/relationships/chart"/>
<Relationship Id="rId9" Target="charts/chart3.xml" Type="http://schemas.openxmlformats.org/officeDocument/2006/relationships/chart"/>
</Relationships>

</file>

<file path=word/charts/_rels/chart1.xml.rels><?xml version="1.0" encoding="UTF-8" standalone="yes"?>
<Relationships xmlns="http://schemas.openxmlformats.org/package/2006/relationships">
<Relationship Id="rId1" Target="file:///E:/panjf/&#26700;&#38754;/2014&#24180;&#25253;-&#22270;.xlsx" TargetMode="External" Type="http://schemas.openxmlformats.org/officeDocument/2006/relationships/oleObject"/>
</Relationships>

</file>

<file path=word/charts/_rels/chart2.xml.rels><?xml version="1.0" encoding="UTF-8" standalone="yes"?>
<Relationships xmlns="http://schemas.openxmlformats.org/package/2006/relationships">
<Relationship Id="rId1" Target="file:///E:/panjf/&#26700;&#38754;/2014&#24180;&#25253;-&#22270;.xlsx" TargetMode="External" Type="http://schemas.openxmlformats.org/officeDocument/2006/relationships/oleObject"/>
</Relationships>

</file>

<file path=word/charts/_rels/chart3.xml.rels><?xml version="1.0" encoding="UTF-8" standalone="yes"?>
<Relationships xmlns="http://schemas.openxmlformats.org/package/2006/relationships">
<Relationship Id="rId1" Target="file:///C:/Users/caili/Desktop/&#22609;&#26009;&#21046;&#21697;.xls" TargetMode="External" Type="http://schemas.openxmlformats.org/officeDocument/2006/relationships/oleObject"/>
</Relationships>

</file>

<file path=word/charts/_rels/chart4.xml.rels><?xml version="1.0" encoding="UTF-8" standalone="yes"?>
<Relationships xmlns="http://schemas.openxmlformats.org/package/2006/relationships">
<Relationship Id="rId1" Target="file:///E:/panjf/&#26700;&#38754;/&#23828;&#24635;&#31295;&#20214;/&#25104;&#26412;&#27604;&#23545;.xlsx" TargetMode="External" Type="http://schemas.openxmlformats.org/officeDocument/2006/relationships/oleObject"/>
</Relationships>
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v>油制PP</c:v>
          </c:tx>
          <c:spPr>
            <a:solidFill>
              <a:srgbClr val="EA550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Sheet3!$B$37:$E$37</c:f>
              <c:strCache>
                <c:ptCount val="4"/>
                <c:pt idx="0">
                  <c:v>2012年</c:v>
                </c:pt>
                <c:pt idx="1">
                  <c:v>2013年</c:v>
                </c:pt>
                <c:pt idx="2">
                  <c:v>2014年</c:v>
                </c:pt>
                <c:pt idx="3">
                  <c:v>2015年E</c:v>
                </c:pt>
              </c:strCache>
            </c:strRef>
          </c:cat>
          <c:val>
            <c:numRef>
              <c:f>Sheet3!$B$38:$E$38</c:f>
              <c:numCache>
                <c:formatCode>0%</c:formatCode>
                <c:ptCount val="4"/>
                <c:pt idx="0">
                  <c:v>0.81</c:v>
                </c:pt>
                <c:pt idx="1">
                  <c:v>0.78100000000000003</c:v>
                </c:pt>
                <c:pt idx="2">
                  <c:v>0.69399999999999995</c:v>
                </c:pt>
                <c:pt idx="3">
                  <c:v>0.59799999999999998</c:v>
                </c:pt>
              </c:numCache>
            </c:numRef>
          </c:val>
        </c:ser>
        <c:ser>
          <c:idx val="1"/>
          <c:order val="1"/>
          <c:tx>
            <c:v>煤制PP</c:v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Sheet3!$B$37:$E$37</c:f>
              <c:strCache>
                <c:ptCount val="4"/>
                <c:pt idx="0">
                  <c:v>2012年</c:v>
                </c:pt>
                <c:pt idx="1">
                  <c:v>2013年</c:v>
                </c:pt>
                <c:pt idx="2">
                  <c:v>2014年</c:v>
                </c:pt>
                <c:pt idx="3">
                  <c:v>2015年E</c:v>
                </c:pt>
              </c:strCache>
            </c:strRef>
          </c:cat>
          <c:val>
            <c:numRef>
              <c:f>Sheet3!$B$39:$E$39</c:f>
              <c:numCache>
                <c:formatCode>0%</c:formatCode>
                <c:ptCount val="4"/>
                <c:pt idx="0">
                  <c:v>0.104</c:v>
                </c:pt>
                <c:pt idx="1">
                  <c:v>9.5000000000000001E-2</c:v>
                </c:pt>
                <c:pt idx="2">
                  <c:v>0.17699999999999999</c:v>
                </c:pt>
                <c:pt idx="3">
                  <c:v>0.216</c:v>
                </c:pt>
              </c:numCache>
            </c:numRef>
          </c:val>
        </c:ser>
        <c:ser>
          <c:idx val="2"/>
          <c:order val="2"/>
          <c:tx>
            <c:strRef>
              <c:f>Sheet3!$A$40</c:f>
              <c:strCache>
                <c:ptCount val="1"/>
                <c:pt idx="0">
                  <c:v>外购甲醇制PP</c:v>
                </c:pt>
              </c:strCache>
            </c:strRef>
          </c:tx>
          <c:spPr>
            <a:solidFill>
              <a:srgbClr val="91D476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Sheet3!$B$37:$E$37</c:f>
              <c:strCache>
                <c:ptCount val="4"/>
                <c:pt idx="0">
                  <c:v>2012年</c:v>
                </c:pt>
                <c:pt idx="1">
                  <c:v>2013年</c:v>
                </c:pt>
                <c:pt idx="2">
                  <c:v>2014年</c:v>
                </c:pt>
                <c:pt idx="3">
                  <c:v>2015年E</c:v>
                </c:pt>
              </c:strCache>
            </c:strRef>
          </c:cat>
          <c:val>
            <c:numRef>
              <c:f>Sheet3!$B$40:$E$40</c:f>
              <c:numCache>
                <c:formatCode>0%</c:formatCode>
                <c:ptCount val="4"/>
                <c:pt idx="0">
                  <c:v>8.0000000000000002E-3</c:v>
                </c:pt>
                <c:pt idx="1">
                  <c:v>3.7999999999999999E-2</c:v>
                </c:pt>
                <c:pt idx="2">
                  <c:v>4.2000000000000003E-2</c:v>
                </c:pt>
                <c:pt idx="3">
                  <c:v>6.7000000000000004E-2</c:v>
                </c:pt>
              </c:numCache>
            </c:numRef>
          </c:val>
        </c:ser>
        <c:ser>
          <c:idx val="3"/>
          <c:order val="3"/>
          <c:tx>
            <c:strRef>
              <c:f>Sheet3!$A$41</c:f>
              <c:strCache>
                <c:ptCount val="1"/>
                <c:pt idx="0">
                  <c:v>外购丙烯制PP</c:v>
                </c:pt>
              </c:strCache>
            </c:strRef>
          </c:tx>
          <c:spPr>
            <a:solidFill>
              <a:srgbClr val="4AA9C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Sheet3!$B$37:$E$37</c:f>
              <c:strCache>
                <c:ptCount val="4"/>
                <c:pt idx="0">
                  <c:v>2012年</c:v>
                </c:pt>
                <c:pt idx="1">
                  <c:v>2013年</c:v>
                </c:pt>
                <c:pt idx="2">
                  <c:v>2014年</c:v>
                </c:pt>
                <c:pt idx="3">
                  <c:v>2015年E</c:v>
                </c:pt>
              </c:strCache>
            </c:strRef>
          </c:cat>
          <c:val>
            <c:numRef>
              <c:f>Sheet3!$B$41:$E$41</c:f>
              <c:numCache>
                <c:formatCode>0%</c:formatCode>
                <c:ptCount val="4"/>
                <c:pt idx="0">
                  <c:v>7.8E-2</c:v>
                </c:pt>
                <c:pt idx="1">
                  <c:v>8.6999999999999994E-2</c:v>
                </c:pt>
                <c:pt idx="2">
                  <c:v>0.06</c:v>
                </c:pt>
                <c:pt idx="3">
                  <c:v>5.1999999999999998E-2</c:v>
                </c:pt>
              </c:numCache>
            </c:numRef>
          </c:val>
        </c:ser>
        <c:ser>
          <c:idx val="4"/>
          <c:order val="4"/>
          <c:tx>
            <c:strRef>
              <c:f>Sheet3!$A$42</c:f>
              <c:strCache>
                <c:ptCount val="1"/>
                <c:pt idx="0">
                  <c:v>丙烷脱氢制PP</c:v>
                </c:pt>
              </c:strCache>
            </c:strRef>
          </c:tx>
          <c:spPr>
            <a:solidFill>
              <a:srgbClr val="B4C7E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Sheet3!$B$37:$E$37</c:f>
              <c:strCache>
                <c:ptCount val="4"/>
                <c:pt idx="0">
                  <c:v>2012年</c:v>
                </c:pt>
                <c:pt idx="1">
                  <c:v>2013年</c:v>
                </c:pt>
                <c:pt idx="2">
                  <c:v>2014年</c:v>
                </c:pt>
                <c:pt idx="3">
                  <c:v>2015年E</c:v>
                </c:pt>
              </c:strCache>
            </c:strRef>
          </c:cat>
          <c:val>
            <c:numRef>
              <c:f>Sheet3!$B$42:$E$42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2.7E-2</c:v>
                </c:pt>
                <c:pt idx="3">
                  <c:v>6.7000000000000004E-2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9666560"/>
        <c:axId val="139668096"/>
      </c:barChart>
      <c:catAx>
        <c:axId val="139666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9668096"/>
        <c:crosses val="autoZero"/>
        <c:auto val="1"/>
        <c:lblAlgn val="ctr"/>
        <c:lblOffset val="100"/>
        <c:noMultiLvlLbl val="0"/>
      </c:catAx>
      <c:valAx>
        <c:axId val="139668096"/>
        <c:scaling>
          <c:orientation val="minMax"/>
          <c:max val="1"/>
        </c:scaling>
        <c:delete val="0"/>
        <c:axPos val="l"/>
        <c:numFmt formatCode="0%" sourceLinked="1"/>
        <c:majorTickMark val="out"/>
        <c:minorTickMark val="none"/>
        <c:tickLblPos val="nextTo"/>
        <c:crossAx val="1396665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843803418803416E-2"/>
          <c:y val="0.14597291666666667"/>
          <c:w val="0.79866794871794877"/>
          <c:h val="0.664181249999999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产能</c:v>
                </c:pt>
              </c:strCache>
            </c:strRef>
          </c:tx>
          <c:spPr>
            <a:solidFill>
              <a:srgbClr val="EA5504"/>
            </a:solidFill>
          </c:spPr>
          <c:invertIfNegative val="0"/>
          <c:cat>
            <c:strRef>
              <c:f>Sheet2!$A$7:$A$11</c:f>
              <c:strCache>
                <c:ptCount val="5"/>
                <c:pt idx="0">
                  <c:v>2010年</c:v>
                </c:pt>
                <c:pt idx="1">
                  <c:v>2011年</c:v>
                </c:pt>
                <c:pt idx="2">
                  <c:v>2012年</c:v>
                </c:pt>
                <c:pt idx="3">
                  <c:v>2013年</c:v>
                </c:pt>
                <c:pt idx="4">
                  <c:v>2014年</c:v>
                </c:pt>
              </c:strCache>
            </c:strRef>
          </c:cat>
          <c:val>
            <c:numRef>
              <c:f>Sheet2!$B$7:$B$11</c:f>
              <c:numCache>
                <c:formatCode>General</c:formatCode>
                <c:ptCount val="5"/>
                <c:pt idx="0">
                  <c:v>953</c:v>
                </c:pt>
                <c:pt idx="1">
                  <c:v>1053</c:v>
                </c:pt>
                <c:pt idx="2">
                  <c:v>1218</c:v>
                </c:pt>
                <c:pt idx="3">
                  <c:v>1322</c:v>
                </c:pt>
                <c:pt idx="4">
                  <c:v>1668</c:v>
                </c:pt>
              </c:numCache>
            </c:numRef>
          </c:val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产量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Sheet2!$A$7:$A$11</c:f>
              <c:strCache>
                <c:ptCount val="5"/>
                <c:pt idx="0">
                  <c:v>2010年</c:v>
                </c:pt>
                <c:pt idx="1">
                  <c:v>2011年</c:v>
                </c:pt>
                <c:pt idx="2">
                  <c:v>2012年</c:v>
                </c:pt>
                <c:pt idx="3">
                  <c:v>2013年</c:v>
                </c:pt>
                <c:pt idx="4">
                  <c:v>2014年</c:v>
                </c:pt>
              </c:strCache>
            </c:strRef>
          </c:cat>
          <c:val>
            <c:numRef>
              <c:f>Sheet2!$C$7:$C$11</c:f>
              <c:numCache>
                <c:formatCode>General</c:formatCode>
                <c:ptCount val="5"/>
                <c:pt idx="0">
                  <c:v>921.8</c:v>
                </c:pt>
                <c:pt idx="1">
                  <c:v>980.4</c:v>
                </c:pt>
                <c:pt idx="2">
                  <c:v>1121.5999999999999</c:v>
                </c:pt>
                <c:pt idx="3">
                  <c:v>1238.5</c:v>
                </c:pt>
                <c:pt idx="4">
                  <c:v>1377.4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704192"/>
        <c:axId val="139705728"/>
      </c:barChart>
      <c:lineChart>
        <c:grouping val="standard"/>
        <c:varyColors val="0"/>
        <c:ser>
          <c:idx val="2"/>
          <c:order val="2"/>
          <c:tx>
            <c:strRef>
              <c:f>Sheet2!$D$1</c:f>
              <c:strCache>
                <c:ptCount val="1"/>
                <c:pt idx="0">
                  <c:v>开工率</c:v>
                </c:pt>
              </c:strCache>
            </c:strRef>
          </c:tx>
          <c:marker>
            <c:symbol val="triangle"/>
            <c:size val="7"/>
          </c:marker>
          <c:dLbls>
            <c:numFmt formatCode="0%" sourceLinked="0"/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Sheet2!$A$7:$A$11</c:f>
              <c:strCache>
                <c:ptCount val="5"/>
                <c:pt idx="0">
                  <c:v>2010年</c:v>
                </c:pt>
                <c:pt idx="1">
                  <c:v>2011年</c:v>
                </c:pt>
                <c:pt idx="2">
                  <c:v>2012年</c:v>
                </c:pt>
                <c:pt idx="3">
                  <c:v>2013年</c:v>
                </c:pt>
                <c:pt idx="4">
                  <c:v>2014年</c:v>
                </c:pt>
              </c:strCache>
            </c:strRef>
          </c:cat>
          <c:val>
            <c:numRef>
              <c:f>Sheet2!$D$7:$D$11</c:f>
              <c:numCache>
                <c:formatCode>0.00%</c:formatCode>
                <c:ptCount val="5"/>
                <c:pt idx="0">
                  <c:v>0.96726128016789081</c:v>
                </c:pt>
                <c:pt idx="1">
                  <c:v>0.93105413105413104</c:v>
                </c:pt>
                <c:pt idx="2">
                  <c:v>0.92085385878489323</c:v>
                </c:pt>
                <c:pt idx="3">
                  <c:v>0.93683812405446298</c:v>
                </c:pt>
                <c:pt idx="4">
                  <c:v>0.82577937649880107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713536"/>
        <c:axId val="139712000"/>
      </c:lineChart>
      <c:catAx>
        <c:axId val="139704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3600000"/>
          <a:lstStyle/>
          <a:p>
            <a:pPr>
              <a:defRPr/>
            </a:pPr>
            <a:endParaRPr lang="zh-CN"/>
          </a:p>
        </c:txPr>
        <c:crossAx val="139705728"/>
        <c:crosses val="autoZero"/>
        <c:auto val="1"/>
        <c:lblAlgn val="ctr"/>
        <c:lblOffset val="100"/>
        <c:noMultiLvlLbl val="0"/>
      </c:catAx>
      <c:valAx>
        <c:axId val="139705728"/>
        <c:scaling>
          <c:orientation val="minMax"/>
          <c:max val="18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zh-CN" altLang="en-US" b="0"/>
                  <a:t>万吨</a:t>
                </a:r>
              </a:p>
            </c:rich>
          </c:tx>
          <c:layout>
            <c:manualLayout>
              <c:xMode val="edge"/>
              <c:yMode val="edge"/>
              <c:x val="4.51015612321242E-2"/>
              <c:y val="2.6715188827257676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39704192"/>
        <c:crosses val="autoZero"/>
        <c:crossBetween val="between"/>
      </c:valAx>
      <c:valAx>
        <c:axId val="139712000"/>
        <c:scaling>
          <c:orientation val="minMax"/>
          <c:max val="1.3"/>
          <c:min val="0.70000000000000007"/>
        </c:scaling>
        <c:delete val="0"/>
        <c:axPos val="r"/>
        <c:numFmt formatCode="0%" sourceLinked="0"/>
        <c:majorTickMark val="out"/>
        <c:minorTickMark val="none"/>
        <c:tickLblPos val="nextTo"/>
        <c:crossAx val="139713536"/>
        <c:crosses val="max"/>
        <c:crossBetween val="between"/>
      </c:valAx>
      <c:catAx>
        <c:axId val="1397135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9712000"/>
        <c:crosses val="autoZero"/>
        <c:auto val="1"/>
        <c:lblAlgn val="ctr"/>
        <c:lblOffset val="100"/>
        <c:noMultiLvlLbl val="0"/>
      </c:catAx>
      <c:spPr>
        <a:noFill/>
      </c:spPr>
    </c:plotArea>
    <c:legend>
      <c:legendPos val="b"/>
      <c:layout>
        <c:manualLayout>
          <c:xMode val="edge"/>
          <c:yMode val="edge"/>
          <c:x val="0.26608119658119656"/>
          <c:y val="0.15296770833333331"/>
          <c:w val="0.4624102564102564"/>
          <c:h val="7.9740624999999996E-2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01550743657043"/>
          <c:y val="7.4548702245552642E-2"/>
          <c:w val="0.74270363079615054"/>
          <c:h val="0.748939195100612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Sheet1!$J$220</c:f>
              <c:strCache>
                <c:ptCount val="1"/>
                <c:pt idx="0">
                  <c:v>产量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cat>
            <c:strRef>
              <c:f>Sheet1!$I$222:$I$236</c:f>
              <c:strCache>
                <c:ptCount val="15"/>
                <c:pt idx="0">
                  <c:v>2000年</c:v>
                </c:pt>
                <c:pt idx="1">
                  <c:v>2001年</c:v>
                </c:pt>
                <c:pt idx="2">
                  <c:v>2002年</c:v>
                </c:pt>
                <c:pt idx="3">
                  <c:v>2003年</c:v>
                </c:pt>
                <c:pt idx="4">
                  <c:v>2004年</c:v>
                </c:pt>
                <c:pt idx="5">
                  <c:v>2005年</c:v>
                </c:pt>
                <c:pt idx="6">
                  <c:v>2006年</c:v>
                </c:pt>
                <c:pt idx="7">
                  <c:v>2007年</c:v>
                </c:pt>
                <c:pt idx="8">
                  <c:v>2008年</c:v>
                </c:pt>
                <c:pt idx="9">
                  <c:v>2009年</c:v>
                </c:pt>
                <c:pt idx="10">
                  <c:v>2010年</c:v>
                </c:pt>
                <c:pt idx="11">
                  <c:v>2011年</c:v>
                </c:pt>
                <c:pt idx="12">
                  <c:v>2012年</c:v>
                </c:pt>
                <c:pt idx="13">
                  <c:v>2013年</c:v>
                </c:pt>
                <c:pt idx="14">
                  <c:v>2014年</c:v>
                </c:pt>
              </c:strCache>
            </c:strRef>
          </c:cat>
          <c:val>
            <c:numRef>
              <c:f>Sheet1!$J$222:$J$236</c:f>
              <c:numCache>
                <c:formatCode>General</c:formatCode>
                <c:ptCount val="15"/>
                <c:pt idx="0" formatCode="###,###,###,###,##0.00_ ">
                  <c:v>1025.07</c:v>
                </c:pt>
                <c:pt idx="1">
                  <c:v>1164.75</c:v>
                </c:pt>
                <c:pt idx="2">
                  <c:v>1370.8799999999999</c:v>
                </c:pt>
                <c:pt idx="3">
                  <c:v>1652.0200000000002</c:v>
                </c:pt>
                <c:pt idx="4">
                  <c:v>1908.05</c:v>
                </c:pt>
                <c:pt idx="5">
                  <c:v>2193.86</c:v>
                </c:pt>
                <c:pt idx="6">
                  <c:v>2938.83</c:v>
                </c:pt>
                <c:pt idx="7">
                  <c:v>3229.67</c:v>
                </c:pt>
                <c:pt idx="8">
                  <c:v>3839.3699999999994</c:v>
                </c:pt>
                <c:pt idx="9">
                  <c:v>4542.99</c:v>
                </c:pt>
                <c:pt idx="10">
                  <c:v>5731.4024999999992</c:v>
                </c:pt>
                <c:pt idx="11">
                  <c:v>5602.8312999999998</c:v>
                </c:pt>
                <c:pt idx="12">
                  <c:v>5995.6925000000001</c:v>
                </c:pt>
                <c:pt idx="13">
                  <c:v>6273.8933999999999</c:v>
                </c:pt>
                <c:pt idx="14">
                  <c:v>6366.5698000000011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809536"/>
        <c:axId val="139811072"/>
      </c:barChart>
      <c:lineChart>
        <c:grouping val="standard"/>
        <c:varyColors val="0"/>
        <c:ser>
          <c:idx val="1"/>
          <c:order val="1"/>
          <c:tx>
            <c:strRef>
              <c:f>Sheet1!$K$220</c:f>
              <c:strCache>
                <c:ptCount val="1"/>
                <c:pt idx="0">
                  <c:v>增长率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none"/>
          </c:marker>
          <c:cat>
            <c:strRef>
              <c:f>Sheet1!$I$222:$I$236</c:f>
              <c:strCache>
                <c:ptCount val="15"/>
                <c:pt idx="0">
                  <c:v>2000年</c:v>
                </c:pt>
                <c:pt idx="1">
                  <c:v>2001年</c:v>
                </c:pt>
                <c:pt idx="2">
                  <c:v>2002年</c:v>
                </c:pt>
                <c:pt idx="3">
                  <c:v>2003年</c:v>
                </c:pt>
                <c:pt idx="4">
                  <c:v>2004年</c:v>
                </c:pt>
                <c:pt idx="5">
                  <c:v>2005年</c:v>
                </c:pt>
                <c:pt idx="6">
                  <c:v>2006年</c:v>
                </c:pt>
                <c:pt idx="7">
                  <c:v>2007年</c:v>
                </c:pt>
                <c:pt idx="8">
                  <c:v>2008年</c:v>
                </c:pt>
                <c:pt idx="9">
                  <c:v>2009年</c:v>
                </c:pt>
                <c:pt idx="10">
                  <c:v>2010年</c:v>
                </c:pt>
                <c:pt idx="11">
                  <c:v>2011年</c:v>
                </c:pt>
                <c:pt idx="12">
                  <c:v>2012年</c:v>
                </c:pt>
                <c:pt idx="13">
                  <c:v>2013年</c:v>
                </c:pt>
                <c:pt idx="14">
                  <c:v>2014年</c:v>
                </c:pt>
              </c:strCache>
            </c:strRef>
          </c:cat>
          <c:val>
            <c:numRef>
              <c:f>Sheet1!$K$222:$K$236</c:f>
              <c:numCache>
                <c:formatCode>0%</c:formatCode>
                <c:ptCount val="15"/>
                <c:pt idx="0">
                  <c:v>0.13872626889878789</c:v>
                </c:pt>
                <c:pt idx="1">
                  <c:v>0.13626386490678694</c:v>
                </c:pt>
                <c:pt idx="2">
                  <c:v>0.17697359948486791</c:v>
                </c:pt>
                <c:pt idx="3">
                  <c:v>0.20507994864612536</c:v>
                </c:pt>
                <c:pt idx="4">
                  <c:v>0.15497996392295477</c:v>
                </c:pt>
                <c:pt idx="5">
                  <c:v>0.14979167212599259</c:v>
                </c:pt>
                <c:pt idx="6">
                  <c:v>0.33957043749373239</c:v>
                </c:pt>
                <c:pt idx="7">
                  <c:v>9.8964553921118317E-2</c:v>
                </c:pt>
                <c:pt idx="8">
                  <c:v>0.18878089711951976</c:v>
                </c:pt>
                <c:pt idx="9">
                  <c:v>0.18326444182248661</c:v>
                </c:pt>
                <c:pt idx="10">
                  <c:v>0.26159258549985792</c:v>
                </c:pt>
                <c:pt idx="11">
                  <c:v>-2.243276405731397E-2</c:v>
                </c:pt>
                <c:pt idx="12">
                  <c:v>7.0118334635561899E-2</c:v>
                </c:pt>
                <c:pt idx="13">
                  <c:v>4.6400128091959321E-2</c:v>
                </c:pt>
                <c:pt idx="14">
                  <c:v>1.4771752417725362E-2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818496"/>
        <c:axId val="139816960"/>
      </c:lineChart>
      <c:catAx>
        <c:axId val="139809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39811072"/>
        <c:crosses val="autoZero"/>
        <c:auto val="1"/>
        <c:lblAlgn val="ctr"/>
        <c:lblOffset val="100"/>
        <c:noMultiLvlLbl val="0"/>
      </c:catAx>
      <c:valAx>
        <c:axId val="139811072"/>
        <c:scaling>
          <c:orientation val="minMax"/>
        </c:scaling>
        <c:delete val="0"/>
        <c:axPos val="l"/>
        <c:majorGridlines/>
        <c:numFmt formatCode="###,###,###,###,##0.00_ " sourceLinked="1"/>
        <c:majorTickMark val="out"/>
        <c:minorTickMark val="none"/>
        <c:tickLblPos val="nextTo"/>
        <c:crossAx val="139809536"/>
        <c:crosses val="autoZero"/>
        <c:crossBetween val="between"/>
      </c:valAx>
      <c:valAx>
        <c:axId val="139816960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crossAx val="139818496"/>
        <c:crosses val="max"/>
        <c:crossBetween val="between"/>
      </c:valAx>
      <c:catAx>
        <c:axId val="139818496"/>
        <c:scaling>
          <c:orientation val="minMax"/>
        </c:scaling>
        <c:delete val="1"/>
        <c:axPos val="b"/>
        <c:majorTickMark val="out"/>
        <c:minorTickMark val="none"/>
        <c:tickLblPos val="nextTo"/>
        <c:crossAx val="139816960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22777777777777777"/>
          <c:y val="0.11072725284339457"/>
          <c:w val="0.40833333333333333"/>
          <c:h val="7.4841790609507131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 sz="1200" dirty="0">
                <a:latin typeface="微软雅黑" panose="020B0503020204020204" pitchFamily="34" charset="-122"/>
                <a:ea typeface="微软雅黑" panose="020B0503020204020204" pitchFamily="34" charset="-122"/>
              </a:rPr>
              <a:t>不同工艺路线烯烃成本对比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6000425934996015"/>
          <c:y val="0.10178827226098609"/>
          <c:w val="0.721420933694772"/>
          <c:h val="0.60765154552812684"/>
        </c:manualLayout>
      </c:layout>
      <c:lineChart>
        <c:grouping val="standard"/>
        <c:varyColors val="0"/>
        <c:ser>
          <c:idx val="0"/>
          <c:order val="0"/>
          <c:tx>
            <c:strRef>
              <c:f>综合成本对比!$B$260</c:f>
              <c:strCache>
                <c:ptCount val="1"/>
                <c:pt idx="0">
                  <c:v>煤制</c:v>
                </c:pt>
              </c:strCache>
            </c:strRef>
          </c:tx>
          <c:spPr>
            <a:ln w="28575">
              <a:solidFill>
                <a:srgbClr val="EA5504"/>
              </a:solidFill>
            </a:ln>
          </c:spPr>
          <c:marker>
            <c:symbol val="none"/>
          </c:marker>
          <c:cat>
            <c:numRef>
              <c:f>综合成本对比!$A$261:$A$392</c:f>
              <c:numCache>
                <c:formatCode>yyyy\-mm\-dd;@</c:formatCode>
                <c:ptCount val="132"/>
                <c:pt idx="0">
                  <c:v>41913</c:v>
                </c:pt>
                <c:pt idx="1">
                  <c:v>41914</c:v>
                </c:pt>
                <c:pt idx="2">
                  <c:v>41915</c:v>
                </c:pt>
                <c:pt idx="3">
                  <c:v>41916</c:v>
                </c:pt>
                <c:pt idx="4">
                  <c:v>41917</c:v>
                </c:pt>
                <c:pt idx="5">
                  <c:v>41918</c:v>
                </c:pt>
                <c:pt idx="6">
                  <c:v>41919</c:v>
                </c:pt>
                <c:pt idx="7">
                  <c:v>41920</c:v>
                </c:pt>
                <c:pt idx="8">
                  <c:v>41921</c:v>
                </c:pt>
                <c:pt idx="9">
                  <c:v>41922</c:v>
                </c:pt>
                <c:pt idx="10">
                  <c:v>41925</c:v>
                </c:pt>
                <c:pt idx="11">
                  <c:v>41926</c:v>
                </c:pt>
                <c:pt idx="12">
                  <c:v>41927</c:v>
                </c:pt>
                <c:pt idx="13">
                  <c:v>41928</c:v>
                </c:pt>
                <c:pt idx="14">
                  <c:v>41929</c:v>
                </c:pt>
                <c:pt idx="15">
                  <c:v>41932</c:v>
                </c:pt>
                <c:pt idx="16">
                  <c:v>41933</c:v>
                </c:pt>
                <c:pt idx="17">
                  <c:v>41934</c:v>
                </c:pt>
                <c:pt idx="18">
                  <c:v>41935</c:v>
                </c:pt>
                <c:pt idx="19">
                  <c:v>41936</c:v>
                </c:pt>
                <c:pt idx="20">
                  <c:v>41939</c:v>
                </c:pt>
                <c:pt idx="21">
                  <c:v>41940</c:v>
                </c:pt>
                <c:pt idx="22">
                  <c:v>41941</c:v>
                </c:pt>
                <c:pt idx="23">
                  <c:v>41942</c:v>
                </c:pt>
                <c:pt idx="24">
                  <c:v>41943</c:v>
                </c:pt>
                <c:pt idx="25">
                  <c:v>41946</c:v>
                </c:pt>
                <c:pt idx="26">
                  <c:v>41947</c:v>
                </c:pt>
                <c:pt idx="27">
                  <c:v>41948</c:v>
                </c:pt>
                <c:pt idx="28">
                  <c:v>41949</c:v>
                </c:pt>
                <c:pt idx="29">
                  <c:v>41950</c:v>
                </c:pt>
                <c:pt idx="30">
                  <c:v>41953</c:v>
                </c:pt>
                <c:pt idx="31">
                  <c:v>41954</c:v>
                </c:pt>
                <c:pt idx="32">
                  <c:v>41955</c:v>
                </c:pt>
                <c:pt idx="33">
                  <c:v>41956</c:v>
                </c:pt>
                <c:pt idx="34">
                  <c:v>41957</c:v>
                </c:pt>
                <c:pt idx="35">
                  <c:v>41960</c:v>
                </c:pt>
                <c:pt idx="36">
                  <c:v>41961</c:v>
                </c:pt>
                <c:pt idx="37">
                  <c:v>41962</c:v>
                </c:pt>
                <c:pt idx="38">
                  <c:v>41963</c:v>
                </c:pt>
                <c:pt idx="39">
                  <c:v>41964</c:v>
                </c:pt>
                <c:pt idx="40">
                  <c:v>41967</c:v>
                </c:pt>
                <c:pt idx="41">
                  <c:v>41968</c:v>
                </c:pt>
                <c:pt idx="42">
                  <c:v>41969</c:v>
                </c:pt>
                <c:pt idx="43">
                  <c:v>41970</c:v>
                </c:pt>
                <c:pt idx="44">
                  <c:v>41971</c:v>
                </c:pt>
                <c:pt idx="45">
                  <c:v>41974</c:v>
                </c:pt>
                <c:pt idx="46">
                  <c:v>41975</c:v>
                </c:pt>
                <c:pt idx="47">
                  <c:v>41976</c:v>
                </c:pt>
                <c:pt idx="48">
                  <c:v>41977</c:v>
                </c:pt>
                <c:pt idx="49">
                  <c:v>41978</c:v>
                </c:pt>
                <c:pt idx="50">
                  <c:v>41981</c:v>
                </c:pt>
                <c:pt idx="51">
                  <c:v>41982</c:v>
                </c:pt>
                <c:pt idx="52">
                  <c:v>41983</c:v>
                </c:pt>
                <c:pt idx="53">
                  <c:v>41984</c:v>
                </c:pt>
                <c:pt idx="54">
                  <c:v>41985</c:v>
                </c:pt>
                <c:pt idx="55">
                  <c:v>41988</c:v>
                </c:pt>
                <c:pt idx="56">
                  <c:v>41989</c:v>
                </c:pt>
                <c:pt idx="57">
                  <c:v>41990</c:v>
                </c:pt>
                <c:pt idx="58">
                  <c:v>41991</c:v>
                </c:pt>
                <c:pt idx="59">
                  <c:v>41992</c:v>
                </c:pt>
                <c:pt idx="60">
                  <c:v>41995</c:v>
                </c:pt>
                <c:pt idx="61">
                  <c:v>41996</c:v>
                </c:pt>
                <c:pt idx="62">
                  <c:v>41997</c:v>
                </c:pt>
                <c:pt idx="63">
                  <c:v>41998</c:v>
                </c:pt>
                <c:pt idx="64">
                  <c:v>41999</c:v>
                </c:pt>
                <c:pt idx="65">
                  <c:v>42002</c:v>
                </c:pt>
                <c:pt idx="66">
                  <c:v>42003</c:v>
                </c:pt>
                <c:pt idx="67">
                  <c:v>42004</c:v>
                </c:pt>
                <c:pt idx="68">
                  <c:v>42005</c:v>
                </c:pt>
                <c:pt idx="69">
                  <c:v>42006</c:v>
                </c:pt>
                <c:pt idx="70">
                  <c:v>42009</c:v>
                </c:pt>
                <c:pt idx="71">
                  <c:v>42010</c:v>
                </c:pt>
                <c:pt idx="72">
                  <c:v>42011</c:v>
                </c:pt>
                <c:pt idx="73">
                  <c:v>42012</c:v>
                </c:pt>
                <c:pt idx="74">
                  <c:v>42013</c:v>
                </c:pt>
                <c:pt idx="75">
                  <c:v>42016</c:v>
                </c:pt>
                <c:pt idx="76">
                  <c:v>42017</c:v>
                </c:pt>
                <c:pt idx="77">
                  <c:v>42018</c:v>
                </c:pt>
                <c:pt idx="78">
                  <c:v>42019</c:v>
                </c:pt>
                <c:pt idx="79">
                  <c:v>42020</c:v>
                </c:pt>
                <c:pt idx="80">
                  <c:v>42023</c:v>
                </c:pt>
                <c:pt idx="81">
                  <c:v>42024</c:v>
                </c:pt>
                <c:pt idx="82">
                  <c:v>42025</c:v>
                </c:pt>
                <c:pt idx="83">
                  <c:v>42026</c:v>
                </c:pt>
                <c:pt idx="84">
                  <c:v>42027</c:v>
                </c:pt>
                <c:pt idx="85">
                  <c:v>42030</c:v>
                </c:pt>
                <c:pt idx="86">
                  <c:v>42031</c:v>
                </c:pt>
                <c:pt idx="87">
                  <c:v>42032</c:v>
                </c:pt>
                <c:pt idx="88">
                  <c:v>42033</c:v>
                </c:pt>
                <c:pt idx="89">
                  <c:v>42034</c:v>
                </c:pt>
                <c:pt idx="90">
                  <c:v>42037</c:v>
                </c:pt>
                <c:pt idx="91">
                  <c:v>42038</c:v>
                </c:pt>
                <c:pt idx="92">
                  <c:v>42039</c:v>
                </c:pt>
                <c:pt idx="93">
                  <c:v>42040</c:v>
                </c:pt>
                <c:pt idx="94">
                  <c:v>42041</c:v>
                </c:pt>
                <c:pt idx="95">
                  <c:v>42044</c:v>
                </c:pt>
                <c:pt idx="96">
                  <c:v>42045</c:v>
                </c:pt>
                <c:pt idx="97">
                  <c:v>42046</c:v>
                </c:pt>
                <c:pt idx="98">
                  <c:v>42047</c:v>
                </c:pt>
                <c:pt idx="99">
                  <c:v>42060</c:v>
                </c:pt>
                <c:pt idx="100">
                  <c:v>42061</c:v>
                </c:pt>
                <c:pt idx="101">
                  <c:v>42062</c:v>
                </c:pt>
                <c:pt idx="102">
                  <c:v>42065</c:v>
                </c:pt>
                <c:pt idx="103">
                  <c:v>42066</c:v>
                </c:pt>
                <c:pt idx="104">
                  <c:v>42067</c:v>
                </c:pt>
                <c:pt idx="105">
                  <c:v>42068</c:v>
                </c:pt>
                <c:pt idx="106">
                  <c:v>42069</c:v>
                </c:pt>
                <c:pt idx="107">
                  <c:v>42072</c:v>
                </c:pt>
                <c:pt idx="108">
                  <c:v>42073</c:v>
                </c:pt>
                <c:pt idx="109">
                  <c:v>42074</c:v>
                </c:pt>
                <c:pt idx="110">
                  <c:v>42075</c:v>
                </c:pt>
                <c:pt idx="111">
                  <c:v>42076</c:v>
                </c:pt>
                <c:pt idx="112">
                  <c:v>42079</c:v>
                </c:pt>
                <c:pt idx="113">
                  <c:v>42080</c:v>
                </c:pt>
                <c:pt idx="114">
                  <c:v>42081</c:v>
                </c:pt>
                <c:pt idx="115">
                  <c:v>42082</c:v>
                </c:pt>
                <c:pt idx="116">
                  <c:v>42083</c:v>
                </c:pt>
                <c:pt idx="117">
                  <c:v>42086</c:v>
                </c:pt>
                <c:pt idx="118">
                  <c:v>42087</c:v>
                </c:pt>
                <c:pt idx="119">
                  <c:v>42088</c:v>
                </c:pt>
                <c:pt idx="120">
                  <c:v>42089</c:v>
                </c:pt>
                <c:pt idx="121">
                  <c:v>42090</c:v>
                </c:pt>
                <c:pt idx="122">
                  <c:v>42093</c:v>
                </c:pt>
                <c:pt idx="123">
                  <c:v>42094</c:v>
                </c:pt>
                <c:pt idx="124" formatCode="m/d/yyyy">
                  <c:v>42095</c:v>
                </c:pt>
                <c:pt idx="125" formatCode="m/d/yyyy">
                  <c:v>42096</c:v>
                </c:pt>
                <c:pt idx="126" formatCode="m/d/yyyy">
                  <c:v>42097</c:v>
                </c:pt>
                <c:pt idx="127" formatCode="m/d/yyyy">
                  <c:v>42100</c:v>
                </c:pt>
                <c:pt idx="128" formatCode="m/d/yyyy">
                  <c:v>42101</c:v>
                </c:pt>
                <c:pt idx="129" formatCode="m/d/yyyy">
                  <c:v>42102</c:v>
                </c:pt>
                <c:pt idx="130" formatCode="m/d/yyyy">
                  <c:v>42103</c:v>
                </c:pt>
                <c:pt idx="131" formatCode="m/d/yyyy">
                  <c:v>42104</c:v>
                </c:pt>
              </c:numCache>
            </c:numRef>
          </c:cat>
          <c:val>
            <c:numRef>
              <c:f>综合成本对比!$B$261:$B$392</c:f>
              <c:numCache>
                <c:formatCode>General</c:formatCode>
                <c:ptCount val="132"/>
                <c:pt idx="0">
                  <c:v>4409.822403846154</c:v>
                </c:pt>
                <c:pt idx="1">
                  <c:v>4409.822403846154</c:v>
                </c:pt>
                <c:pt idx="2">
                  <c:v>4409.822403846154</c:v>
                </c:pt>
                <c:pt idx="3">
                  <c:v>4409.822403846154</c:v>
                </c:pt>
                <c:pt idx="4">
                  <c:v>4409.822403846154</c:v>
                </c:pt>
                <c:pt idx="5">
                  <c:v>4409.822403846154</c:v>
                </c:pt>
                <c:pt idx="6">
                  <c:v>4409.822403846154</c:v>
                </c:pt>
                <c:pt idx="7">
                  <c:v>4409.822403846154</c:v>
                </c:pt>
                <c:pt idx="8">
                  <c:v>4409.822403846154</c:v>
                </c:pt>
                <c:pt idx="9">
                  <c:v>4475.8850000000002</c:v>
                </c:pt>
                <c:pt idx="10">
                  <c:v>4475.8850000000002</c:v>
                </c:pt>
                <c:pt idx="11">
                  <c:v>4475.8850000000002</c:v>
                </c:pt>
                <c:pt idx="12">
                  <c:v>4475.8850000000002</c:v>
                </c:pt>
                <c:pt idx="13">
                  <c:v>4475.8850000000002</c:v>
                </c:pt>
                <c:pt idx="14">
                  <c:v>4475.8850000000002</c:v>
                </c:pt>
                <c:pt idx="15">
                  <c:v>4475.8850000000002</c:v>
                </c:pt>
                <c:pt idx="16">
                  <c:v>4475.8850000000002</c:v>
                </c:pt>
                <c:pt idx="17">
                  <c:v>4475.8850000000002</c:v>
                </c:pt>
                <c:pt idx="18">
                  <c:v>4475.8850000000002</c:v>
                </c:pt>
                <c:pt idx="19">
                  <c:v>4475.8850000000002</c:v>
                </c:pt>
                <c:pt idx="20">
                  <c:v>4475.8850000000002</c:v>
                </c:pt>
                <c:pt idx="21">
                  <c:v>4475.8850000000002</c:v>
                </c:pt>
                <c:pt idx="22">
                  <c:v>4475.8850000000002</c:v>
                </c:pt>
                <c:pt idx="23">
                  <c:v>4475.8850000000002</c:v>
                </c:pt>
                <c:pt idx="24">
                  <c:v>4475.8850000000002</c:v>
                </c:pt>
                <c:pt idx="25">
                  <c:v>4475.8850000000002</c:v>
                </c:pt>
                <c:pt idx="26">
                  <c:v>4475.8850000000002</c:v>
                </c:pt>
                <c:pt idx="27">
                  <c:v>4475.8850000000002</c:v>
                </c:pt>
                <c:pt idx="28">
                  <c:v>4475.8850000000002</c:v>
                </c:pt>
                <c:pt idx="29">
                  <c:v>4511.9810576923082</c:v>
                </c:pt>
                <c:pt idx="30">
                  <c:v>4511.9810576923082</c:v>
                </c:pt>
                <c:pt idx="31">
                  <c:v>4511.9810576923082</c:v>
                </c:pt>
                <c:pt idx="32">
                  <c:v>4511.9810576923082</c:v>
                </c:pt>
                <c:pt idx="33">
                  <c:v>4511.9810576923082</c:v>
                </c:pt>
                <c:pt idx="34">
                  <c:v>4511.9810576923082</c:v>
                </c:pt>
                <c:pt idx="35">
                  <c:v>4511.9810576923082</c:v>
                </c:pt>
                <c:pt idx="36">
                  <c:v>4511.9810576923082</c:v>
                </c:pt>
                <c:pt idx="37">
                  <c:v>4511.9810576923082</c:v>
                </c:pt>
                <c:pt idx="38">
                  <c:v>4511.9810576923082</c:v>
                </c:pt>
                <c:pt idx="39">
                  <c:v>4511.9810576923082</c:v>
                </c:pt>
                <c:pt idx="40">
                  <c:v>4511.9810576923082</c:v>
                </c:pt>
                <c:pt idx="41">
                  <c:v>4511.9810576923082</c:v>
                </c:pt>
                <c:pt idx="42">
                  <c:v>4511.9810576923082</c:v>
                </c:pt>
                <c:pt idx="43">
                  <c:v>4511.9810576923082</c:v>
                </c:pt>
                <c:pt idx="44">
                  <c:v>4511.9810576923082</c:v>
                </c:pt>
                <c:pt idx="45">
                  <c:v>4511.9810576923082</c:v>
                </c:pt>
                <c:pt idx="46">
                  <c:v>4511.9810576923082</c:v>
                </c:pt>
                <c:pt idx="47">
                  <c:v>4511.9810576923082</c:v>
                </c:pt>
                <c:pt idx="48">
                  <c:v>4511.9810576923082</c:v>
                </c:pt>
                <c:pt idx="49">
                  <c:v>4511.9810576923082</c:v>
                </c:pt>
                <c:pt idx="50">
                  <c:v>4511.9810576923082</c:v>
                </c:pt>
                <c:pt idx="51">
                  <c:v>4511.9810576923082</c:v>
                </c:pt>
                <c:pt idx="52">
                  <c:v>4511.9810576923082</c:v>
                </c:pt>
                <c:pt idx="53">
                  <c:v>4511.9810576923082</c:v>
                </c:pt>
                <c:pt idx="54">
                  <c:v>4511.9810576923082</c:v>
                </c:pt>
                <c:pt idx="55">
                  <c:v>4511.9810576923082</c:v>
                </c:pt>
                <c:pt idx="56">
                  <c:v>4511.9810576923082</c:v>
                </c:pt>
                <c:pt idx="57">
                  <c:v>4511.9810576923082</c:v>
                </c:pt>
                <c:pt idx="58">
                  <c:v>4511.9810576923082</c:v>
                </c:pt>
                <c:pt idx="59">
                  <c:v>4511.9810576923082</c:v>
                </c:pt>
                <c:pt idx="60">
                  <c:v>4511.9810576923082</c:v>
                </c:pt>
                <c:pt idx="61" formatCode="@">
                  <c:v>4475.8850000000002</c:v>
                </c:pt>
                <c:pt idx="62" formatCode="@">
                  <c:v>4475.8850000000002</c:v>
                </c:pt>
                <c:pt idx="63" formatCode="@">
                  <c:v>4475.8850000000002</c:v>
                </c:pt>
                <c:pt idx="64" formatCode="@">
                  <c:v>4475.8850000000002</c:v>
                </c:pt>
                <c:pt idx="65" formatCode="@">
                  <c:v>4475.8850000000002</c:v>
                </c:pt>
                <c:pt idx="66" formatCode="@">
                  <c:v>4475.8850000000002</c:v>
                </c:pt>
                <c:pt idx="67" formatCode="@">
                  <c:v>4475.8850000000002</c:v>
                </c:pt>
                <c:pt idx="68" formatCode="@">
                  <c:v>4475.8850000000002</c:v>
                </c:pt>
                <c:pt idx="69" formatCode="@">
                  <c:v>4475.8850000000002</c:v>
                </c:pt>
                <c:pt idx="70" formatCode="@">
                  <c:v>4475.8850000000002</c:v>
                </c:pt>
                <c:pt idx="71">
                  <c:v>4475.8850000000002</c:v>
                </c:pt>
                <c:pt idx="72">
                  <c:v>4475.8850000000002</c:v>
                </c:pt>
                <c:pt idx="73">
                  <c:v>4379.8558653846158</c:v>
                </c:pt>
                <c:pt idx="74">
                  <c:v>4379.8558653846158</c:v>
                </c:pt>
                <c:pt idx="75">
                  <c:v>4379.8558653846158</c:v>
                </c:pt>
                <c:pt idx="76" formatCode="@">
                  <c:v>4379.8558653846158</c:v>
                </c:pt>
                <c:pt idx="77" formatCode="@">
                  <c:v>4379.8558653846158</c:v>
                </c:pt>
                <c:pt idx="78" formatCode="@">
                  <c:v>4379.8558653846158</c:v>
                </c:pt>
                <c:pt idx="79" formatCode="@">
                  <c:v>4379.8558653846158</c:v>
                </c:pt>
                <c:pt idx="80" formatCode="@">
                  <c:v>4379.8558653846158</c:v>
                </c:pt>
                <c:pt idx="81" formatCode="@">
                  <c:v>4379.8558653846158</c:v>
                </c:pt>
                <c:pt idx="82" formatCode="@">
                  <c:v>4379.8558653846158</c:v>
                </c:pt>
                <c:pt idx="83" formatCode="@">
                  <c:v>4379.8558653846158</c:v>
                </c:pt>
                <c:pt idx="84" formatCode="@">
                  <c:v>4379.8558653846158</c:v>
                </c:pt>
                <c:pt idx="85" formatCode="@">
                  <c:v>4379.8558653846158</c:v>
                </c:pt>
                <c:pt idx="86" formatCode="@">
                  <c:v>4379.8558653846158</c:v>
                </c:pt>
                <c:pt idx="87" formatCode="@">
                  <c:v>4379.8558653846158</c:v>
                </c:pt>
                <c:pt idx="88" formatCode="@">
                  <c:v>4373.726346153846</c:v>
                </c:pt>
                <c:pt idx="89" formatCode="@">
                  <c:v>4373.726346153846</c:v>
                </c:pt>
                <c:pt idx="90" formatCode="@">
                  <c:v>4373.726346153846</c:v>
                </c:pt>
                <c:pt idx="91" formatCode="@">
                  <c:v>4373.726346153846</c:v>
                </c:pt>
                <c:pt idx="92" formatCode="@">
                  <c:v>4373.726346153846</c:v>
                </c:pt>
                <c:pt idx="93" formatCode="@">
                  <c:v>4373.726346153846</c:v>
                </c:pt>
                <c:pt idx="94" formatCode="@">
                  <c:v>4373.726346153846</c:v>
                </c:pt>
                <c:pt idx="95" formatCode="@">
                  <c:v>4373.726346153846</c:v>
                </c:pt>
                <c:pt idx="96" formatCode="@">
                  <c:v>4373.726346153846</c:v>
                </c:pt>
                <c:pt idx="97" formatCode="@">
                  <c:v>4373.726346153846</c:v>
                </c:pt>
                <c:pt idx="98" formatCode="@">
                  <c:v>4373.726346153846</c:v>
                </c:pt>
                <c:pt idx="99" formatCode="@">
                  <c:v>4373.726346153846</c:v>
                </c:pt>
                <c:pt idx="100" formatCode="@">
                  <c:v>4373.726346153846</c:v>
                </c:pt>
                <c:pt idx="101" formatCode="@">
                  <c:v>4373.726346153846</c:v>
                </c:pt>
                <c:pt idx="102" formatCode="@">
                  <c:v>4373.726346153846</c:v>
                </c:pt>
                <c:pt idx="103" formatCode="@">
                  <c:v>4343.7598076923086</c:v>
                </c:pt>
                <c:pt idx="104" formatCode="@">
                  <c:v>4343.7598076923086</c:v>
                </c:pt>
                <c:pt idx="105" formatCode="@">
                  <c:v>4343.7598076923086</c:v>
                </c:pt>
                <c:pt idx="106" formatCode="@">
                  <c:v>4343.7598076923086</c:v>
                </c:pt>
                <c:pt idx="107" formatCode="@">
                  <c:v>4343.7598076923086</c:v>
                </c:pt>
                <c:pt idx="108" formatCode="@">
                  <c:v>4343.7598076923086</c:v>
                </c:pt>
                <c:pt idx="109" formatCode="@">
                  <c:v>4343.7598076923086</c:v>
                </c:pt>
                <c:pt idx="110" formatCode="@">
                  <c:v>4343.7598076923086</c:v>
                </c:pt>
                <c:pt idx="111" formatCode="@">
                  <c:v>4343.7598076923086</c:v>
                </c:pt>
                <c:pt idx="112" formatCode="@">
                  <c:v>4277.6972115384615</c:v>
                </c:pt>
                <c:pt idx="113" formatCode="@">
                  <c:v>4277.6972115384615</c:v>
                </c:pt>
                <c:pt idx="114" formatCode="@">
                  <c:v>4277.6972115384615</c:v>
                </c:pt>
                <c:pt idx="115" formatCode="@">
                  <c:v>4277.6972115384615</c:v>
                </c:pt>
                <c:pt idx="116" formatCode="@">
                  <c:v>4277.6972115384615</c:v>
                </c:pt>
                <c:pt idx="117" formatCode="@">
                  <c:v>4277.6972115384615</c:v>
                </c:pt>
                <c:pt idx="118" formatCode="@">
                  <c:v>4277.6972115384615</c:v>
                </c:pt>
                <c:pt idx="119" formatCode="@">
                  <c:v>4277.6972115384615</c:v>
                </c:pt>
                <c:pt idx="120" formatCode="@">
                  <c:v>4277.6972115384615</c:v>
                </c:pt>
                <c:pt idx="121" formatCode="@">
                  <c:v>4241.6011538461535</c:v>
                </c:pt>
                <c:pt idx="122" formatCode="@">
                  <c:v>4241.6011538461535</c:v>
                </c:pt>
                <c:pt idx="123" formatCode="@">
                  <c:v>4241.6011538461535</c:v>
                </c:pt>
                <c:pt idx="124" formatCode="@">
                  <c:v>4241.6011538461535</c:v>
                </c:pt>
                <c:pt idx="125" formatCode="@">
                  <c:v>4241.6011538461535</c:v>
                </c:pt>
                <c:pt idx="126" formatCode="@">
                  <c:v>4205.5050961538464</c:v>
                </c:pt>
                <c:pt idx="127" formatCode="@">
                  <c:v>4205.5050961538464</c:v>
                </c:pt>
                <c:pt idx="128" formatCode="@">
                  <c:v>4205.5050961538464</c:v>
                </c:pt>
                <c:pt idx="129" formatCode="@">
                  <c:v>4139.442500000001</c:v>
                </c:pt>
                <c:pt idx="130" formatCode="@">
                  <c:v>4139.442500000001</c:v>
                </c:pt>
                <c:pt idx="131" formatCode="@">
                  <c:v>4139.442500000001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综合成本对比!$C$260</c:f>
              <c:strCache>
                <c:ptCount val="1"/>
                <c:pt idx="0">
                  <c:v>甲醇制</c:v>
                </c:pt>
              </c:strCache>
            </c:strRef>
          </c:tx>
          <c:spPr>
            <a:ln w="28575">
              <a:solidFill>
                <a:srgbClr val="91D476"/>
              </a:solidFill>
            </a:ln>
          </c:spPr>
          <c:marker>
            <c:symbol val="none"/>
          </c:marker>
          <c:cat>
            <c:numRef>
              <c:f>综合成本对比!$A$261:$A$392</c:f>
              <c:numCache>
                <c:formatCode>yyyy\-mm\-dd;@</c:formatCode>
                <c:ptCount val="132"/>
                <c:pt idx="0">
                  <c:v>41913</c:v>
                </c:pt>
                <c:pt idx="1">
                  <c:v>41914</c:v>
                </c:pt>
                <c:pt idx="2">
                  <c:v>41915</c:v>
                </c:pt>
                <c:pt idx="3">
                  <c:v>41916</c:v>
                </c:pt>
                <c:pt idx="4">
                  <c:v>41917</c:v>
                </c:pt>
                <c:pt idx="5">
                  <c:v>41918</c:v>
                </c:pt>
                <c:pt idx="6">
                  <c:v>41919</c:v>
                </c:pt>
                <c:pt idx="7">
                  <c:v>41920</c:v>
                </c:pt>
                <c:pt idx="8">
                  <c:v>41921</c:v>
                </c:pt>
                <c:pt idx="9">
                  <c:v>41922</c:v>
                </c:pt>
                <c:pt idx="10">
                  <c:v>41925</c:v>
                </c:pt>
                <c:pt idx="11">
                  <c:v>41926</c:v>
                </c:pt>
                <c:pt idx="12">
                  <c:v>41927</c:v>
                </c:pt>
                <c:pt idx="13">
                  <c:v>41928</c:v>
                </c:pt>
                <c:pt idx="14">
                  <c:v>41929</c:v>
                </c:pt>
                <c:pt idx="15">
                  <c:v>41932</c:v>
                </c:pt>
                <c:pt idx="16">
                  <c:v>41933</c:v>
                </c:pt>
                <c:pt idx="17">
                  <c:v>41934</c:v>
                </c:pt>
                <c:pt idx="18">
                  <c:v>41935</c:v>
                </c:pt>
                <c:pt idx="19">
                  <c:v>41936</c:v>
                </c:pt>
                <c:pt idx="20">
                  <c:v>41939</c:v>
                </c:pt>
                <c:pt idx="21">
                  <c:v>41940</c:v>
                </c:pt>
                <c:pt idx="22">
                  <c:v>41941</c:v>
                </c:pt>
                <c:pt idx="23">
                  <c:v>41942</c:v>
                </c:pt>
                <c:pt idx="24">
                  <c:v>41943</c:v>
                </c:pt>
                <c:pt idx="25">
                  <c:v>41946</c:v>
                </c:pt>
                <c:pt idx="26">
                  <c:v>41947</c:v>
                </c:pt>
                <c:pt idx="27">
                  <c:v>41948</c:v>
                </c:pt>
                <c:pt idx="28">
                  <c:v>41949</c:v>
                </c:pt>
                <c:pt idx="29">
                  <c:v>41950</c:v>
                </c:pt>
                <c:pt idx="30">
                  <c:v>41953</c:v>
                </c:pt>
                <c:pt idx="31">
                  <c:v>41954</c:v>
                </c:pt>
                <c:pt idx="32">
                  <c:v>41955</c:v>
                </c:pt>
                <c:pt idx="33">
                  <c:v>41956</c:v>
                </c:pt>
                <c:pt idx="34">
                  <c:v>41957</c:v>
                </c:pt>
                <c:pt idx="35">
                  <c:v>41960</c:v>
                </c:pt>
                <c:pt idx="36">
                  <c:v>41961</c:v>
                </c:pt>
                <c:pt idx="37">
                  <c:v>41962</c:v>
                </c:pt>
                <c:pt idx="38">
                  <c:v>41963</c:v>
                </c:pt>
                <c:pt idx="39">
                  <c:v>41964</c:v>
                </c:pt>
                <c:pt idx="40">
                  <c:v>41967</c:v>
                </c:pt>
                <c:pt idx="41">
                  <c:v>41968</c:v>
                </c:pt>
                <c:pt idx="42">
                  <c:v>41969</c:v>
                </c:pt>
                <c:pt idx="43">
                  <c:v>41970</c:v>
                </c:pt>
                <c:pt idx="44">
                  <c:v>41971</c:v>
                </c:pt>
                <c:pt idx="45">
                  <c:v>41974</c:v>
                </c:pt>
                <c:pt idx="46">
                  <c:v>41975</c:v>
                </c:pt>
                <c:pt idx="47">
                  <c:v>41976</c:v>
                </c:pt>
                <c:pt idx="48">
                  <c:v>41977</c:v>
                </c:pt>
                <c:pt idx="49">
                  <c:v>41978</c:v>
                </c:pt>
                <c:pt idx="50">
                  <c:v>41981</c:v>
                </c:pt>
                <c:pt idx="51">
                  <c:v>41982</c:v>
                </c:pt>
                <c:pt idx="52">
                  <c:v>41983</c:v>
                </c:pt>
                <c:pt idx="53">
                  <c:v>41984</c:v>
                </c:pt>
                <c:pt idx="54">
                  <c:v>41985</c:v>
                </c:pt>
                <c:pt idx="55">
                  <c:v>41988</c:v>
                </c:pt>
                <c:pt idx="56">
                  <c:v>41989</c:v>
                </c:pt>
                <c:pt idx="57">
                  <c:v>41990</c:v>
                </c:pt>
                <c:pt idx="58">
                  <c:v>41991</c:v>
                </c:pt>
                <c:pt idx="59">
                  <c:v>41992</c:v>
                </c:pt>
                <c:pt idx="60">
                  <c:v>41995</c:v>
                </c:pt>
                <c:pt idx="61">
                  <c:v>41996</c:v>
                </c:pt>
                <c:pt idx="62">
                  <c:v>41997</c:v>
                </c:pt>
                <c:pt idx="63">
                  <c:v>41998</c:v>
                </c:pt>
                <c:pt idx="64">
                  <c:v>41999</c:v>
                </c:pt>
                <c:pt idx="65">
                  <c:v>42002</c:v>
                </c:pt>
                <c:pt idx="66">
                  <c:v>42003</c:v>
                </c:pt>
                <c:pt idx="67">
                  <c:v>42004</c:v>
                </c:pt>
                <c:pt idx="68">
                  <c:v>42005</c:v>
                </c:pt>
                <c:pt idx="69">
                  <c:v>42006</c:v>
                </c:pt>
                <c:pt idx="70">
                  <c:v>42009</c:v>
                </c:pt>
                <c:pt idx="71">
                  <c:v>42010</c:v>
                </c:pt>
                <c:pt idx="72">
                  <c:v>42011</c:v>
                </c:pt>
                <c:pt idx="73">
                  <c:v>42012</c:v>
                </c:pt>
                <c:pt idx="74">
                  <c:v>42013</c:v>
                </c:pt>
                <c:pt idx="75">
                  <c:v>42016</c:v>
                </c:pt>
                <c:pt idx="76">
                  <c:v>42017</c:v>
                </c:pt>
                <c:pt idx="77">
                  <c:v>42018</c:v>
                </c:pt>
                <c:pt idx="78">
                  <c:v>42019</c:v>
                </c:pt>
                <c:pt idx="79">
                  <c:v>42020</c:v>
                </c:pt>
                <c:pt idx="80">
                  <c:v>42023</c:v>
                </c:pt>
                <c:pt idx="81">
                  <c:v>42024</c:v>
                </c:pt>
                <c:pt idx="82">
                  <c:v>42025</c:v>
                </c:pt>
                <c:pt idx="83">
                  <c:v>42026</c:v>
                </c:pt>
                <c:pt idx="84">
                  <c:v>42027</c:v>
                </c:pt>
                <c:pt idx="85">
                  <c:v>42030</c:v>
                </c:pt>
                <c:pt idx="86">
                  <c:v>42031</c:v>
                </c:pt>
                <c:pt idx="87">
                  <c:v>42032</c:v>
                </c:pt>
                <c:pt idx="88">
                  <c:v>42033</c:v>
                </c:pt>
                <c:pt idx="89">
                  <c:v>42034</c:v>
                </c:pt>
                <c:pt idx="90">
                  <c:v>42037</c:v>
                </c:pt>
                <c:pt idx="91">
                  <c:v>42038</c:v>
                </c:pt>
                <c:pt idx="92">
                  <c:v>42039</c:v>
                </c:pt>
                <c:pt idx="93">
                  <c:v>42040</c:v>
                </c:pt>
                <c:pt idx="94">
                  <c:v>42041</c:v>
                </c:pt>
                <c:pt idx="95">
                  <c:v>42044</c:v>
                </c:pt>
                <c:pt idx="96">
                  <c:v>42045</c:v>
                </c:pt>
                <c:pt idx="97">
                  <c:v>42046</c:v>
                </c:pt>
                <c:pt idx="98">
                  <c:v>42047</c:v>
                </c:pt>
                <c:pt idx="99">
                  <c:v>42060</c:v>
                </c:pt>
                <c:pt idx="100">
                  <c:v>42061</c:v>
                </c:pt>
                <c:pt idx="101">
                  <c:v>42062</c:v>
                </c:pt>
                <c:pt idx="102">
                  <c:v>42065</c:v>
                </c:pt>
                <c:pt idx="103">
                  <c:v>42066</c:v>
                </c:pt>
                <c:pt idx="104">
                  <c:v>42067</c:v>
                </c:pt>
                <c:pt idx="105">
                  <c:v>42068</c:v>
                </c:pt>
                <c:pt idx="106">
                  <c:v>42069</c:v>
                </c:pt>
                <c:pt idx="107">
                  <c:v>42072</c:v>
                </c:pt>
                <c:pt idx="108">
                  <c:v>42073</c:v>
                </c:pt>
                <c:pt idx="109">
                  <c:v>42074</c:v>
                </c:pt>
                <c:pt idx="110">
                  <c:v>42075</c:v>
                </c:pt>
                <c:pt idx="111">
                  <c:v>42076</c:v>
                </c:pt>
                <c:pt idx="112">
                  <c:v>42079</c:v>
                </c:pt>
                <c:pt idx="113">
                  <c:v>42080</c:v>
                </c:pt>
                <c:pt idx="114">
                  <c:v>42081</c:v>
                </c:pt>
                <c:pt idx="115">
                  <c:v>42082</c:v>
                </c:pt>
                <c:pt idx="116">
                  <c:v>42083</c:v>
                </c:pt>
                <c:pt idx="117">
                  <c:v>42086</c:v>
                </c:pt>
                <c:pt idx="118">
                  <c:v>42087</c:v>
                </c:pt>
                <c:pt idx="119">
                  <c:v>42088</c:v>
                </c:pt>
                <c:pt idx="120">
                  <c:v>42089</c:v>
                </c:pt>
                <c:pt idx="121">
                  <c:v>42090</c:v>
                </c:pt>
                <c:pt idx="122">
                  <c:v>42093</c:v>
                </c:pt>
                <c:pt idx="123">
                  <c:v>42094</c:v>
                </c:pt>
                <c:pt idx="124" formatCode="m/d/yyyy">
                  <c:v>42095</c:v>
                </c:pt>
                <c:pt idx="125" formatCode="m/d/yyyy">
                  <c:v>42096</c:v>
                </c:pt>
                <c:pt idx="126" formatCode="m/d/yyyy">
                  <c:v>42097</c:v>
                </c:pt>
                <c:pt idx="127" formatCode="m/d/yyyy">
                  <c:v>42100</c:v>
                </c:pt>
                <c:pt idx="128" formatCode="m/d/yyyy">
                  <c:v>42101</c:v>
                </c:pt>
                <c:pt idx="129" formatCode="m/d/yyyy">
                  <c:v>42102</c:v>
                </c:pt>
                <c:pt idx="130" formatCode="m/d/yyyy">
                  <c:v>42103</c:v>
                </c:pt>
                <c:pt idx="131" formatCode="m/d/yyyy">
                  <c:v>42104</c:v>
                </c:pt>
              </c:numCache>
            </c:numRef>
          </c:cat>
          <c:val>
            <c:numRef>
              <c:f>综合成本对比!$C$261:$C$392</c:f>
              <c:numCache>
                <c:formatCode>General</c:formatCode>
                <c:ptCount val="132"/>
                <c:pt idx="0">
                  <c:v>8314.6</c:v>
                </c:pt>
                <c:pt idx="1">
                  <c:v>8314.6</c:v>
                </c:pt>
                <c:pt idx="2">
                  <c:v>8314.6</c:v>
                </c:pt>
                <c:pt idx="3">
                  <c:v>8314.6</c:v>
                </c:pt>
                <c:pt idx="4">
                  <c:v>8314.6</c:v>
                </c:pt>
                <c:pt idx="5">
                  <c:v>8314.6</c:v>
                </c:pt>
                <c:pt idx="6">
                  <c:v>8314.6</c:v>
                </c:pt>
                <c:pt idx="7">
                  <c:v>8314.6</c:v>
                </c:pt>
                <c:pt idx="8">
                  <c:v>8268.3250000000007</c:v>
                </c:pt>
                <c:pt idx="9">
                  <c:v>8175.7749999999996</c:v>
                </c:pt>
                <c:pt idx="10">
                  <c:v>8206.625</c:v>
                </c:pt>
                <c:pt idx="11">
                  <c:v>8222.0499999999993</c:v>
                </c:pt>
                <c:pt idx="12">
                  <c:v>8222.0499999999993</c:v>
                </c:pt>
                <c:pt idx="13">
                  <c:v>8206.625</c:v>
                </c:pt>
                <c:pt idx="14">
                  <c:v>8129.5</c:v>
                </c:pt>
                <c:pt idx="15">
                  <c:v>8129.5</c:v>
                </c:pt>
                <c:pt idx="16">
                  <c:v>8114.0749999999998</c:v>
                </c:pt>
                <c:pt idx="17">
                  <c:v>8114.0749999999998</c:v>
                </c:pt>
                <c:pt idx="18">
                  <c:v>8129.5</c:v>
                </c:pt>
                <c:pt idx="19">
                  <c:v>8144.9249999999993</c:v>
                </c:pt>
                <c:pt idx="20">
                  <c:v>8175.7749999999996</c:v>
                </c:pt>
                <c:pt idx="21">
                  <c:v>8175.7749999999996</c:v>
                </c:pt>
                <c:pt idx="22">
                  <c:v>8114.0749999999998</c:v>
                </c:pt>
                <c:pt idx="23">
                  <c:v>8052.375</c:v>
                </c:pt>
                <c:pt idx="24">
                  <c:v>8052.375</c:v>
                </c:pt>
                <c:pt idx="25">
                  <c:v>8006.0999999999995</c:v>
                </c:pt>
                <c:pt idx="26">
                  <c:v>8006.0999999999995</c:v>
                </c:pt>
                <c:pt idx="27">
                  <c:v>7990.6749999999993</c:v>
                </c:pt>
                <c:pt idx="28">
                  <c:v>7990.6749999999993</c:v>
                </c:pt>
                <c:pt idx="29">
                  <c:v>7990.6749999999993</c:v>
                </c:pt>
                <c:pt idx="30">
                  <c:v>7928.9749999999995</c:v>
                </c:pt>
                <c:pt idx="31">
                  <c:v>7882.7</c:v>
                </c:pt>
                <c:pt idx="32">
                  <c:v>7928.9749999999995</c:v>
                </c:pt>
                <c:pt idx="33">
                  <c:v>7975.25</c:v>
                </c:pt>
                <c:pt idx="34">
                  <c:v>8006.0999999999995</c:v>
                </c:pt>
                <c:pt idx="35">
                  <c:v>7959.8249999999998</c:v>
                </c:pt>
                <c:pt idx="36">
                  <c:v>7975.25</c:v>
                </c:pt>
                <c:pt idx="37">
                  <c:v>7944.4</c:v>
                </c:pt>
                <c:pt idx="38">
                  <c:v>7944.4</c:v>
                </c:pt>
                <c:pt idx="39">
                  <c:v>8006.0999999999995</c:v>
                </c:pt>
                <c:pt idx="40">
                  <c:v>8006.0999999999995</c:v>
                </c:pt>
                <c:pt idx="41">
                  <c:v>8021.5249999999996</c:v>
                </c:pt>
                <c:pt idx="42">
                  <c:v>7990.6749999999993</c:v>
                </c:pt>
                <c:pt idx="43">
                  <c:v>7975.25</c:v>
                </c:pt>
                <c:pt idx="44">
                  <c:v>7990.6749999999993</c:v>
                </c:pt>
                <c:pt idx="45">
                  <c:v>8021.5249999999996</c:v>
                </c:pt>
                <c:pt idx="46">
                  <c:v>8052.375</c:v>
                </c:pt>
                <c:pt idx="47">
                  <c:v>8083.2249999999995</c:v>
                </c:pt>
                <c:pt idx="48">
                  <c:v>8052.375</c:v>
                </c:pt>
                <c:pt idx="49">
                  <c:v>7975.25</c:v>
                </c:pt>
                <c:pt idx="50">
                  <c:v>7913.5499999999993</c:v>
                </c:pt>
                <c:pt idx="51">
                  <c:v>7821</c:v>
                </c:pt>
                <c:pt idx="52">
                  <c:v>7805.5749999999998</c:v>
                </c:pt>
                <c:pt idx="53">
                  <c:v>7759.2999999999993</c:v>
                </c:pt>
                <c:pt idx="54">
                  <c:v>7697.5999999999995</c:v>
                </c:pt>
                <c:pt idx="55">
                  <c:v>7481.65</c:v>
                </c:pt>
                <c:pt idx="56">
                  <c:v>7419.95</c:v>
                </c:pt>
                <c:pt idx="57">
                  <c:v>7166.98</c:v>
                </c:pt>
                <c:pt idx="58">
                  <c:v>6802.95</c:v>
                </c:pt>
                <c:pt idx="59">
                  <c:v>6610.1374999999998</c:v>
                </c:pt>
                <c:pt idx="60">
                  <c:v>6498.3062499999996</c:v>
                </c:pt>
                <c:pt idx="61">
                  <c:v>6340.9712499999996</c:v>
                </c:pt>
                <c:pt idx="62">
                  <c:v>6392.6449999999995</c:v>
                </c:pt>
                <c:pt idx="63">
                  <c:v>6473.6262499999993</c:v>
                </c:pt>
                <c:pt idx="64">
                  <c:v>6549.98</c:v>
                </c:pt>
                <c:pt idx="65">
                  <c:v>6563.8624999999993</c:v>
                </c:pt>
                <c:pt idx="66">
                  <c:v>6519.9012499999999</c:v>
                </c:pt>
                <c:pt idx="67">
                  <c:v>6462.0574999999999</c:v>
                </c:pt>
                <c:pt idx="68">
                  <c:v>6462.0574999999999</c:v>
                </c:pt>
                <c:pt idx="69">
                  <c:v>6462.0574999999999</c:v>
                </c:pt>
                <c:pt idx="70">
                  <c:v>6263.8462499999996</c:v>
                </c:pt>
                <c:pt idx="71">
                  <c:v>6211.4012499999999</c:v>
                </c:pt>
                <c:pt idx="72">
                  <c:v>6182.8649999999998</c:v>
                </c:pt>
                <c:pt idx="73">
                  <c:v>6114.9949999999999</c:v>
                </c:pt>
                <c:pt idx="74">
                  <c:v>6074.8899999999994</c:v>
                </c:pt>
                <c:pt idx="75">
                  <c:v>6068.7199999999993</c:v>
                </c:pt>
                <c:pt idx="76">
                  <c:v>5931.4375</c:v>
                </c:pt>
                <c:pt idx="77">
                  <c:v>5881.3062499999996</c:v>
                </c:pt>
                <c:pt idx="78">
                  <c:v>5926.0387499999997</c:v>
                </c:pt>
                <c:pt idx="79">
                  <c:v>5961.5162499999997</c:v>
                </c:pt>
                <c:pt idx="80">
                  <c:v>6070.2624999999998</c:v>
                </c:pt>
                <c:pt idx="81">
                  <c:v>6057.9224999999997</c:v>
                </c:pt>
                <c:pt idx="82">
                  <c:v>6102.6549999999997</c:v>
                </c:pt>
                <c:pt idx="83">
                  <c:v>6084.9162499999993</c:v>
                </c:pt>
                <c:pt idx="84">
                  <c:v>6049.4387499999993</c:v>
                </c:pt>
                <c:pt idx="85">
                  <c:v>5986.9674999999997</c:v>
                </c:pt>
                <c:pt idx="86">
                  <c:v>5986.9674999999997</c:v>
                </c:pt>
                <c:pt idx="87">
                  <c:v>5970.7712499999998</c:v>
                </c:pt>
                <c:pt idx="88">
                  <c:v>5972.3137499999993</c:v>
                </c:pt>
                <c:pt idx="89">
                  <c:v>5968.4574999999995</c:v>
                </c:pt>
                <c:pt idx="90">
                  <c:v>5964.6012499999997</c:v>
                </c:pt>
                <c:pt idx="91">
                  <c:v>5986.9674999999997</c:v>
                </c:pt>
                <c:pt idx="92">
                  <c:v>6071.0337499999996</c:v>
                </c:pt>
                <c:pt idx="93">
                  <c:v>6064.0924999999997</c:v>
                </c:pt>
                <c:pt idx="94">
                  <c:v>6096.4849999999997</c:v>
                </c:pt>
                <c:pt idx="95">
                  <c:v>6145.8449999999993</c:v>
                </c:pt>
                <c:pt idx="96">
                  <c:v>6176.6949999999997</c:v>
                </c:pt>
                <c:pt idx="97">
                  <c:v>6179.00875</c:v>
                </c:pt>
                <c:pt idx="98">
                  <c:v>6206.7737499999994</c:v>
                </c:pt>
                <c:pt idx="99">
                  <c:v>6388.0174999999999</c:v>
                </c:pt>
                <c:pt idx="100">
                  <c:v>6542.2674999999999</c:v>
                </c:pt>
                <c:pt idx="101">
                  <c:v>6653.3274999999994</c:v>
                </c:pt>
                <c:pt idx="102">
                  <c:v>7123.0187499999993</c:v>
                </c:pt>
                <c:pt idx="103">
                  <c:v>7235.6212499999992</c:v>
                </c:pt>
                <c:pt idx="104">
                  <c:v>7296.5499999999993</c:v>
                </c:pt>
                <c:pt idx="105">
                  <c:v>7342.8249999999998</c:v>
                </c:pt>
                <c:pt idx="106">
                  <c:v>7358.25</c:v>
                </c:pt>
                <c:pt idx="107">
                  <c:v>7358.25</c:v>
                </c:pt>
                <c:pt idx="108">
                  <c:v>7450.7999999999993</c:v>
                </c:pt>
                <c:pt idx="109">
                  <c:v>7574.2</c:v>
                </c:pt>
                <c:pt idx="110">
                  <c:v>7589.625</c:v>
                </c:pt>
                <c:pt idx="111">
                  <c:v>7620.4749999999995</c:v>
                </c:pt>
                <c:pt idx="112">
                  <c:v>7620.4749999999995</c:v>
                </c:pt>
                <c:pt idx="113">
                  <c:v>7605.0499999999993</c:v>
                </c:pt>
                <c:pt idx="114">
                  <c:v>7589.625</c:v>
                </c:pt>
                <c:pt idx="115">
                  <c:v>7589.625</c:v>
                </c:pt>
                <c:pt idx="116">
                  <c:v>7512.5</c:v>
                </c:pt>
                <c:pt idx="117">
                  <c:v>7389.0999999999995</c:v>
                </c:pt>
                <c:pt idx="118">
                  <c:v>7435.375</c:v>
                </c:pt>
                <c:pt idx="119">
                  <c:v>7466.2249999999995</c:v>
                </c:pt>
                <c:pt idx="120">
                  <c:v>7466.2249999999995</c:v>
                </c:pt>
                <c:pt idx="121">
                  <c:v>7466.2249999999995</c:v>
                </c:pt>
                <c:pt idx="122">
                  <c:v>7450.7999999999993</c:v>
                </c:pt>
                <c:pt idx="123">
                  <c:v>7512.5</c:v>
                </c:pt>
                <c:pt idx="124">
                  <c:v>7558.7749999999996</c:v>
                </c:pt>
                <c:pt idx="125">
                  <c:v>7574.2</c:v>
                </c:pt>
                <c:pt idx="126">
                  <c:v>7450.7999999999993</c:v>
                </c:pt>
                <c:pt idx="127">
                  <c:v>7500</c:v>
                </c:pt>
                <c:pt idx="128">
                  <c:v>7635.9</c:v>
                </c:pt>
                <c:pt idx="129">
                  <c:v>7728.45</c:v>
                </c:pt>
                <c:pt idx="130">
                  <c:v>7805.5749999999998</c:v>
                </c:pt>
                <c:pt idx="131">
                  <c:v>7790.15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综合成本对比!$D$260</c:f>
              <c:strCache>
                <c:ptCount val="1"/>
                <c:pt idx="0">
                  <c:v>油制</c:v>
                </c:pt>
              </c:strCache>
            </c:strRef>
          </c:tx>
          <c:spPr>
            <a:ln w="28575">
              <a:solidFill>
                <a:srgbClr val="4AA9C3"/>
              </a:solidFill>
            </a:ln>
          </c:spPr>
          <c:marker>
            <c:symbol val="none"/>
          </c:marker>
          <c:cat>
            <c:numRef>
              <c:f>综合成本对比!$A$261:$A$392</c:f>
              <c:numCache>
                <c:formatCode>yyyy\-mm\-dd;@</c:formatCode>
                <c:ptCount val="132"/>
                <c:pt idx="0">
                  <c:v>41913</c:v>
                </c:pt>
                <c:pt idx="1">
                  <c:v>41914</c:v>
                </c:pt>
                <c:pt idx="2">
                  <c:v>41915</c:v>
                </c:pt>
                <c:pt idx="3">
                  <c:v>41916</c:v>
                </c:pt>
                <c:pt idx="4">
                  <c:v>41917</c:v>
                </c:pt>
                <c:pt idx="5">
                  <c:v>41918</c:v>
                </c:pt>
                <c:pt idx="6">
                  <c:v>41919</c:v>
                </c:pt>
                <c:pt idx="7">
                  <c:v>41920</c:v>
                </c:pt>
                <c:pt idx="8">
                  <c:v>41921</c:v>
                </c:pt>
                <c:pt idx="9">
                  <c:v>41922</c:v>
                </c:pt>
                <c:pt idx="10">
                  <c:v>41925</c:v>
                </c:pt>
                <c:pt idx="11">
                  <c:v>41926</c:v>
                </c:pt>
                <c:pt idx="12">
                  <c:v>41927</c:v>
                </c:pt>
                <c:pt idx="13">
                  <c:v>41928</c:v>
                </c:pt>
                <c:pt idx="14">
                  <c:v>41929</c:v>
                </c:pt>
                <c:pt idx="15">
                  <c:v>41932</c:v>
                </c:pt>
                <c:pt idx="16">
                  <c:v>41933</c:v>
                </c:pt>
                <c:pt idx="17">
                  <c:v>41934</c:v>
                </c:pt>
                <c:pt idx="18">
                  <c:v>41935</c:v>
                </c:pt>
                <c:pt idx="19">
                  <c:v>41936</c:v>
                </c:pt>
                <c:pt idx="20">
                  <c:v>41939</c:v>
                </c:pt>
                <c:pt idx="21">
                  <c:v>41940</c:v>
                </c:pt>
                <c:pt idx="22">
                  <c:v>41941</c:v>
                </c:pt>
                <c:pt idx="23">
                  <c:v>41942</c:v>
                </c:pt>
                <c:pt idx="24">
                  <c:v>41943</c:v>
                </c:pt>
                <c:pt idx="25">
                  <c:v>41946</c:v>
                </c:pt>
                <c:pt idx="26">
                  <c:v>41947</c:v>
                </c:pt>
                <c:pt idx="27">
                  <c:v>41948</c:v>
                </c:pt>
                <c:pt idx="28">
                  <c:v>41949</c:v>
                </c:pt>
                <c:pt idx="29">
                  <c:v>41950</c:v>
                </c:pt>
                <c:pt idx="30">
                  <c:v>41953</c:v>
                </c:pt>
                <c:pt idx="31">
                  <c:v>41954</c:v>
                </c:pt>
                <c:pt idx="32">
                  <c:v>41955</c:v>
                </c:pt>
                <c:pt idx="33">
                  <c:v>41956</c:v>
                </c:pt>
                <c:pt idx="34">
                  <c:v>41957</c:v>
                </c:pt>
                <c:pt idx="35">
                  <c:v>41960</c:v>
                </c:pt>
                <c:pt idx="36">
                  <c:v>41961</c:v>
                </c:pt>
                <c:pt idx="37">
                  <c:v>41962</c:v>
                </c:pt>
                <c:pt idx="38">
                  <c:v>41963</c:v>
                </c:pt>
                <c:pt idx="39">
                  <c:v>41964</c:v>
                </c:pt>
                <c:pt idx="40">
                  <c:v>41967</c:v>
                </c:pt>
                <c:pt idx="41">
                  <c:v>41968</c:v>
                </c:pt>
                <c:pt idx="42">
                  <c:v>41969</c:v>
                </c:pt>
                <c:pt idx="43">
                  <c:v>41970</c:v>
                </c:pt>
                <c:pt idx="44">
                  <c:v>41971</c:v>
                </c:pt>
                <c:pt idx="45">
                  <c:v>41974</c:v>
                </c:pt>
                <c:pt idx="46">
                  <c:v>41975</c:v>
                </c:pt>
                <c:pt idx="47">
                  <c:v>41976</c:v>
                </c:pt>
                <c:pt idx="48">
                  <c:v>41977</c:v>
                </c:pt>
                <c:pt idx="49">
                  <c:v>41978</c:v>
                </c:pt>
                <c:pt idx="50">
                  <c:v>41981</c:v>
                </c:pt>
                <c:pt idx="51">
                  <c:v>41982</c:v>
                </c:pt>
                <c:pt idx="52">
                  <c:v>41983</c:v>
                </c:pt>
                <c:pt idx="53">
                  <c:v>41984</c:v>
                </c:pt>
                <c:pt idx="54">
                  <c:v>41985</c:v>
                </c:pt>
                <c:pt idx="55">
                  <c:v>41988</c:v>
                </c:pt>
                <c:pt idx="56">
                  <c:v>41989</c:v>
                </c:pt>
                <c:pt idx="57">
                  <c:v>41990</c:v>
                </c:pt>
                <c:pt idx="58">
                  <c:v>41991</c:v>
                </c:pt>
                <c:pt idx="59">
                  <c:v>41992</c:v>
                </c:pt>
                <c:pt idx="60">
                  <c:v>41995</c:v>
                </c:pt>
                <c:pt idx="61">
                  <c:v>41996</c:v>
                </c:pt>
                <c:pt idx="62">
                  <c:v>41997</c:v>
                </c:pt>
                <c:pt idx="63">
                  <c:v>41998</c:v>
                </c:pt>
                <c:pt idx="64">
                  <c:v>41999</c:v>
                </c:pt>
                <c:pt idx="65">
                  <c:v>42002</c:v>
                </c:pt>
                <c:pt idx="66">
                  <c:v>42003</c:v>
                </c:pt>
                <c:pt idx="67">
                  <c:v>42004</c:v>
                </c:pt>
                <c:pt idx="68">
                  <c:v>42005</c:v>
                </c:pt>
                <c:pt idx="69">
                  <c:v>42006</c:v>
                </c:pt>
                <c:pt idx="70">
                  <c:v>42009</c:v>
                </c:pt>
                <c:pt idx="71">
                  <c:v>42010</c:v>
                </c:pt>
                <c:pt idx="72">
                  <c:v>42011</c:v>
                </c:pt>
                <c:pt idx="73">
                  <c:v>42012</c:v>
                </c:pt>
                <c:pt idx="74">
                  <c:v>42013</c:v>
                </c:pt>
                <c:pt idx="75">
                  <c:v>42016</c:v>
                </c:pt>
                <c:pt idx="76">
                  <c:v>42017</c:v>
                </c:pt>
                <c:pt idx="77">
                  <c:v>42018</c:v>
                </c:pt>
                <c:pt idx="78">
                  <c:v>42019</c:v>
                </c:pt>
                <c:pt idx="79">
                  <c:v>42020</c:v>
                </c:pt>
                <c:pt idx="80">
                  <c:v>42023</c:v>
                </c:pt>
                <c:pt idx="81">
                  <c:v>42024</c:v>
                </c:pt>
                <c:pt idx="82">
                  <c:v>42025</c:v>
                </c:pt>
                <c:pt idx="83">
                  <c:v>42026</c:v>
                </c:pt>
                <c:pt idx="84">
                  <c:v>42027</c:v>
                </c:pt>
                <c:pt idx="85">
                  <c:v>42030</c:v>
                </c:pt>
                <c:pt idx="86">
                  <c:v>42031</c:v>
                </c:pt>
                <c:pt idx="87">
                  <c:v>42032</c:v>
                </c:pt>
                <c:pt idx="88">
                  <c:v>42033</c:v>
                </c:pt>
                <c:pt idx="89">
                  <c:v>42034</c:v>
                </c:pt>
                <c:pt idx="90">
                  <c:v>42037</c:v>
                </c:pt>
                <c:pt idx="91">
                  <c:v>42038</c:v>
                </c:pt>
                <c:pt idx="92">
                  <c:v>42039</c:v>
                </c:pt>
                <c:pt idx="93">
                  <c:v>42040</c:v>
                </c:pt>
                <c:pt idx="94">
                  <c:v>42041</c:v>
                </c:pt>
                <c:pt idx="95">
                  <c:v>42044</c:v>
                </c:pt>
                <c:pt idx="96">
                  <c:v>42045</c:v>
                </c:pt>
                <c:pt idx="97">
                  <c:v>42046</c:v>
                </c:pt>
                <c:pt idx="98">
                  <c:v>42047</c:v>
                </c:pt>
                <c:pt idx="99">
                  <c:v>42060</c:v>
                </c:pt>
                <c:pt idx="100">
                  <c:v>42061</c:v>
                </c:pt>
                <c:pt idx="101">
                  <c:v>42062</c:v>
                </c:pt>
                <c:pt idx="102">
                  <c:v>42065</c:v>
                </c:pt>
                <c:pt idx="103">
                  <c:v>42066</c:v>
                </c:pt>
                <c:pt idx="104">
                  <c:v>42067</c:v>
                </c:pt>
                <c:pt idx="105">
                  <c:v>42068</c:v>
                </c:pt>
                <c:pt idx="106">
                  <c:v>42069</c:v>
                </c:pt>
                <c:pt idx="107">
                  <c:v>42072</c:v>
                </c:pt>
                <c:pt idx="108">
                  <c:v>42073</c:v>
                </c:pt>
                <c:pt idx="109">
                  <c:v>42074</c:v>
                </c:pt>
                <c:pt idx="110">
                  <c:v>42075</c:v>
                </c:pt>
                <c:pt idx="111">
                  <c:v>42076</c:v>
                </c:pt>
                <c:pt idx="112">
                  <c:v>42079</c:v>
                </c:pt>
                <c:pt idx="113">
                  <c:v>42080</c:v>
                </c:pt>
                <c:pt idx="114">
                  <c:v>42081</c:v>
                </c:pt>
                <c:pt idx="115">
                  <c:v>42082</c:v>
                </c:pt>
                <c:pt idx="116">
                  <c:v>42083</c:v>
                </c:pt>
                <c:pt idx="117">
                  <c:v>42086</c:v>
                </c:pt>
                <c:pt idx="118">
                  <c:v>42087</c:v>
                </c:pt>
                <c:pt idx="119">
                  <c:v>42088</c:v>
                </c:pt>
                <c:pt idx="120">
                  <c:v>42089</c:v>
                </c:pt>
                <c:pt idx="121">
                  <c:v>42090</c:v>
                </c:pt>
                <c:pt idx="122">
                  <c:v>42093</c:v>
                </c:pt>
                <c:pt idx="123">
                  <c:v>42094</c:v>
                </c:pt>
                <c:pt idx="124" formatCode="m/d/yyyy">
                  <c:v>42095</c:v>
                </c:pt>
                <c:pt idx="125" formatCode="m/d/yyyy">
                  <c:v>42096</c:v>
                </c:pt>
                <c:pt idx="126" formatCode="m/d/yyyy">
                  <c:v>42097</c:v>
                </c:pt>
                <c:pt idx="127" formatCode="m/d/yyyy">
                  <c:v>42100</c:v>
                </c:pt>
                <c:pt idx="128" formatCode="m/d/yyyy">
                  <c:v>42101</c:v>
                </c:pt>
                <c:pt idx="129" formatCode="m/d/yyyy">
                  <c:v>42102</c:v>
                </c:pt>
                <c:pt idx="130" formatCode="m/d/yyyy">
                  <c:v>42103</c:v>
                </c:pt>
                <c:pt idx="131" formatCode="m/d/yyyy">
                  <c:v>42104</c:v>
                </c:pt>
              </c:numCache>
            </c:numRef>
          </c:cat>
          <c:val>
            <c:numRef>
              <c:f>综合成本对比!$D$261:$D$392</c:f>
              <c:numCache>
                <c:formatCode>General</c:formatCode>
                <c:ptCount val="132"/>
                <c:pt idx="0">
                  <c:v>8485.9168012200007</c:v>
                </c:pt>
                <c:pt idx="1">
                  <c:v>8485.9168012200007</c:v>
                </c:pt>
                <c:pt idx="2">
                  <c:v>8485.9168012200007</c:v>
                </c:pt>
                <c:pt idx="3">
                  <c:v>8485.9168012200007</c:v>
                </c:pt>
                <c:pt idx="4">
                  <c:v>8485.9168012200007</c:v>
                </c:pt>
                <c:pt idx="5">
                  <c:v>8485.9168012200007</c:v>
                </c:pt>
                <c:pt idx="6">
                  <c:v>8485.9168012200007</c:v>
                </c:pt>
                <c:pt idx="7">
                  <c:v>8485.9168012200007</c:v>
                </c:pt>
                <c:pt idx="8">
                  <c:v>8485.9168012200007</c:v>
                </c:pt>
                <c:pt idx="9">
                  <c:v>8000.3238363044984</c:v>
                </c:pt>
                <c:pt idx="10">
                  <c:v>8000.3238363044984</c:v>
                </c:pt>
                <c:pt idx="11">
                  <c:v>8000.3238363044984</c:v>
                </c:pt>
                <c:pt idx="12">
                  <c:v>8000.3238363044984</c:v>
                </c:pt>
                <c:pt idx="13">
                  <c:v>7806.8784048817506</c:v>
                </c:pt>
                <c:pt idx="14">
                  <c:v>7806.8784048817506</c:v>
                </c:pt>
                <c:pt idx="15">
                  <c:v>7806.8784048817506</c:v>
                </c:pt>
                <c:pt idx="16">
                  <c:v>7806.8784048817506</c:v>
                </c:pt>
                <c:pt idx="17">
                  <c:v>7806.8784048817506</c:v>
                </c:pt>
                <c:pt idx="18">
                  <c:v>7657.5879991003494</c:v>
                </c:pt>
                <c:pt idx="19">
                  <c:v>7657.5879991003494</c:v>
                </c:pt>
                <c:pt idx="20">
                  <c:v>7657.5879991003494</c:v>
                </c:pt>
                <c:pt idx="21">
                  <c:v>7657.5879991003503</c:v>
                </c:pt>
                <c:pt idx="22">
                  <c:v>7697.4601108252509</c:v>
                </c:pt>
                <c:pt idx="23">
                  <c:v>7779.9778561944004</c:v>
                </c:pt>
                <c:pt idx="24">
                  <c:v>7779.9778561944004</c:v>
                </c:pt>
                <c:pt idx="25">
                  <c:v>7779.9778561944004</c:v>
                </c:pt>
                <c:pt idx="26">
                  <c:v>7779.9778561944004</c:v>
                </c:pt>
                <c:pt idx="27">
                  <c:v>7779.9778561944004</c:v>
                </c:pt>
                <c:pt idx="28">
                  <c:v>7495.0616508862513</c:v>
                </c:pt>
                <c:pt idx="29">
                  <c:v>7495.0616508862513</c:v>
                </c:pt>
                <c:pt idx="30">
                  <c:v>7495.0616508862513</c:v>
                </c:pt>
                <c:pt idx="31">
                  <c:v>7433.4773943063001</c:v>
                </c:pt>
                <c:pt idx="32">
                  <c:v>7433.4773943063001</c:v>
                </c:pt>
                <c:pt idx="33">
                  <c:v>7298.6629970393997</c:v>
                </c:pt>
                <c:pt idx="34">
                  <c:v>7298.6629970393997</c:v>
                </c:pt>
                <c:pt idx="35">
                  <c:v>7298.6629970393997</c:v>
                </c:pt>
                <c:pt idx="36">
                  <c:v>7298.6629970393997</c:v>
                </c:pt>
                <c:pt idx="37">
                  <c:v>7298.6629970393997</c:v>
                </c:pt>
                <c:pt idx="38">
                  <c:v>7137.1076426594991</c:v>
                </c:pt>
                <c:pt idx="39">
                  <c:v>7137.1076426594991</c:v>
                </c:pt>
                <c:pt idx="40">
                  <c:v>7137.1076426594991</c:v>
                </c:pt>
                <c:pt idx="41">
                  <c:v>7137.1076426594991</c:v>
                </c:pt>
                <c:pt idx="42">
                  <c:v>7137.1076426594991</c:v>
                </c:pt>
                <c:pt idx="43">
                  <c:v>7103.4024694499994</c:v>
                </c:pt>
                <c:pt idx="44">
                  <c:v>7103.4024694499994</c:v>
                </c:pt>
                <c:pt idx="45">
                  <c:v>7103.4024694499994</c:v>
                </c:pt>
                <c:pt idx="46">
                  <c:v>7103.4024694499994</c:v>
                </c:pt>
                <c:pt idx="47">
                  <c:v>7103.4024694499994</c:v>
                </c:pt>
                <c:pt idx="48">
                  <c:v>6536.0928994137003</c:v>
                </c:pt>
                <c:pt idx="49">
                  <c:v>6536.0928994137003</c:v>
                </c:pt>
                <c:pt idx="50">
                  <c:v>6536.0928994137003</c:v>
                </c:pt>
                <c:pt idx="51">
                  <c:v>6536.0928994137003</c:v>
                </c:pt>
                <c:pt idx="52">
                  <c:v>6536.0928994137003</c:v>
                </c:pt>
                <c:pt idx="53">
                  <c:v>6135.4350292751997</c:v>
                </c:pt>
                <c:pt idx="54">
                  <c:v>6135.4350292751997</c:v>
                </c:pt>
                <c:pt idx="55">
                  <c:v>6135.4350292751997</c:v>
                </c:pt>
                <c:pt idx="56">
                  <c:v>6135.4350292751997</c:v>
                </c:pt>
                <c:pt idx="57">
                  <c:v>6135.4350292751997</c:v>
                </c:pt>
                <c:pt idx="58">
                  <c:v>5922.7293358035004</c:v>
                </c:pt>
                <c:pt idx="59">
                  <c:v>5922.7293358035004</c:v>
                </c:pt>
                <c:pt idx="60">
                  <c:v>5922.7293358035004</c:v>
                </c:pt>
                <c:pt idx="61">
                  <c:v>5922.7293358035004</c:v>
                </c:pt>
                <c:pt idx="62">
                  <c:v>5922.7293358035004</c:v>
                </c:pt>
                <c:pt idx="63">
                  <c:v>5857.6947257592001</c:v>
                </c:pt>
                <c:pt idx="64">
                  <c:v>5857.6947257592001</c:v>
                </c:pt>
                <c:pt idx="65">
                  <c:v>5857.6947257592001</c:v>
                </c:pt>
                <c:pt idx="66">
                  <c:v>5691.8836806191994</c:v>
                </c:pt>
                <c:pt idx="67">
                  <c:v>5650.7313771944991</c:v>
                </c:pt>
                <c:pt idx="68">
                  <c:v>5650.7313771944991</c:v>
                </c:pt>
                <c:pt idx="69">
                  <c:v>5649.1721279639996</c:v>
                </c:pt>
                <c:pt idx="70">
                  <c:v>5356.6781420447996</c:v>
                </c:pt>
                <c:pt idx="71">
                  <c:v>5215.2195650760004</c:v>
                </c:pt>
                <c:pt idx="72">
                  <c:v>5219.5477702072494</c:v>
                </c:pt>
                <c:pt idx="73">
                  <c:v>5208.1402991472005</c:v>
                </c:pt>
                <c:pt idx="74">
                  <c:v>5147.6989423896002</c:v>
                </c:pt>
                <c:pt idx="75">
                  <c:v>4954.6954462216509</c:v>
                </c:pt>
                <c:pt idx="76">
                  <c:v>4893.2592739267511</c:v>
                </c:pt>
                <c:pt idx="77">
                  <c:v>5042.0196987007494</c:v>
                </c:pt>
                <c:pt idx="78">
                  <c:v>4969.3495064008494</c:v>
                </c:pt>
                <c:pt idx="79">
                  <c:v>5145.4429141085993</c:v>
                </c:pt>
                <c:pt idx="80">
                  <c:v>5054.0709322620014</c:v>
                </c:pt>
                <c:pt idx="81">
                  <c:v>4993.8300882908998</c:v>
                </c:pt>
                <c:pt idx="82">
                  <c:v>5069.7208918314</c:v>
                </c:pt>
                <c:pt idx="83">
                  <c:v>4876.3990426999499</c:v>
                </c:pt>
                <c:pt idx="84">
                  <c:v>4830.7656186423001</c:v>
                </c:pt>
                <c:pt idx="85">
                  <c:v>4801.9280057459991</c:v>
                </c:pt>
                <c:pt idx="86">
                  <c:v>5115.6997305839996</c:v>
                </c:pt>
                <c:pt idx="87">
                  <c:v>5030.9748802088998</c:v>
                </c:pt>
                <c:pt idx="88">
                  <c:v>5080.7352701992504</c:v>
                </c:pt>
                <c:pt idx="89">
                  <c:v>5019.8207194079996</c:v>
                </c:pt>
                <c:pt idx="90">
                  <c:v>5481.4612847062499</c:v>
                </c:pt>
                <c:pt idx="91">
                  <c:v>5704.01784045765</c:v>
                </c:pt>
                <c:pt idx="92">
                  <c:v>5435.3630953007996</c:v>
                </c:pt>
                <c:pt idx="93">
                  <c:v>5608.996030091701</c:v>
                </c:pt>
                <c:pt idx="94">
                  <c:v>5688.7874126729994</c:v>
                </c:pt>
                <c:pt idx="95">
                  <c:v>5730.4096009209006</c:v>
                </c:pt>
                <c:pt idx="96">
                  <c:v>5594.3066293897491</c:v>
                </c:pt>
                <c:pt idx="97">
                  <c:v>5470.5180024764995</c:v>
                </c:pt>
                <c:pt idx="98">
                  <c:v>5640.7125984277491</c:v>
                </c:pt>
                <c:pt idx="99">
                  <c:v>5968.3478049972</c:v>
                </c:pt>
                <c:pt idx="100">
                  <c:v>5856.1609931932508</c:v>
                </c:pt>
                <c:pt idx="101">
                  <c:v>6042.3629434424993</c:v>
                </c:pt>
                <c:pt idx="102">
                  <c:v>5829.5755459107004</c:v>
                </c:pt>
                <c:pt idx="103">
                  <c:v>5936.7269039751</c:v>
                </c:pt>
                <c:pt idx="104">
                  <c:v>5902.0769223562502</c:v>
                </c:pt>
                <c:pt idx="105">
                  <c:v>5897.3272137504</c:v>
                </c:pt>
                <c:pt idx="106">
                  <c:v>5844.4751448931493</c:v>
                </c:pt>
                <c:pt idx="107">
                  <c:v>5761.4292979636502</c:v>
                </c:pt>
                <c:pt idx="108">
                  <c:v>5610.1288408577984</c:v>
                </c:pt>
                <c:pt idx="109">
                  <c:v>5693.4890051283001</c:v>
                </c:pt>
                <c:pt idx="110">
                  <c:v>5662.1806227125999</c:v>
                </c:pt>
                <c:pt idx="111">
                  <c:v>5489.0634865985994</c:v>
                </c:pt>
                <c:pt idx="112">
                  <c:v>5403.443304546</c:v>
                </c:pt>
                <c:pt idx="113">
                  <c:v>5406.4962529672503</c:v>
                </c:pt>
                <c:pt idx="114">
                  <c:v>5574.9830426585995</c:v>
                </c:pt>
                <c:pt idx="115">
                  <c:v>5463.691919973</c:v>
                </c:pt>
                <c:pt idx="116">
                  <c:v>5529.1415534352</c:v>
                </c:pt>
                <c:pt idx="117">
                  <c:v>5568.4801558656</c:v>
                </c:pt>
                <c:pt idx="118">
                  <c:v>5507.7977917322996</c:v>
                </c:pt>
                <c:pt idx="119">
                  <c:v>5605.5947843880003</c:v>
                </c:pt>
                <c:pt idx="120">
                  <c:v>5795.0147400187507</c:v>
                </c:pt>
                <c:pt idx="121">
                  <c:v>5599.7626987669491</c:v>
                </c:pt>
                <c:pt idx="122">
                  <c:v>5591.6036040302997</c:v>
                </c:pt>
                <c:pt idx="123">
                  <c:v>5509.3781876247003</c:v>
                </c:pt>
                <c:pt idx="124">
                  <c:v>5651.1311344290007</c:v>
                </c:pt>
                <c:pt idx="125">
                  <c:v>5496.3394141770004</c:v>
                </c:pt>
                <c:pt idx="126">
                  <c:v>5580</c:v>
                </c:pt>
                <c:pt idx="127">
                  <c:v>5680</c:v>
                </c:pt>
                <c:pt idx="128">
                  <c:v>5783.7141322424995</c:v>
                </c:pt>
                <c:pt idx="129">
                  <c:v>5535.4302409162501</c:v>
                </c:pt>
                <c:pt idx="130">
                  <c:v>5607.1050988131001</c:v>
                </c:pt>
                <c:pt idx="131">
                  <c:v>5701.2564484664999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综合成本对比!$E$260</c:f>
              <c:strCache>
                <c:ptCount val="1"/>
                <c:pt idx="0">
                  <c:v>PDH制</c:v>
                </c:pt>
              </c:strCache>
            </c:strRef>
          </c:tx>
          <c:spPr>
            <a:ln w="28575">
              <a:solidFill>
                <a:srgbClr val="FFC000"/>
              </a:solidFill>
            </a:ln>
          </c:spPr>
          <c:marker>
            <c:symbol val="none"/>
          </c:marker>
          <c:cat>
            <c:numRef>
              <c:f>综合成本对比!$A$261:$A$392</c:f>
              <c:numCache>
                <c:formatCode>yyyy\-mm\-dd;@</c:formatCode>
                <c:ptCount val="132"/>
                <c:pt idx="0">
                  <c:v>41913</c:v>
                </c:pt>
                <c:pt idx="1">
                  <c:v>41914</c:v>
                </c:pt>
                <c:pt idx="2">
                  <c:v>41915</c:v>
                </c:pt>
                <c:pt idx="3">
                  <c:v>41916</c:v>
                </c:pt>
                <c:pt idx="4">
                  <c:v>41917</c:v>
                </c:pt>
                <c:pt idx="5">
                  <c:v>41918</c:v>
                </c:pt>
                <c:pt idx="6">
                  <c:v>41919</c:v>
                </c:pt>
                <c:pt idx="7">
                  <c:v>41920</c:v>
                </c:pt>
                <c:pt idx="8">
                  <c:v>41921</c:v>
                </c:pt>
                <c:pt idx="9">
                  <c:v>41922</c:v>
                </c:pt>
                <c:pt idx="10">
                  <c:v>41925</c:v>
                </c:pt>
                <c:pt idx="11">
                  <c:v>41926</c:v>
                </c:pt>
                <c:pt idx="12">
                  <c:v>41927</c:v>
                </c:pt>
                <c:pt idx="13">
                  <c:v>41928</c:v>
                </c:pt>
                <c:pt idx="14">
                  <c:v>41929</c:v>
                </c:pt>
                <c:pt idx="15">
                  <c:v>41932</c:v>
                </c:pt>
                <c:pt idx="16">
                  <c:v>41933</c:v>
                </c:pt>
                <c:pt idx="17">
                  <c:v>41934</c:v>
                </c:pt>
                <c:pt idx="18">
                  <c:v>41935</c:v>
                </c:pt>
                <c:pt idx="19">
                  <c:v>41936</c:v>
                </c:pt>
                <c:pt idx="20">
                  <c:v>41939</c:v>
                </c:pt>
                <c:pt idx="21">
                  <c:v>41940</c:v>
                </c:pt>
                <c:pt idx="22">
                  <c:v>41941</c:v>
                </c:pt>
                <c:pt idx="23">
                  <c:v>41942</c:v>
                </c:pt>
                <c:pt idx="24">
                  <c:v>41943</c:v>
                </c:pt>
                <c:pt idx="25">
                  <c:v>41946</c:v>
                </c:pt>
                <c:pt idx="26">
                  <c:v>41947</c:v>
                </c:pt>
                <c:pt idx="27">
                  <c:v>41948</c:v>
                </c:pt>
                <c:pt idx="28">
                  <c:v>41949</c:v>
                </c:pt>
                <c:pt idx="29">
                  <c:v>41950</c:v>
                </c:pt>
                <c:pt idx="30">
                  <c:v>41953</c:v>
                </c:pt>
                <c:pt idx="31">
                  <c:v>41954</c:v>
                </c:pt>
                <c:pt idx="32">
                  <c:v>41955</c:v>
                </c:pt>
                <c:pt idx="33">
                  <c:v>41956</c:v>
                </c:pt>
                <c:pt idx="34">
                  <c:v>41957</c:v>
                </c:pt>
                <c:pt idx="35">
                  <c:v>41960</c:v>
                </c:pt>
                <c:pt idx="36">
                  <c:v>41961</c:v>
                </c:pt>
                <c:pt idx="37">
                  <c:v>41962</c:v>
                </c:pt>
                <c:pt idx="38">
                  <c:v>41963</c:v>
                </c:pt>
                <c:pt idx="39">
                  <c:v>41964</c:v>
                </c:pt>
                <c:pt idx="40">
                  <c:v>41967</c:v>
                </c:pt>
                <c:pt idx="41">
                  <c:v>41968</c:v>
                </c:pt>
                <c:pt idx="42">
                  <c:v>41969</c:v>
                </c:pt>
                <c:pt idx="43">
                  <c:v>41970</c:v>
                </c:pt>
                <c:pt idx="44">
                  <c:v>41971</c:v>
                </c:pt>
                <c:pt idx="45">
                  <c:v>41974</c:v>
                </c:pt>
                <c:pt idx="46">
                  <c:v>41975</c:v>
                </c:pt>
                <c:pt idx="47">
                  <c:v>41976</c:v>
                </c:pt>
                <c:pt idx="48">
                  <c:v>41977</c:v>
                </c:pt>
                <c:pt idx="49">
                  <c:v>41978</c:v>
                </c:pt>
                <c:pt idx="50">
                  <c:v>41981</c:v>
                </c:pt>
                <c:pt idx="51">
                  <c:v>41982</c:v>
                </c:pt>
                <c:pt idx="52">
                  <c:v>41983</c:v>
                </c:pt>
                <c:pt idx="53">
                  <c:v>41984</c:v>
                </c:pt>
                <c:pt idx="54">
                  <c:v>41985</c:v>
                </c:pt>
                <c:pt idx="55">
                  <c:v>41988</c:v>
                </c:pt>
                <c:pt idx="56">
                  <c:v>41989</c:v>
                </c:pt>
                <c:pt idx="57">
                  <c:v>41990</c:v>
                </c:pt>
                <c:pt idx="58">
                  <c:v>41991</c:v>
                </c:pt>
                <c:pt idx="59">
                  <c:v>41992</c:v>
                </c:pt>
                <c:pt idx="60">
                  <c:v>41995</c:v>
                </c:pt>
                <c:pt idx="61">
                  <c:v>41996</c:v>
                </c:pt>
                <c:pt idx="62">
                  <c:v>41997</c:v>
                </c:pt>
                <c:pt idx="63">
                  <c:v>41998</c:v>
                </c:pt>
                <c:pt idx="64">
                  <c:v>41999</c:v>
                </c:pt>
                <c:pt idx="65">
                  <c:v>42002</c:v>
                </c:pt>
                <c:pt idx="66">
                  <c:v>42003</c:v>
                </c:pt>
                <c:pt idx="67">
                  <c:v>42004</c:v>
                </c:pt>
                <c:pt idx="68">
                  <c:v>42005</c:v>
                </c:pt>
                <c:pt idx="69">
                  <c:v>42006</c:v>
                </c:pt>
                <c:pt idx="70">
                  <c:v>42009</c:v>
                </c:pt>
                <c:pt idx="71">
                  <c:v>42010</c:v>
                </c:pt>
                <c:pt idx="72">
                  <c:v>42011</c:v>
                </c:pt>
                <c:pt idx="73">
                  <c:v>42012</c:v>
                </c:pt>
                <c:pt idx="74">
                  <c:v>42013</c:v>
                </c:pt>
                <c:pt idx="75">
                  <c:v>42016</c:v>
                </c:pt>
                <c:pt idx="76">
                  <c:v>42017</c:v>
                </c:pt>
                <c:pt idx="77">
                  <c:v>42018</c:v>
                </c:pt>
                <c:pt idx="78">
                  <c:v>42019</c:v>
                </c:pt>
                <c:pt idx="79">
                  <c:v>42020</c:v>
                </c:pt>
                <c:pt idx="80">
                  <c:v>42023</c:v>
                </c:pt>
                <c:pt idx="81">
                  <c:v>42024</c:v>
                </c:pt>
                <c:pt idx="82">
                  <c:v>42025</c:v>
                </c:pt>
                <c:pt idx="83">
                  <c:v>42026</c:v>
                </c:pt>
                <c:pt idx="84">
                  <c:v>42027</c:v>
                </c:pt>
                <c:pt idx="85">
                  <c:v>42030</c:v>
                </c:pt>
                <c:pt idx="86">
                  <c:v>42031</c:v>
                </c:pt>
                <c:pt idx="87">
                  <c:v>42032</c:v>
                </c:pt>
                <c:pt idx="88">
                  <c:v>42033</c:v>
                </c:pt>
                <c:pt idx="89">
                  <c:v>42034</c:v>
                </c:pt>
                <c:pt idx="90">
                  <c:v>42037</c:v>
                </c:pt>
                <c:pt idx="91">
                  <c:v>42038</c:v>
                </c:pt>
                <c:pt idx="92">
                  <c:v>42039</c:v>
                </c:pt>
                <c:pt idx="93">
                  <c:v>42040</c:v>
                </c:pt>
                <c:pt idx="94">
                  <c:v>42041</c:v>
                </c:pt>
                <c:pt idx="95">
                  <c:v>42044</c:v>
                </c:pt>
                <c:pt idx="96">
                  <c:v>42045</c:v>
                </c:pt>
                <c:pt idx="97">
                  <c:v>42046</c:v>
                </c:pt>
                <c:pt idx="98">
                  <c:v>42047</c:v>
                </c:pt>
                <c:pt idx="99">
                  <c:v>42060</c:v>
                </c:pt>
                <c:pt idx="100">
                  <c:v>42061</c:v>
                </c:pt>
                <c:pt idx="101">
                  <c:v>42062</c:v>
                </c:pt>
                <c:pt idx="102">
                  <c:v>42065</c:v>
                </c:pt>
                <c:pt idx="103">
                  <c:v>42066</c:v>
                </c:pt>
                <c:pt idx="104">
                  <c:v>42067</c:v>
                </c:pt>
                <c:pt idx="105">
                  <c:v>42068</c:v>
                </c:pt>
                <c:pt idx="106">
                  <c:v>42069</c:v>
                </c:pt>
                <c:pt idx="107">
                  <c:v>42072</c:v>
                </c:pt>
                <c:pt idx="108">
                  <c:v>42073</c:v>
                </c:pt>
                <c:pt idx="109">
                  <c:v>42074</c:v>
                </c:pt>
                <c:pt idx="110">
                  <c:v>42075</c:v>
                </c:pt>
                <c:pt idx="111">
                  <c:v>42076</c:v>
                </c:pt>
                <c:pt idx="112">
                  <c:v>42079</c:v>
                </c:pt>
                <c:pt idx="113">
                  <c:v>42080</c:v>
                </c:pt>
                <c:pt idx="114">
                  <c:v>42081</c:v>
                </c:pt>
                <c:pt idx="115">
                  <c:v>42082</c:v>
                </c:pt>
                <c:pt idx="116">
                  <c:v>42083</c:v>
                </c:pt>
                <c:pt idx="117">
                  <c:v>42086</c:v>
                </c:pt>
                <c:pt idx="118">
                  <c:v>42087</c:v>
                </c:pt>
                <c:pt idx="119">
                  <c:v>42088</c:v>
                </c:pt>
                <c:pt idx="120">
                  <c:v>42089</c:v>
                </c:pt>
                <c:pt idx="121">
                  <c:v>42090</c:v>
                </c:pt>
                <c:pt idx="122">
                  <c:v>42093</c:v>
                </c:pt>
                <c:pt idx="123">
                  <c:v>42094</c:v>
                </c:pt>
                <c:pt idx="124" formatCode="m/d/yyyy">
                  <c:v>42095</c:v>
                </c:pt>
                <c:pt idx="125" formatCode="m/d/yyyy">
                  <c:v>42096</c:v>
                </c:pt>
                <c:pt idx="126" formatCode="m/d/yyyy">
                  <c:v>42097</c:v>
                </c:pt>
                <c:pt idx="127" formatCode="m/d/yyyy">
                  <c:v>42100</c:v>
                </c:pt>
                <c:pt idx="128" formatCode="m/d/yyyy">
                  <c:v>42101</c:v>
                </c:pt>
                <c:pt idx="129" formatCode="m/d/yyyy">
                  <c:v>42102</c:v>
                </c:pt>
                <c:pt idx="130" formatCode="m/d/yyyy">
                  <c:v>42103</c:v>
                </c:pt>
                <c:pt idx="131" formatCode="m/d/yyyy">
                  <c:v>42104</c:v>
                </c:pt>
              </c:numCache>
            </c:numRef>
          </c:cat>
          <c:val>
            <c:numRef>
              <c:f>综合成本对比!$E$261:$E$392</c:f>
              <c:numCache>
                <c:formatCode>General</c:formatCode>
                <c:ptCount val="132"/>
                <c:pt idx="0">
                  <c:v>8497.6239513524997</c:v>
                </c:pt>
                <c:pt idx="1">
                  <c:v>8510.4925757249985</c:v>
                </c:pt>
                <c:pt idx="2">
                  <c:v>8510.4925757249985</c:v>
                </c:pt>
                <c:pt idx="3">
                  <c:v>8510.4925757249985</c:v>
                </c:pt>
                <c:pt idx="4">
                  <c:v>8510.4925757249985</c:v>
                </c:pt>
                <c:pt idx="5">
                  <c:v>8510.4925760000006</c:v>
                </c:pt>
                <c:pt idx="6">
                  <c:v>8467.597161149999</c:v>
                </c:pt>
                <c:pt idx="7">
                  <c:v>8421.1097567189991</c:v>
                </c:pt>
                <c:pt idx="8">
                  <c:v>8293.2504654722998</c:v>
                </c:pt>
                <c:pt idx="9">
                  <c:v>7754.2434536549999</c:v>
                </c:pt>
                <c:pt idx="10">
                  <c:v>7803.2172234245991</c:v>
                </c:pt>
                <c:pt idx="11">
                  <c:v>7898.4002833484992</c:v>
                </c:pt>
                <c:pt idx="12">
                  <c:v>7793.7204819209983</c:v>
                </c:pt>
                <c:pt idx="13">
                  <c:v>7469.5671023189989</c:v>
                </c:pt>
                <c:pt idx="14">
                  <c:v>7515.1132827000001</c:v>
                </c:pt>
                <c:pt idx="15">
                  <c:v>7512.6730721999984</c:v>
                </c:pt>
                <c:pt idx="16">
                  <c:v>7429.6403781179997</c:v>
                </c:pt>
                <c:pt idx="17">
                  <c:v>7429.6403781179997</c:v>
                </c:pt>
                <c:pt idx="18">
                  <c:v>7367.4829876604999</c:v>
                </c:pt>
                <c:pt idx="19">
                  <c:v>7410.3323868375001</c:v>
                </c:pt>
                <c:pt idx="20">
                  <c:v>7410.3323868375001</c:v>
                </c:pt>
                <c:pt idx="21">
                  <c:v>7410.3323868375001</c:v>
                </c:pt>
                <c:pt idx="22">
                  <c:v>7554.9967803149993</c:v>
                </c:pt>
                <c:pt idx="23">
                  <c:v>7602.9566774819996</c:v>
                </c:pt>
                <c:pt idx="24">
                  <c:v>7538.6846703254978</c:v>
                </c:pt>
                <c:pt idx="25">
                  <c:v>7581.5326750964996</c:v>
                </c:pt>
                <c:pt idx="26">
                  <c:v>7538.6846703254978</c:v>
                </c:pt>
                <c:pt idx="27">
                  <c:v>7320.1598459934003</c:v>
                </c:pt>
                <c:pt idx="28">
                  <c:v>7313.1858638249996</c:v>
                </c:pt>
                <c:pt idx="29">
                  <c:v>7201.5852768180002</c:v>
                </c:pt>
                <c:pt idx="30">
                  <c:v>7253.0932400519996</c:v>
                </c:pt>
                <c:pt idx="31">
                  <c:v>7081.5297090299982</c:v>
                </c:pt>
                <c:pt idx="32">
                  <c:v>7227.0232860353999</c:v>
                </c:pt>
                <c:pt idx="33">
                  <c:v>7170.8874287279987</c:v>
                </c:pt>
                <c:pt idx="34">
                  <c:v>6845.4492434375998</c:v>
                </c:pt>
                <c:pt idx="35">
                  <c:v>6843.4544062139994</c:v>
                </c:pt>
                <c:pt idx="36">
                  <c:v>6843.4544062139994</c:v>
                </c:pt>
                <c:pt idx="37">
                  <c:v>6843.4544062139994</c:v>
                </c:pt>
                <c:pt idx="38">
                  <c:v>6913.8746980259994</c:v>
                </c:pt>
                <c:pt idx="39">
                  <c:v>6995.2329196628998</c:v>
                </c:pt>
                <c:pt idx="40">
                  <c:v>6956.1287555612998</c:v>
                </c:pt>
                <c:pt idx="41">
                  <c:v>6825.9002290799999</c:v>
                </c:pt>
                <c:pt idx="42">
                  <c:v>6718.8969986549992</c:v>
                </c:pt>
                <c:pt idx="43">
                  <c:v>6674.4900479759999</c:v>
                </c:pt>
                <c:pt idx="44">
                  <c:v>6501.8277250259989</c:v>
                </c:pt>
                <c:pt idx="45">
                  <c:v>6056.5855227899992</c:v>
                </c:pt>
                <c:pt idx="46">
                  <c:v>6313.4560240800001</c:v>
                </c:pt>
                <c:pt idx="47">
                  <c:v>6292.0501489725002</c:v>
                </c:pt>
                <c:pt idx="48">
                  <c:v>6121.2528440474989</c:v>
                </c:pt>
                <c:pt idx="49">
                  <c:v>5800.1333432999991</c:v>
                </c:pt>
                <c:pt idx="50">
                  <c:v>5671.6855430009991</c:v>
                </c:pt>
                <c:pt idx="51">
                  <c:v>5354.8476355967996</c:v>
                </c:pt>
                <c:pt idx="52">
                  <c:v>5517.5481826421992</c:v>
                </c:pt>
                <c:pt idx="53">
                  <c:v>5479.4295149810996</c:v>
                </c:pt>
                <c:pt idx="54">
                  <c:v>5522.0655700400994</c:v>
                </c:pt>
                <c:pt idx="55">
                  <c:v>5573.2288361108995</c:v>
                </c:pt>
                <c:pt idx="56">
                  <c:v>5274.7764506979001</c:v>
                </c:pt>
                <c:pt idx="57">
                  <c:v>5234.6909036534998</c:v>
                </c:pt>
                <c:pt idx="58">
                  <c:v>5362.6869164084992</c:v>
                </c:pt>
                <c:pt idx="59">
                  <c:v>5337.0877138574997</c:v>
                </c:pt>
                <c:pt idx="60">
                  <c:v>5577.2070764288992</c:v>
                </c:pt>
                <c:pt idx="61">
                  <c:v>5491.8513019509001</c:v>
                </c:pt>
                <c:pt idx="62">
                  <c:v>5508.9224568464997</c:v>
                </c:pt>
                <c:pt idx="63">
                  <c:v>5380.8887951294992</c:v>
                </c:pt>
                <c:pt idx="64">
                  <c:v>5492.5653075431992</c:v>
                </c:pt>
                <c:pt idx="65">
                  <c:v>5535.2508640151991</c:v>
                </c:pt>
                <c:pt idx="66">
                  <c:v>5535.2508640151991</c:v>
                </c:pt>
                <c:pt idx="67">
                  <c:v>5447.6965295969994</c:v>
                </c:pt>
                <c:pt idx="68">
                  <c:v>5529.0691833359997</c:v>
                </c:pt>
                <c:pt idx="69">
                  <c:v>5658.9999344159996</c:v>
                </c:pt>
                <c:pt idx="70">
                  <c:v>5378.8269566975996</c:v>
                </c:pt>
                <c:pt idx="71">
                  <c:v>5208.4997060351998</c:v>
                </c:pt>
                <c:pt idx="72">
                  <c:v>5106.7621709880004</c:v>
                </c:pt>
                <c:pt idx="73">
                  <c:v>5151.4347560099995</c:v>
                </c:pt>
                <c:pt idx="74">
                  <c:v>5108.3434273919993</c:v>
                </c:pt>
                <c:pt idx="75">
                  <c:v>5147.3456604149997</c:v>
                </c:pt>
                <c:pt idx="76">
                  <c:v>5145.0936947250002</c:v>
                </c:pt>
                <c:pt idx="77">
                  <c:v>4957.9281549689986</c:v>
                </c:pt>
                <c:pt idx="78">
                  <c:v>5042.5817065853989</c:v>
                </c:pt>
                <c:pt idx="79">
                  <c:v>5161.7430418056001</c:v>
                </c:pt>
                <c:pt idx="80">
                  <c:v>5317.9268324099994</c:v>
                </c:pt>
                <c:pt idx="81">
                  <c:v>5317.678628142</c:v>
                </c:pt>
                <c:pt idx="82">
                  <c:v>5508.2361999335999</c:v>
                </c:pt>
                <c:pt idx="83">
                  <c:v>6215.7151355099995</c:v>
                </c:pt>
                <c:pt idx="84">
                  <c:v>6111.8045581523993</c:v>
                </c:pt>
                <c:pt idx="85">
                  <c:v>6114.9495014447994</c:v>
                </c:pt>
                <c:pt idx="86">
                  <c:v>5822.5263881351993</c:v>
                </c:pt>
                <c:pt idx="87">
                  <c:v>5850.9558165443996</c:v>
                </c:pt>
                <c:pt idx="88">
                  <c:v>5585.2961650754996</c:v>
                </c:pt>
                <c:pt idx="89">
                  <c:v>5587.6168052609992</c:v>
                </c:pt>
                <c:pt idx="90">
                  <c:v>5652.8080745729994</c:v>
                </c:pt>
                <c:pt idx="91">
                  <c:v>6439.0048543049988</c:v>
                </c:pt>
                <c:pt idx="92">
                  <c:v>6246.8109470723994</c:v>
                </c:pt>
                <c:pt idx="93">
                  <c:v>5925.3496076939991</c:v>
                </c:pt>
                <c:pt idx="94">
                  <c:v>6088.6547691809992</c:v>
                </c:pt>
                <c:pt idx="95">
                  <c:v>6177.8772314969992</c:v>
                </c:pt>
                <c:pt idx="96">
                  <c:v>6262.1314252349985</c:v>
                </c:pt>
                <c:pt idx="97">
                  <c:v>6220.9302139499987</c:v>
                </c:pt>
                <c:pt idx="98">
                  <c:v>6350.5953306870006</c:v>
                </c:pt>
                <c:pt idx="99">
                  <c:v>6572.8785672311997</c:v>
                </c:pt>
                <c:pt idx="100">
                  <c:v>6572.4668688597003</c:v>
                </c:pt>
                <c:pt idx="101">
                  <c:v>6447.5037588750001</c:v>
                </c:pt>
                <c:pt idx="102">
                  <c:v>6364.7764397069986</c:v>
                </c:pt>
                <c:pt idx="103">
                  <c:v>6367.1399578769997</c:v>
                </c:pt>
                <c:pt idx="104">
                  <c:v>6365.7218469749996</c:v>
                </c:pt>
                <c:pt idx="105">
                  <c:v>6301.6119395159994</c:v>
                </c:pt>
                <c:pt idx="106">
                  <c:v>6387.8026145864997</c:v>
                </c:pt>
                <c:pt idx="107">
                  <c:v>6368.7156366569989</c:v>
                </c:pt>
                <c:pt idx="108">
                  <c:v>6283.568325876</c:v>
                </c:pt>
                <c:pt idx="109">
                  <c:v>6070.7749982459991</c:v>
                </c:pt>
                <c:pt idx="110">
                  <c:v>6158.1721831079994</c:v>
                </c:pt>
                <c:pt idx="111">
                  <c:v>6113.0492049479999</c:v>
                </c:pt>
                <c:pt idx="112">
                  <c:v>5969.0056707419999</c:v>
                </c:pt>
                <c:pt idx="113">
                  <c:v>5923.9015170629991</c:v>
                </c:pt>
                <c:pt idx="114">
                  <c:v>5921.8270592567997</c:v>
                </c:pt>
                <c:pt idx="115">
                  <c:v>5829.2596958280001</c:v>
                </c:pt>
                <c:pt idx="116">
                  <c:v>5763.1843731119998</c:v>
                </c:pt>
                <c:pt idx="117">
                  <c:v>5742.7345724784</c:v>
                </c:pt>
                <c:pt idx="118">
                  <c:v>5927.6475887819997</c:v>
                </c:pt>
                <c:pt idx="119">
                  <c:v>5971.3245679199999</c:v>
                </c:pt>
                <c:pt idx="120">
                  <c:v>6118.5546684374995</c:v>
                </c:pt>
                <c:pt idx="121">
                  <c:v>6034.5912083505</c:v>
                </c:pt>
                <c:pt idx="122">
                  <c:v>6034.9589829329998</c:v>
                </c:pt>
                <c:pt idx="123">
                  <c:v>6147.7714481945995</c:v>
                </c:pt>
                <c:pt idx="124">
                  <c:v>5887.4008484039996</c:v>
                </c:pt>
                <c:pt idx="125">
                  <c:v>5927.5039649639994</c:v>
                </c:pt>
                <c:pt idx="126">
                  <c:v>5802.0157913999992</c:v>
                </c:pt>
                <c:pt idx="127">
                  <c:v>5913.3861619763993</c:v>
                </c:pt>
                <c:pt idx="128">
                  <c:v>5792.7429914999993</c:v>
                </c:pt>
                <c:pt idx="129">
                  <c:v>5838.3017215349992</c:v>
                </c:pt>
                <c:pt idx="130">
                  <c:v>5752.2787237859993</c:v>
                </c:pt>
                <c:pt idx="131">
                  <c:v>5754.4874628899988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951488"/>
        <c:axId val="164263040"/>
      </c:lineChart>
      <c:dateAx>
        <c:axId val="139951488"/>
        <c:scaling>
          <c:orientation val="minMax"/>
        </c:scaling>
        <c:delete val="0"/>
        <c:axPos val="b"/>
        <c:numFmt formatCode="yyyy\-mm\-dd;@" sourceLinked="1"/>
        <c:majorTickMark val="out"/>
        <c:minorTickMark val="none"/>
        <c:tickLblPos val="nextTo"/>
        <c:crossAx val="164263040"/>
        <c:crosses val="autoZero"/>
        <c:auto val="1"/>
        <c:lblOffset val="100"/>
        <c:baseTimeUnit val="days"/>
      </c:dateAx>
      <c:valAx>
        <c:axId val="164263040"/>
        <c:scaling>
          <c:orientation val="minMax"/>
          <c:max val="9000"/>
          <c:min val="40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zh-CN" altLang="en-US" b="0"/>
                  <a:t>元</a:t>
                </a:r>
                <a:r>
                  <a:rPr lang="en-US" altLang="zh-CN" b="0"/>
                  <a:t>/</a:t>
                </a:r>
                <a:r>
                  <a:rPr lang="zh-CN" altLang="en-US" b="0"/>
                  <a:t>吨</a:t>
                </a:r>
              </a:p>
            </c:rich>
          </c:tx>
          <c:layout>
            <c:manualLayout>
              <c:xMode val="edge"/>
              <c:yMode val="edge"/>
              <c:x val="9.4026931225293806E-2"/>
              <c:y val="2.2225277571988173E-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399514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3723802342711281"/>
          <c:y val="0.11607092113081144"/>
          <c:w val="0.59482273244989947"/>
          <c:h val="7.0088832963691922E-2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5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2015-07-25T03:10:00Z</dcterms:created>
  <dc:creator>caili</dc:creator>
  <cp:lastModifiedBy>caili</cp:lastModifiedBy>
  <dcterms:modified xsi:type="dcterms:W3CDTF">2015-09-10T07:47:00Z</dcterms:modified>
  <cp:revision>29</cp:revision>
</cp:coreProperties>
</file>