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44" w:rsidRDefault="002D005F" w:rsidP="002D005F">
      <w:pPr>
        <w:jc w:val="center"/>
      </w:pPr>
      <w:r>
        <w:rPr>
          <w:rFonts w:hint="eastAsia"/>
        </w:rPr>
        <w:t>铁矿石长期弱势</w:t>
      </w:r>
      <w:r w:rsidR="00A32308">
        <w:rPr>
          <w:rFonts w:hint="eastAsia"/>
        </w:rPr>
        <w:t>未改，静待做空时机</w:t>
      </w:r>
    </w:p>
    <w:p w:rsidR="002D005F" w:rsidRDefault="00B75050" w:rsidP="00B75050">
      <w:pPr>
        <w:ind w:firstLineChars="1700" w:firstLine="3570"/>
      </w:pPr>
      <w:bookmarkStart w:id="0" w:name="_GoBack"/>
      <w:bookmarkEnd w:id="0"/>
      <w:r>
        <w:rPr>
          <w:rFonts w:hint="eastAsia"/>
        </w:rPr>
        <w:t>——铁矿石后市操作策略</w:t>
      </w:r>
    </w:p>
    <w:p w:rsidR="002D005F" w:rsidRDefault="002D005F" w:rsidP="002D005F">
      <w:pPr>
        <w:spacing w:line="360" w:lineRule="auto"/>
        <w:ind w:firstLine="420"/>
        <w:jc w:val="left"/>
      </w:pPr>
      <w:r>
        <w:rPr>
          <w:rFonts w:hint="eastAsia"/>
        </w:rPr>
        <w:t>铁矿石在最近两个月表现强势，领</w:t>
      </w:r>
      <w:proofErr w:type="gramStart"/>
      <w:r>
        <w:rPr>
          <w:rFonts w:hint="eastAsia"/>
        </w:rPr>
        <w:t>涨整个</w:t>
      </w:r>
      <w:proofErr w:type="gramEnd"/>
      <w:r>
        <w:rPr>
          <w:rFonts w:hint="eastAsia"/>
        </w:rPr>
        <w:t>工业品市场。特别是随着期价向上突破</w:t>
      </w:r>
      <w:r>
        <w:rPr>
          <w:rFonts w:hint="eastAsia"/>
        </w:rPr>
        <w:t>390</w:t>
      </w:r>
      <w:r>
        <w:rPr>
          <w:rFonts w:hint="eastAsia"/>
        </w:rPr>
        <w:t>的前期高点，日线级别强势格局已经确立，截止目前，期价已经突破了</w:t>
      </w:r>
      <w:r>
        <w:rPr>
          <w:rFonts w:hint="eastAsia"/>
        </w:rPr>
        <w:t>400</w:t>
      </w:r>
      <w:r>
        <w:rPr>
          <w:rFonts w:hint="eastAsia"/>
        </w:rPr>
        <w:t>元的关键阻力位，攀升至</w:t>
      </w:r>
      <w:r>
        <w:rPr>
          <w:rFonts w:hint="eastAsia"/>
        </w:rPr>
        <w:t>410</w:t>
      </w:r>
      <w:r>
        <w:rPr>
          <w:rFonts w:hint="eastAsia"/>
        </w:rPr>
        <w:t>元附近高位。但随着铁矿石近期的强势攀升，期价前期大幅贴水的状态已经得到修复，而目前无论是宏观环境还是短期供需都难以支撑期价继续大幅攀升。而技术面上来看，尽管期价表现强势，但依然没有改变长期的弱势格局，而上方</w:t>
      </w:r>
      <w:r w:rsidR="00190D78">
        <w:rPr>
          <w:rFonts w:hint="eastAsia"/>
        </w:rPr>
        <w:t>44</w:t>
      </w:r>
      <w:r>
        <w:rPr>
          <w:rFonts w:hint="eastAsia"/>
        </w:rPr>
        <w:t>0</w:t>
      </w:r>
      <w:r>
        <w:rPr>
          <w:rFonts w:hint="eastAsia"/>
        </w:rPr>
        <w:t>元一线将是市场走高的极限位置，在该关口下方，我们依然维持空头的判断，并择机做空。</w:t>
      </w:r>
    </w:p>
    <w:p w:rsidR="002D005F" w:rsidRDefault="002D005F" w:rsidP="002D005F">
      <w:pPr>
        <w:spacing w:line="360" w:lineRule="auto"/>
        <w:ind w:firstLine="420"/>
        <w:jc w:val="left"/>
      </w:pPr>
      <w:r>
        <w:rPr>
          <w:rFonts w:hint="eastAsia"/>
        </w:rPr>
        <w:t>一、</w:t>
      </w:r>
      <w:r w:rsidR="00DC07B4">
        <w:rPr>
          <w:rFonts w:hint="eastAsia"/>
        </w:rPr>
        <w:t>房地产市场整体不乐观，难以为铁矿石上涨创造大的空间</w:t>
      </w:r>
    </w:p>
    <w:p w:rsidR="002D005F" w:rsidRDefault="002D005F" w:rsidP="002D005F">
      <w:pPr>
        <w:spacing w:line="360" w:lineRule="auto"/>
        <w:ind w:firstLine="420"/>
        <w:jc w:val="left"/>
      </w:pPr>
      <w:r w:rsidRPr="002D005F">
        <w:rPr>
          <w:rFonts w:hint="eastAsia"/>
        </w:rPr>
        <w:t>近期的国务院常务会议研究部署继续做好房地产市场调控工作，提出完善稳定房价工作责任制、坚决抑制投机投资性购房、增加普通商品住房及用地供应、加快保障性安居工程规划建设和加强市场监管等。</w:t>
      </w:r>
      <w:r w:rsidRPr="002D005F">
        <w:rPr>
          <w:rFonts w:hint="eastAsia"/>
        </w:rPr>
        <w:t xml:space="preserve"> </w:t>
      </w:r>
      <w:r w:rsidRPr="002D005F">
        <w:rPr>
          <w:rFonts w:hint="eastAsia"/>
        </w:rPr>
        <w:t>在政府对于房地产调控态度坚决的大背景下，未来部分地区有进一步出台房地产限购或限贷政策的可能，尤其需要关注在宏观政策偏空的同时，钢材市场也面临供需压力，即产量及库存量迅速上升、需求却跟进不足。此外资金的短缺也将影响其进程。据消息显示，未来</w:t>
      </w:r>
      <w:r w:rsidRPr="002D005F">
        <w:rPr>
          <w:rFonts w:hint="eastAsia"/>
        </w:rPr>
        <w:t>3</w:t>
      </w:r>
      <w:r w:rsidRPr="002D005F">
        <w:rPr>
          <w:rFonts w:hint="eastAsia"/>
        </w:rPr>
        <w:t>年我国</w:t>
      </w:r>
      <w:proofErr w:type="gramStart"/>
      <w:r w:rsidRPr="002D005F">
        <w:rPr>
          <w:rFonts w:hint="eastAsia"/>
        </w:rPr>
        <w:t>城镇化投融资</w:t>
      </w:r>
      <w:proofErr w:type="gramEnd"/>
      <w:r w:rsidRPr="002D005F">
        <w:rPr>
          <w:rFonts w:hint="eastAsia"/>
        </w:rPr>
        <w:t>资金需求量将达</w:t>
      </w:r>
      <w:r w:rsidRPr="002D005F">
        <w:rPr>
          <w:rFonts w:hint="eastAsia"/>
        </w:rPr>
        <w:t>25</w:t>
      </w:r>
      <w:proofErr w:type="gramStart"/>
      <w:r w:rsidRPr="002D005F">
        <w:rPr>
          <w:rFonts w:hint="eastAsia"/>
        </w:rPr>
        <w:t>万亿</w:t>
      </w:r>
      <w:proofErr w:type="gramEnd"/>
      <w:r w:rsidRPr="002D005F">
        <w:rPr>
          <w:rFonts w:hint="eastAsia"/>
        </w:rPr>
        <w:t>元，城镇化建设资金缺口约为</w:t>
      </w:r>
      <w:r w:rsidRPr="002D005F">
        <w:rPr>
          <w:rFonts w:hint="eastAsia"/>
        </w:rPr>
        <w:t>11.7</w:t>
      </w:r>
      <w:proofErr w:type="gramStart"/>
      <w:r w:rsidRPr="002D005F">
        <w:rPr>
          <w:rFonts w:hint="eastAsia"/>
        </w:rPr>
        <w:t>万亿</w:t>
      </w:r>
      <w:proofErr w:type="gramEnd"/>
      <w:r w:rsidRPr="002D005F">
        <w:rPr>
          <w:rFonts w:hint="eastAsia"/>
        </w:rPr>
        <w:t>元。而现阶段财政资金尚难以独立承担我国城镇化建设重任，城镇化建设资金仍有一定缺口。据测算，</w:t>
      </w:r>
      <w:r w:rsidRPr="002D005F">
        <w:rPr>
          <w:rFonts w:hint="eastAsia"/>
        </w:rPr>
        <w:t>2015</w:t>
      </w:r>
      <w:r w:rsidRPr="002D005F">
        <w:rPr>
          <w:rFonts w:hint="eastAsia"/>
        </w:rPr>
        <w:t>年至</w:t>
      </w:r>
      <w:r w:rsidRPr="002D005F">
        <w:rPr>
          <w:rFonts w:hint="eastAsia"/>
        </w:rPr>
        <w:t>2016</w:t>
      </w:r>
      <w:r w:rsidRPr="002D005F">
        <w:rPr>
          <w:rFonts w:hint="eastAsia"/>
        </w:rPr>
        <w:t>年，财政资金仅能支持当年城镇化新增投资的五分之一左右。同时当前地方政府债券融资也难以成为城镇化的主要建设资金来源。这样来看，总体经济依然处于弱势，</w:t>
      </w:r>
      <w:r>
        <w:rPr>
          <w:rFonts w:hint="eastAsia"/>
        </w:rPr>
        <w:t>作为</w:t>
      </w:r>
      <w:r w:rsidRPr="002D005F">
        <w:rPr>
          <w:rFonts w:hint="eastAsia"/>
        </w:rPr>
        <w:t>钢材</w:t>
      </w:r>
      <w:r>
        <w:rPr>
          <w:rFonts w:hint="eastAsia"/>
        </w:rPr>
        <w:t>原料的铁矿石价格持续攀升的空间有限</w:t>
      </w:r>
      <w:r w:rsidRPr="002D005F">
        <w:rPr>
          <w:rFonts w:hint="eastAsia"/>
        </w:rPr>
        <w:t>。</w:t>
      </w:r>
    </w:p>
    <w:p w:rsidR="00DC07B4" w:rsidRDefault="00DC07B4" w:rsidP="002D005F">
      <w:pPr>
        <w:spacing w:line="360" w:lineRule="auto"/>
        <w:ind w:firstLine="420"/>
        <w:jc w:val="left"/>
      </w:pPr>
      <w:r>
        <w:rPr>
          <w:rFonts w:hint="eastAsia"/>
        </w:rPr>
        <w:t>二、库存高企，期价后市承压</w:t>
      </w:r>
    </w:p>
    <w:p w:rsidR="00DC07B4" w:rsidRDefault="00DC07B4" w:rsidP="002D005F">
      <w:pPr>
        <w:spacing w:line="360" w:lineRule="auto"/>
        <w:ind w:firstLine="420"/>
        <w:jc w:val="left"/>
      </w:pPr>
      <w:r w:rsidRPr="00DC07B4">
        <w:rPr>
          <w:rFonts w:hint="eastAsia"/>
        </w:rPr>
        <w:t>由于铁矿石商增产</w:t>
      </w:r>
      <w:proofErr w:type="gramStart"/>
      <w:r w:rsidRPr="00DC07B4">
        <w:rPr>
          <w:rFonts w:hint="eastAsia"/>
        </w:rPr>
        <w:t>且需求</w:t>
      </w:r>
      <w:proofErr w:type="gramEnd"/>
      <w:r w:rsidRPr="00DC07B4">
        <w:rPr>
          <w:rFonts w:hint="eastAsia"/>
        </w:rPr>
        <w:t>放缓，中国港口库存出现反弹。受此影响，铁矿石价格连续八个交易日下跌，为</w:t>
      </w:r>
      <w:r w:rsidRPr="00DC07B4">
        <w:rPr>
          <w:rFonts w:hint="eastAsia"/>
        </w:rPr>
        <w:t>10</w:t>
      </w:r>
      <w:r w:rsidRPr="00DC07B4">
        <w:rPr>
          <w:rFonts w:hint="eastAsia"/>
        </w:rPr>
        <w:t>个月以来最长下跌，再次跌入熊市。二季度，铁矿石出现大幅反弹，一度步入牛市。由于中国钢铁行业进一步放缓、必和必拓（</w:t>
      </w:r>
      <w:r w:rsidRPr="00DC07B4">
        <w:rPr>
          <w:rFonts w:hint="eastAsia"/>
        </w:rPr>
        <w:t>BHP Billiton</w:t>
      </w:r>
      <w:r w:rsidRPr="00DC07B4">
        <w:rPr>
          <w:rFonts w:hint="eastAsia"/>
        </w:rPr>
        <w:t>）和</w:t>
      </w:r>
      <w:r w:rsidRPr="00DC07B4">
        <w:rPr>
          <w:rFonts w:hint="eastAsia"/>
        </w:rPr>
        <w:t>Vale</w:t>
      </w:r>
      <w:r w:rsidRPr="00DC07B4">
        <w:rPr>
          <w:rFonts w:hint="eastAsia"/>
        </w:rPr>
        <w:t>的低成本产出增加，最大买家在港口的铁矿石库存</w:t>
      </w:r>
      <w:r w:rsidRPr="00DC07B4">
        <w:rPr>
          <w:rFonts w:hint="eastAsia"/>
        </w:rPr>
        <w:t>4</w:t>
      </w:r>
      <w:r w:rsidRPr="00DC07B4">
        <w:rPr>
          <w:rFonts w:hint="eastAsia"/>
        </w:rPr>
        <w:t>月以来首次增加。据上海钢之家信息科技有限公司数据，上周中国港口库存增加了</w:t>
      </w:r>
      <w:r w:rsidRPr="00DC07B4">
        <w:rPr>
          <w:rFonts w:hint="eastAsia"/>
        </w:rPr>
        <w:t>2.8%</w:t>
      </w:r>
      <w:r w:rsidRPr="00DC07B4">
        <w:rPr>
          <w:rFonts w:hint="eastAsia"/>
        </w:rPr>
        <w:t>，达到</w:t>
      </w:r>
      <w:r w:rsidRPr="00DC07B4">
        <w:rPr>
          <w:rFonts w:hint="eastAsia"/>
        </w:rPr>
        <w:t>8155</w:t>
      </w:r>
      <w:r w:rsidRPr="00DC07B4">
        <w:rPr>
          <w:rFonts w:hint="eastAsia"/>
        </w:rPr>
        <w:t>万吨，为</w:t>
      </w:r>
      <w:r w:rsidRPr="00DC07B4">
        <w:rPr>
          <w:rFonts w:hint="eastAsia"/>
        </w:rPr>
        <w:t>11</w:t>
      </w:r>
      <w:r w:rsidRPr="00DC07B4">
        <w:rPr>
          <w:rFonts w:hint="eastAsia"/>
        </w:rPr>
        <w:t>周以来库存首次上升。今年</w:t>
      </w:r>
      <w:r w:rsidRPr="00DC07B4">
        <w:rPr>
          <w:rFonts w:hint="eastAsia"/>
        </w:rPr>
        <w:t>4</w:t>
      </w:r>
      <w:r w:rsidRPr="00DC07B4">
        <w:rPr>
          <w:rFonts w:hint="eastAsia"/>
        </w:rPr>
        <w:t>月，必</w:t>
      </w:r>
      <w:proofErr w:type="gramStart"/>
      <w:r w:rsidRPr="00DC07B4">
        <w:rPr>
          <w:rFonts w:hint="eastAsia"/>
        </w:rPr>
        <w:t>和必拓叫停</w:t>
      </w:r>
      <w:proofErr w:type="gramEnd"/>
      <w:r w:rsidRPr="00DC07B4">
        <w:rPr>
          <w:rFonts w:hint="eastAsia"/>
        </w:rPr>
        <w:t>澳大利亚港口业务扩张计划，大幅推升国际铁矿石价格，铁矿石自</w:t>
      </w:r>
      <w:r w:rsidRPr="00DC07B4">
        <w:rPr>
          <w:rFonts w:hint="eastAsia"/>
        </w:rPr>
        <w:t>4</w:t>
      </w:r>
      <w:r w:rsidRPr="00DC07B4">
        <w:rPr>
          <w:rFonts w:hint="eastAsia"/>
        </w:rPr>
        <w:t>月低点的</w:t>
      </w:r>
      <w:r w:rsidRPr="00DC07B4">
        <w:rPr>
          <w:rFonts w:hint="eastAsia"/>
        </w:rPr>
        <w:t>47.08</w:t>
      </w:r>
      <w:r w:rsidRPr="00DC07B4">
        <w:rPr>
          <w:rFonts w:hint="eastAsia"/>
        </w:rPr>
        <w:t>美元大幅反弹，在二季度一度步入牛市。不过，有关人士认为，中国经济告别了持续</w:t>
      </w:r>
      <w:r w:rsidRPr="00DC07B4">
        <w:rPr>
          <w:rFonts w:hint="eastAsia"/>
        </w:rPr>
        <w:t>30</w:t>
      </w:r>
      <w:r w:rsidRPr="00DC07B4">
        <w:rPr>
          <w:rFonts w:hint="eastAsia"/>
        </w:rPr>
        <w:t>年的高速增长，这严重拖累了铁矿石需求。部分分析人士对于二季度铁矿石的反弹行情，持谨慎态度，认为并不可持续。随着近期铁矿石价格的不断波动，目前，不少钢厂因仍处于亏损而减少了铁矿石采购量。总体来看，节节攀升的港口库存无疑给价格反弹带来巨</w:t>
      </w:r>
      <w:r w:rsidRPr="00DC07B4">
        <w:rPr>
          <w:rFonts w:hint="eastAsia"/>
        </w:rPr>
        <w:lastRenderedPageBreak/>
        <w:t>大压力。</w:t>
      </w:r>
    </w:p>
    <w:p w:rsidR="00DC07B4" w:rsidRDefault="00DC07B4" w:rsidP="002D005F">
      <w:pPr>
        <w:spacing w:line="360" w:lineRule="auto"/>
        <w:ind w:firstLine="420"/>
        <w:jc w:val="left"/>
      </w:pPr>
      <w:r>
        <w:rPr>
          <w:rFonts w:hint="eastAsia"/>
        </w:rPr>
        <w:t>铁矿石港口存量</w:t>
      </w:r>
    </w:p>
    <w:p w:rsidR="00DC07B4" w:rsidRDefault="00DC07B4" w:rsidP="00DC07B4">
      <w:pPr>
        <w:spacing w:line="360" w:lineRule="auto"/>
        <w:jc w:val="center"/>
      </w:pPr>
      <w:r>
        <w:rPr>
          <w:rFonts w:ascii="宋体" w:eastAsia="宋体" w:hAnsi="宋体" w:cs="宋体"/>
          <w:noProof/>
          <w:kern w:val="0"/>
          <w:szCs w:val="24"/>
        </w:rPr>
        <w:drawing>
          <wp:inline distT="0" distB="0" distL="0" distR="0">
            <wp:extent cx="5200650" cy="3057525"/>
            <wp:effectExtent l="0" t="0" r="0" b="9525"/>
            <wp:docPr id="1" name="图片 1" descr="W2@UOBS@[RLEQRO%~54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2@UOBS@[RLEQRO%~54B~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3057525"/>
                    </a:xfrm>
                    <a:prstGeom prst="rect">
                      <a:avLst/>
                    </a:prstGeom>
                    <a:noFill/>
                    <a:ln>
                      <a:noFill/>
                    </a:ln>
                  </pic:spPr>
                </pic:pic>
              </a:graphicData>
            </a:graphic>
          </wp:inline>
        </w:drawing>
      </w:r>
    </w:p>
    <w:p w:rsidR="00DC07B4" w:rsidRDefault="00DC07B4" w:rsidP="00DC07B4">
      <w:pPr>
        <w:spacing w:line="360" w:lineRule="auto"/>
        <w:ind w:firstLineChars="200" w:firstLine="420"/>
      </w:pPr>
      <w:r w:rsidRPr="00DC07B4">
        <w:rPr>
          <w:rFonts w:hint="eastAsia"/>
        </w:rPr>
        <w:t>螺纹钢</w:t>
      </w:r>
      <w:r w:rsidRPr="00DC07B4">
        <w:rPr>
          <w:rFonts w:hint="eastAsia"/>
        </w:rPr>
        <w:t>HRB400</w:t>
      </w:r>
      <w:r w:rsidRPr="00DC07B4">
        <w:rPr>
          <w:rFonts w:hint="eastAsia"/>
        </w:rPr>
        <w:t>社会库存</w:t>
      </w:r>
    </w:p>
    <w:p w:rsidR="00DC07B4" w:rsidRDefault="00DC07B4" w:rsidP="00DC07B4">
      <w:pPr>
        <w:spacing w:line="360" w:lineRule="auto"/>
        <w:jc w:val="center"/>
      </w:pPr>
      <w:r>
        <w:rPr>
          <w:rFonts w:ascii="宋体" w:eastAsia="宋体" w:hAnsi="宋体" w:cs="宋体"/>
          <w:noProof/>
          <w:kern w:val="0"/>
          <w:szCs w:val="24"/>
        </w:rPr>
        <w:drawing>
          <wp:inline distT="0" distB="0" distL="0" distR="0">
            <wp:extent cx="5191125" cy="3009900"/>
            <wp:effectExtent l="0" t="0" r="9525" b="0"/>
            <wp:docPr id="2" name="图片 2" descr="%F0$2QFR51TSB)C3%UA$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2QFR51TSB)C3%UA$Y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3009900"/>
                    </a:xfrm>
                    <a:prstGeom prst="rect">
                      <a:avLst/>
                    </a:prstGeom>
                    <a:noFill/>
                    <a:ln>
                      <a:noFill/>
                    </a:ln>
                  </pic:spPr>
                </pic:pic>
              </a:graphicData>
            </a:graphic>
          </wp:inline>
        </w:drawing>
      </w:r>
    </w:p>
    <w:p w:rsidR="00DC07B4" w:rsidRDefault="00DC07B4" w:rsidP="00DC07B4">
      <w:pPr>
        <w:spacing w:line="360" w:lineRule="auto"/>
        <w:ind w:firstLine="357"/>
        <w:rPr>
          <w:color w:val="000000"/>
          <w:szCs w:val="24"/>
          <w:shd w:val="clear" w:color="auto" w:fill="FFFFFF"/>
        </w:rPr>
      </w:pPr>
      <w:r>
        <w:rPr>
          <w:rFonts w:ascii="Tahoma" w:hAnsi="Tahoma" w:cs="Tahoma"/>
          <w:color w:val="333333"/>
          <w:shd w:val="clear" w:color="auto" w:fill="FFFFFF"/>
        </w:rPr>
        <w:t>由于铁矿石商增产</w:t>
      </w:r>
      <w:proofErr w:type="gramStart"/>
      <w:r>
        <w:rPr>
          <w:rFonts w:ascii="Tahoma" w:hAnsi="Tahoma" w:cs="Tahoma"/>
          <w:color w:val="333333"/>
          <w:shd w:val="clear" w:color="auto" w:fill="FFFFFF"/>
        </w:rPr>
        <w:t>且需求</w:t>
      </w:r>
      <w:proofErr w:type="gramEnd"/>
      <w:r>
        <w:rPr>
          <w:rFonts w:ascii="Tahoma" w:hAnsi="Tahoma" w:cs="Tahoma"/>
          <w:color w:val="333333"/>
          <w:shd w:val="clear" w:color="auto" w:fill="FFFFFF"/>
        </w:rPr>
        <w:t>放缓，中国港口库存出现反弹。受此影响，铁矿石价格连续八个交易日下跌，为</w:t>
      </w:r>
      <w:r>
        <w:rPr>
          <w:rFonts w:ascii="Tahoma" w:hAnsi="Tahoma" w:cs="Tahoma"/>
          <w:color w:val="333333"/>
          <w:shd w:val="clear" w:color="auto" w:fill="FFFFFF"/>
        </w:rPr>
        <w:t>10</w:t>
      </w:r>
      <w:r>
        <w:rPr>
          <w:rFonts w:ascii="Tahoma" w:hAnsi="Tahoma" w:cs="Tahoma"/>
          <w:color w:val="333333"/>
          <w:shd w:val="clear" w:color="auto" w:fill="FFFFFF"/>
        </w:rPr>
        <w:t>个月以来最长下跌，再次跌入熊市。二季度，铁矿石出现大幅反弹，一度步入牛市。由于中国钢铁行业进一步放缓、必和必拓（</w:t>
      </w:r>
      <w:r>
        <w:rPr>
          <w:rFonts w:ascii="Tahoma" w:hAnsi="Tahoma" w:cs="Tahoma"/>
          <w:color w:val="333333"/>
          <w:shd w:val="clear" w:color="auto" w:fill="FFFFFF"/>
        </w:rPr>
        <w:t>BHP Billiton</w:t>
      </w:r>
      <w:r>
        <w:rPr>
          <w:rFonts w:ascii="Tahoma" w:hAnsi="Tahoma" w:cs="Tahoma"/>
          <w:color w:val="333333"/>
          <w:shd w:val="clear" w:color="auto" w:fill="FFFFFF"/>
        </w:rPr>
        <w:t>）和</w:t>
      </w:r>
      <w:r>
        <w:rPr>
          <w:rFonts w:ascii="Tahoma" w:hAnsi="Tahoma" w:cs="Tahoma"/>
          <w:color w:val="333333"/>
          <w:shd w:val="clear" w:color="auto" w:fill="FFFFFF"/>
        </w:rPr>
        <w:t>Vale</w:t>
      </w:r>
      <w:r>
        <w:rPr>
          <w:rFonts w:ascii="Tahoma" w:hAnsi="Tahoma" w:cs="Tahoma"/>
          <w:color w:val="333333"/>
          <w:shd w:val="clear" w:color="auto" w:fill="FFFFFF"/>
        </w:rPr>
        <w:t>的低成本产出增加，最大买家在港口的铁矿石库存</w:t>
      </w:r>
      <w:r>
        <w:rPr>
          <w:rFonts w:ascii="Tahoma" w:hAnsi="Tahoma" w:cs="Tahoma"/>
          <w:color w:val="333333"/>
          <w:shd w:val="clear" w:color="auto" w:fill="FFFFFF"/>
        </w:rPr>
        <w:t>4</w:t>
      </w:r>
      <w:r>
        <w:rPr>
          <w:rFonts w:ascii="Tahoma" w:hAnsi="Tahoma" w:cs="Tahoma"/>
          <w:color w:val="333333"/>
          <w:shd w:val="clear" w:color="auto" w:fill="FFFFFF"/>
        </w:rPr>
        <w:t>月以来首次增加。据上海钢之家信息科技有限公司数据，上周中国港口库存增加了</w:t>
      </w:r>
      <w:r>
        <w:rPr>
          <w:rFonts w:ascii="Tahoma" w:hAnsi="Tahoma" w:cs="Tahoma"/>
          <w:color w:val="333333"/>
          <w:shd w:val="clear" w:color="auto" w:fill="FFFFFF"/>
        </w:rPr>
        <w:t>2.8%</w:t>
      </w:r>
      <w:r>
        <w:rPr>
          <w:rFonts w:ascii="Tahoma" w:hAnsi="Tahoma" w:cs="Tahoma"/>
          <w:color w:val="333333"/>
          <w:shd w:val="clear" w:color="auto" w:fill="FFFFFF"/>
        </w:rPr>
        <w:t>，达到</w:t>
      </w:r>
      <w:r>
        <w:rPr>
          <w:rFonts w:ascii="Tahoma" w:hAnsi="Tahoma" w:cs="Tahoma"/>
          <w:color w:val="333333"/>
          <w:shd w:val="clear" w:color="auto" w:fill="FFFFFF"/>
        </w:rPr>
        <w:t>8155</w:t>
      </w:r>
      <w:r>
        <w:rPr>
          <w:rFonts w:ascii="Tahoma" w:hAnsi="Tahoma" w:cs="Tahoma"/>
          <w:color w:val="333333"/>
          <w:shd w:val="clear" w:color="auto" w:fill="FFFFFF"/>
        </w:rPr>
        <w:t>万吨，为</w:t>
      </w:r>
      <w:r>
        <w:rPr>
          <w:rFonts w:ascii="Tahoma" w:hAnsi="Tahoma" w:cs="Tahoma"/>
          <w:color w:val="333333"/>
          <w:shd w:val="clear" w:color="auto" w:fill="FFFFFF"/>
        </w:rPr>
        <w:t>11</w:t>
      </w:r>
      <w:r>
        <w:rPr>
          <w:rFonts w:ascii="Tahoma" w:hAnsi="Tahoma" w:cs="Tahoma"/>
          <w:color w:val="333333"/>
          <w:shd w:val="clear" w:color="auto" w:fill="FFFFFF"/>
        </w:rPr>
        <w:t>周以来库存首次上升。今</w:t>
      </w:r>
      <w:r>
        <w:rPr>
          <w:rFonts w:ascii="Tahoma" w:hAnsi="Tahoma" w:cs="Tahoma"/>
          <w:color w:val="333333"/>
          <w:shd w:val="clear" w:color="auto" w:fill="FFFFFF"/>
        </w:rPr>
        <w:lastRenderedPageBreak/>
        <w:t>年</w:t>
      </w:r>
      <w:r>
        <w:rPr>
          <w:rFonts w:ascii="Tahoma" w:hAnsi="Tahoma" w:cs="Tahoma"/>
          <w:color w:val="333333"/>
          <w:shd w:val="clear" w:color="auto" w:fill="FFFFFF"/>
        </w:rPr>
        <w:t>4</w:t>
      </w:r>
      <w:r>
        <w:rPr>
          <w:rFonts w:ascii="Tahoma" w:hAnsi="Tahoma" w:cs="Tahoma"/>
          <w:color w:val="333333"/>
          <w:shd w:val="clear" w:color="auto" w:fill="FFFFFF"/>
        </w:rPr>
        <w:t>月，必</w:t>
      </w:r>
      <w:proofErr w:type="gramStart"/>
      <w:r>
        <w:rPr>
          <w:rFonts w:ascii="Tahoma" w:hAnsi="Tahoma" w:cs="Tahoma"/>
          <w:color w:val="333333"/>
          <w:shd w:val="clear" w:color="auto" w:fill="FFFFFF"/>
        </w:rPr>
        <w:t>和必拓叫停</w:t>
      </w:r>
      <w:proofErr w:type="gramEnd"/>
      <w:r>
        <w:rPr>
          <w:rFonts w:ascii="Tahoma" w:hAnsi="Tahoma" w:cs="Tahoma"/>
          <w:color w:val="333333"/>
          <w:shd w:val="clear" w:color="auto" w:fill="FFFFFF"/>
        </w:rPr>
        <w:t>澳大利亚港口业务扩张计划，大幅推升国际铁矿石价格，铁矿石自</w:t>
      </w:r>
      <w:r>
        <w:rPr>
          <w:rFonts w:ascii="Tahoma" w:hAnsi="Tahoma" w:cs="Tahoma"/>
          <w:color w:val="333333"/>
          <w:shd w:val="clear" w:color="auto" w:fill="FFFFFF"/>
        </w:rPr>
        <w:t>4</w:t>
      </w:r>
      <w:r>
        <w:rPr>
          <w:rFonts w:ascii="Tahoma" w:hAnsi="Tahoma" w:cs="Tahoma"/>
          <w:color w:val="333333"/>
          <w:shd w:val="clear" w:color="auto" w:fill="FFFFFF"/>
        </w:rPr>
        <w:t>月低点的</w:t>
      </w:r>
      <w:r>
        <w:rPr>
          <w:rFonts w:ascii="Tahoma" w:hAnsi="Tahoma" w:cs="Tahoma"/>
          <w:color w:val="333333"/>
          <w:shd w:val="clear" w:color="auto" w:fill="FFFFFF"/>
        </w:rPr>
        <w:t>47.08</w:t>
      </w:r>
      <w:r>
        <w:rPr>
          <w:rFonts w:ascii="Tahoma" w:hAnsi="Tahoma" w:cs="Tahoma"/>
          <w:color w:val="333333"/>
          <w:shd w:val="clear" w:color="auto" w:fill="FFFFFF"/>
        </w:rPr>
        <w:t>美元大幅反弹，在二季度一度步入牛市。不过，</w:t>
      </w:r>
      <w:r>
        <w:rPr>
          <w:rFonts w:ascii="Tahoma" w:hAnsi="Tahoma" w:cs="Tahoma" w:hint="eastAsia"/>
          <w:color w:val="333333"/>
          <w:shd w:val="clear" w:color="auto" w:fill="FFFFFF"/>
        </w:rPr>
        <w:t>有关人士认为</w:t>
      </w:r>
      <w:r>
        <w:rPr>
          <w:rFonts w:ascii="Tahoma" w:hAnsi="Tahoma" w:cs="Tahoma"/>
          <w:color w:val="333333"/>
          <w:shd w:val="clear" w:color="auto" w:fill="FFFFFF"/>
        </w:rPr>
        <w:t>，中国经济告别了持续</w:t>
      </w:r>
      <w:r>
        <w:rPr>
          <w:rFonts w:ascii="Tahoma" w:hAnsi="Tahoma" w:cs="Tahoma"/>
          <w:color w:val="333333"/>
          <w:shd w:val="clear" w:color="auto" w:fill="FFFFFF"/>
        </w:rPr>
        <w:t>30</w:t>
      </w:r>
      <w:r>
        <w:rPr>
          <w:rFonts w:ascii="Tahoma" w:hAnsi="Tahoma" w:cs="Tahoma"/>
          <w:color w:val="333333"/>
          <w:shd w:val="clear" w:color="auto" w:fill="FFFFFF"/>
        </w:rPr>
        <w:t>年的高速增长，这严重拖累了铁矿石需求。部分分析人士对于二季度铁矿石的反弹行情，持谨慎态度，认为并不可持续。</w:t>
      </w:r>
      <w:r>
        <w:rPr>
          <w:rFonts w:ascii="Tahoma" w:hAnsi="Tahoma" w:cs="Tahoma" w:hint="eastAsia"/>
          <w:color w:val="333333"/>
          <w:shd w:val="clear" w:color="auto" w:fill="FFFFFF"/>
        </w:rPr>
        <w:t>随着近期铁矿石价格的不断波动，</w:t>
      </w:r>
      <w:r w:rsidRPr="00F61A6A">
        <w:rPr>
          <w:rFonts w:hint="eastAsia"/>
          <w:color w:val="000000"/>
          <w:szCs w:val="24"/>
          <w:shd w:val="clear" w:color="auto" w:fill="FFFFFF"/>
        </w:rPr>
        <w:t>目前，不少钢厂因仍处于亏损而减少了铁矿石采购量。总体来看，节节攀升的港口库存无疑给价格反弹带来巨大压力。</w:t>
      </w:r>
    </w:p>
    <w:p w:rsidR="00DC07B4" w:rsidRDefault="00DC07B4" w:rsidP="00DC07B4">
      <w:pPr>
        <w:spacing w:line="360" w:lineRule="auto"/>
        <w:ind w:firstLine="357"/>
        <w:rPr>
          <w:color w:val="000000"/>
          <w:szCs w:val="24"/>
          <w:shd w:val="clear" w:color="auto" w:fill="FFFFFF"/>
        </w:rPr>
      </w:pPr>
      <w:r>
        <w:rPr>
          <w:rFonts w:hint="eastAsia"/>
          <w:color w:val="000000"/>
          <w:szCs w:val="24"/>
          <w:shd w:val="clear" w:color="auto" w:fill="FFFFFF"/>
        </w:rPr>
        <w:t>三、铁矿石产量继续增加，供需矛盾短期难以缓解</w:t>
      </w:r>
    </w:p>
    <w:p w:rsidR="00DC07B4" w:rsidRPr="00DC07B4" w:rsidRDefault="00DC07B4" w:rsidP="00DC07B4">
      <w:pPr>
        <w:spacing w:line="360" w:lineRule="auto"/>
        <w:ind w:firstLine="357"/>
        <w:rPr>
          <w:color w:val="000000"/>
          <w:szCs w:val="24"/>
          <w:shd w:val="clear" w:color="auto" w:fill="FFFFFF"/>
        </w:rPr>
      </w:pPr>
      <w:r>
        <w:rPr>
          <w:rFonts w:hint="eastAsia"/>
        </w:rPr>
        <w:t>国内铁矿石产量</w:t>
      </w:r>
    </w:p>
    <w:p w:rsidR="00DC07B4" w:rsidRPr="00056DFF" w:rsidRDefault="00DC07B4" w:rsidP="00DC07B4">
      <w:pPr>
        <w:widowControl/>
        <w:jc w:val="left"/>
        <w:rPr>
          <w:rFonts w:ascii="宋体" w:eastAsia="宋体" w:hAnsi="宋体" w:cs="宋体"/>
          <w:kern w:val="0"/>
          <w:szCs w:val="24"/>
        </w:rPr>
      </w:pPr>
      <w:r>
        <w:rPr>
          <w:rFonts w:ascii="宋体" w:eastAsia="宋体" w:hAnsi="宋体" w:cs="宋体"/>
          <w:noProof/>
          <w:kern w:val="0"/>
          <w:szCs w:val="24"/>
        </w:rPr>
        <w:drawing>
          <wp:inline distT="0" distB="0" distL="0" distR="0">
            <wp:extent cx="5353050" cy="2981325"/>
            <wp:effectExtent l="0" t="0" r="0" b="9525"/>
            <wp:docPr id="5" name="图片 5" descr="J)H__DP)G$M}[`1$H6OPV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H__DP)G$M}[`1$H6OPVH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2981325"/>
                    </a:xfrm>
                    <a:prstGeom prst="rect">
                      <a:avLst/>
                    </a:prstGeom>
                    <a:noFill/>
                    <a:ln>
                      <a:noFill/>
                    </a:ln>
                  </pic:spPr>
                </pic:pic>
              </a:graphicData>
            </a:graphic>
          </wp:inline>
        </w:drawing>
      </w:r>
    </w:p>
    <w:p w:rsidR="00DC07B4" w:rsidRDefault="00DC07B4" w:rsidP="00DC07B4">
      <w:pPr>
        <w:widowControl/>
        <w:jc w:val="left"/>
        <w:rPr>
          <w:rFonts w:ascii="宋体" w:hAnsi="宋体"/>
          <w:szCs w:val="21"/>
        </w:rPr>
      </w:pPr>
      <w:r w:rsidRPr="00B972C5">
        <w:rPr>
          <w:rFonts w:ascii="宋体" w:hAnsi="宋体" w:hint="eastAsia"/>
          <w:szCs w:val="21"/>
        </w:rPr>
        <w:t>数据来源：我的钢铁网</w:t>
      </w:r>
    </w:p>
    <w:p w:rsidR="00DC07B4" w:rsidRDefault="00DC07B4" w:rsidP="00DC07B4">
      <w:pPr>
        <w:spacing w:line="360" w:lineRule="auto"/>
        <w:ind w:firstLine="601"/>
        <w:rPr>
          <w:color w:val="333333"/>
        </w:rPr>
      </w:pPr>
      <w:r w:rsidRPr="00BC2C65">
        <w:rPr>
          <w:rFonts w:hint="eastAsia"/>
          <w:color w:val="333333"/>
        </w:rPr>
        <w:t>从产量方面来看，</w:t>
      </w:r>
      <w:r w:rsidRPr="00C10045">
        <w:rPr>
          <w:rFonts w:hint="eastAsia"/>
          <w:color w:val="333333"/>
        </w:rPr>
        <w:t>力拓全球总裁山姆·威尔士日前在北京表示，力拓将继续降低经营成本应对铁矿石市场波动。２０１３年以来铁矿石价格遭遇重挫，钢铁行业持续低迷，有市场预测２０１４年铁矿石价格跌势难扭转，铁矿石贸易商仍将处于市场的严冬。据</w:t>
      </w:r>
      <w:hyperlink r:id="rId10" w:tgtFrame="_blank" w:history="1">
        <w:r w:rsidRPr="00C10045">
          <w:rPr>
            <w:rFonts w:hint="eastAsia"/>
            <w:color w:val="333333"/>
          </w:rPr>
          <w:t>海关</w:t>
        </w:r>
      </w:hyperlink>
      <w:r w:rsidRPr="00C10045">
        <w:rPr>
          <w:rFonts w:hint="eastAsia"/>
          <w:color w:val="333333"/>
        </w:rPr>
        <w:t>数据，</w:t>
      </w:r>
      <w:r w:rsidRPr="00C10045">
        <w:rPr>
          <w:rFonts w:hint="eastAsia"/>
          <w:color w:val="333333"/>
        </w:rPr>
        <w:t>2013</w:t>
      </w:r>
      <w:r w:rsidRPr="00C10045">
        <w:rPr>
          <w:rFonts w:hint="eastAsia"/>
          <w:color w:val="333333"/>
        </w:rPr>
        <w:t>年全年，全球约一半的铁矿石出口到中国，进口量达到</w:t>
      </w:r>
      <w:r w:rsidRPr="00C10045">
        <w:rPr>
          <w:rFonts w:hint="eastAsia"/>
          <w:color w:val="333333"/>
        </w:rPr>
        <w:t>8.19</w:t>
      </w:r>
      <w:r w:rsidRPr="00C10045">
        <w:rPr>
          <w:rFonts w:hint="eastAsia"/>
          <w:color w:val="333333"/>
        </w:rPr>
        <w:t>亿吨，总价值高达</w:t>
      </w:r>
      <w:r w:rsidRPr="00C10045">
        <w:rPr>
          <w:rFonts w:hint="eastAsia"/>
          <w:color w:val="333333"/>
        </w:rPr>
        <w:t>6384</w:t>
      </w:r>
      <w:r w:rsidRPr="00C10045">
        <w:rPr>
          <w:rFonts w:hint="eastAsia"/>
          <w:color w:val="333333"/>
        </w:rPr>
        <w:t>亿元，在</w:t>
      </w:r>
      <w:hyperlink r:id="rId11" w:tgtFrame="_blank" w:history="1">
        <w:r w:rsidRPr="00C10045">
          <w:rPr>
            <w:rFonts w:hint="eastAsia"/>
            <w:color w:val="333333"/>
          </w:rPr>
          <w:t>大宗商品</w:t>
        </w:r>
      </w:hyperlink>
      <w:r w:rsidRPr="00C10045">
        <w:rPr>
          <w:rFonts w:hint="eastAsia"/>
          <w:color w:val="333333"/>
        </w:rPr>
        <w:t>中进口总值规模仅次于原油。今年</w:t>
      </w:r>
      <w:r w:rsidRPr="00C10045">
        <w:rPr>
          <w:rFonts w:hint="eastAsia"/>
          <w:color w:val="333333"/>
        </w:rPr>
        <w:t>1</w:t>
      </w:r>
      <w:r w:rsidRPr="00C10045">
        <w:rPr>
          <w:rFonts w:hint="eastAsia"/>
          <w:color w:val="333333"/>
        </w:rPr>
        <w:t>月份，我国进口铁矿砂及其精矿总量达到创纪录的</w:t>
      </w:r>
      <w:r w:rsidRPr="00C10045">
        <w:rPr>
          <w:rFonts w:hint="eastAsia"/>
          <w:color w:val="333333"/>
        </w:rPr>
        <w:t>8683</w:t>
      </w:r>
      <w:r w:rsidRPr="00C10045">
        <w:rPr>
          <w:rFonts w:hint="eastAsia"/>
          <w:color w:val="333333"/>
        </w:rPr>
        <w:t>万吨，环比增长</w:t>
      </w:r>
      <w:r w:rsidRPr="00C10045">
        <w:rPr>
          <w:rFonts w:hint="eastAsia"/>
          <w:color w:val="333333"/>
        </w:rPr>
        <w:t>18.33%</w:t>
      </w:r>
      <w:r w:rsidRPr="00C10045">
        <w:rPr>
          <w:rFonts w:hint="eastAsia"/>
          <w:color w:val="333333"/>
        </w:rPr>
        <w:t>，同比增长</w:t>
      </w:r>
      <w:r w:rsidRPr="00C10045">
        <w:rPr>
          <w:rFonts w:hint="eastAsia"/>
          <w:color w:val="333333"/>
        </w:rPr>
        <w:t>32.48%</w:t>
      </w:r>
      <w:r w:rsidRPr="00C10045">
        <w:rPr>
          <w:rFonts w:hint="eastAsia"/>
          <w:color w:val="333333"/>
        </w:rPr>
        <w:t>。目前国内港口的铁矿石库存近</w:t>
      </w:r>
      <w:r w:rsidRPr="00C10045">
        <w:rPr>
          <w:rFonts w:hint="eastAsia"/>
          <w:color w:val="333333"/>
        </w:rPr>
        <w:t>1.1</w:t>
      </w:r>
      <w:r w:rsidRPr="00C10045">
        <w:rPr>
          <w:rFonts w:hint="eastAsia"/>
          <w:color w:val="333333"/>
        </w:rPr>
        <w:t>亿吨。</w:t>
      </w:r>
      <w:r>
        <w:rPr>
          <w:rFonts w:hint="eastAsia"/>
          <w:color w:val="333333"/>
        </w:rPr>
        <w:t>此外，</w:t>
      </w:r>
      <w:r w:rsidRPr="00FF6CE6">
        <w:rPr>
          <w:color w:val="333333"/>
        </w:rPr>
        <w:t>在国内铁矿石港口库存和钢材库存高企的同时，全球四大矿山的产量却仍未见收缩。第四大矿山</w:t>
      </w:r>
      <w:r w:rsidRPr="00FF6CE6">
        <w:rPr>
          <w:color w:val="333333"/>
        </w:rPr>
        <w:t>FMG</w:t>
      </w:r>
      <w:r w:rsidRPr="00FF6CE6">
        <w:rPr>
          <w:color w:val="333333"/>
        </w:rPr>
        <w:t>所罗门矿区</w:t>
      </w:r>
      <w:r w:rsidRPr="00FF6CE6">
        <w:rPr>
          <w:color w:val="333333"/>
        </w:rPr>
        <w:t>Kings</w:t>
      </w:r>
      <w:r w:rsidRPr="00FF6CE6">
        <w:rPr>
          <w:color w:val="333333"/>
        </w:rPr>
        <w:t>铁矿于去年</w:t>
      </w:r>
      <w:r w:rsidRPr="00FF6CE6">
        <w:rPr>
          <w:color w:val="333333"/>
        </w:rPr>
        <w:t>11</w:t>
      </w:r>
      <w:r w:rsidRPr="00FF6CE6">
        <w:rPr>
          <w:color w:val="333333"/>
        </w:rPr>
        <w:t>月份投产，预计今年</w:t>
      </w:r>
      <w:r w:rsidRPr="00FF6CE6">
        <w:rPr>
          <w:color w:val="333333"/>
        </w:rPr>
        <w:t>3</w:t>
      </w:r>
      <w:r w:rsidRPr="00FF6CE6">
        <w:rPr>
          <w:color w:val="333333"/>
        </w:rPr>
        <w:t>月末实现年产</w:t>
      </w:r>
      <w:r w:rsidRPr="00FF6CE6">
        <w:rPr>
          <w:color w:val="333333"/>
        </w:rPr>
        <w:t>1.55</w:t>
      </w:r>
      <w:r w:rsidRPr="00FF6CE6">
        <w:rPr>
          <w:color w:val="333333"/>
        </w:rPr>
        <w:t>亿吨铁矿石的运营率。受益于运营效率提高、所罗门矿区生产成本下降及澳元贬值，</w:t>
      </w:r>
      <w:r w:rsidRPr="00FF6CE6">
        <w:rPr>
          <w:color w:val="333333"/>
        </w:rPr>
        <w:t>4</w:t>
      </w:r>
      <w:r w:rsidRPr="00FF6CE6">
        <w:rPr>
          <w:color w:val="333333"/>
        </w:rPr>
        <w:t>季度</w:t>
      </w:r>
      <w:r w:rsidRPr="00FF6CE6">
        <w:rPr>
          <w:color w:val="333333"/>
        </w:rPr>
        <w:t>FMG</w:t>
      </w:r>
      <w:proofErr w:type="gramStart"/>
      <w:r w:rsidRPr="00FF6CE6">
        <w:rPr>
          <w:color w:val="333333"/>
        </w:rPr>
        <w:t>吨矿现金</w:t>
      </w:r>
      <w:proofErr w:type="gramEnd"/>
      <w:r w:rsidRPr="00FF6CE6">
        <w:rPr>
          <w:color w:val="333333"/>
        </w:rPr>
        <w:t>生产成本继续下降，从上一季度的</w:t>
      </w:r>
      <w:r w:rsidRPr="00FF6CE6">
        <w:rPr>
          <w:color w:val="333333"/>
        </w:rPr>
        <w:t>33.17</w:t>
      </w:r>
      <w:r w:rsidRPr="00FF6CE6">
        <w:rPr>
          <w:color w:val="333333"/>
        </w:rPr>
        <w:t>美元降至</w:t>
      </w:r>
      <w:r w:rsidRPr="00FF6CE6">
        <w:rPr>
          <w:color w:val="333333"/>
        </w:rPr>
        <w:t>32.99</w:t>
      </w:r>
      <w:r w:rsidRPr="00FF6CE6">
        <w:rPr>
          <w:color w:val="333333"/>
        </w:rPr>
        <w:t>美元。</w:t>
      </w:r>
      <w:r w:rsidRPr="00FF6CE6">
        <w:rPr>
          <w:color w:val="333333"/>
        </w:rPr>
        <w:lastRenderedPageBreak/>
        <w:t>基于对澳元兑美元汇率降至</w:t>
      </w:r>
      <w:r w:rsidRPr="00FF6CE6">
        <w:rPr>
          <w:color w:val="333333"/>
        </w:rPr>
        <w:t>0.9</w:t>
      </w:r>
      <w:r w:rsidRPr="00FF6CE6">
        <w:rPr>
          <w:color w:val="333333"/>
        </w:rPr>
        <w:t>的预期，</w:t>
      </w:r>
      <w:r w:rsidRPr="00FF6CE6">
        <w:rPr>
          <w:color w:val="333333"/>
        </w:rPr>
        <w:t>FMG</w:t>
      </w:r>
      <w:r w:rsidRPr="00FF6CE6">
        <w:rPr>
          <w:color w:val="333333"/>
        </w:rPr>
        <w:t>将</w:t>
      </w:r>
      <w:r w:rsidRPr="00FF6CE6">
        <w:rPr>
          <w:color w:val="333333"/>
        </w:rPr>
        <w:t>2013/14</w:t>
      </w:r>
      <w:proofErr w:type="gramStart"/>
      <w:r w:rsidRPr="00FF6CE6">
        <w:rPr>
          <w:color w:val="333333"/>
        </w:rPr>
        <w:t>财年吨矿现金</w:t>
      </w:r>
      <w:proofErr w:type="gramEnd"/>
      <w:r w:rsidRPr="00FF6CE6">
        <w:rPr>
          <w:color w:val="333333"/>
        </w:rPr>
        <w:t>成本估值调降至</w:t>
      </w:r>
      <w:r w:rsidRPr="00FF6CE6">
        <w:rPr>
          <w:color w:val="333333"/>
        </w:rPr>
        <w:t>34</w:t>
      </w:r>
      <w:r w:rsidRPr="00FF6CE6">
        <w:rPr>
          <w:color w:val="333333"/>
        </w:rPr>
        <w:t>美元。</w:t>
      </w:r>
      <w:r w:rsidRPr="00FF6CE6">
        <w:rPr>
          <w:color w:val="333333"/>
        </w:rPr>
        <w:t>FMG</w:t>
      </w:r>
      <w:r w:rsidRPr="00FF6CE6">
        <w:rPr>
          <w:color w:val="333333"/>
        </w:rPr>
        <w:t>生产成本包括矿山开采、铁路和港口费用等运营成本以及铁矿石生产及加工过程中所使用设备的租赁费用。</w:t>
      </w:r>
      <w:r>
        <w:rPr>
          <w:rFonts w:hint="eastAsia"/>
          <w:color w:val="333333"/>
        </w:rPr>
        <w:t>产量的增加必然对价格产生一定的压制作用。</w:t>
      </w:r>
    </w:p>
    <w:p w:rsidR="00DC07B4" w:rsidRPr="00DC07B4" w:rsidRDefault="00DC07B4" w:rsidP="00DC07B4">
      <w:pPr>
        <w:spacing w:line="360" w:lineRule="auto"/>
        <w:rPr>
          <w:color w:val="333333"/>
        </w:rPr>
      </w:pPr>
      <w:r w:rsidRPr="00B972C5">
        <w:rPr>
          <w:rFonts w:hint="eastAsia"/>
        </w:rPr>
        <w:t>主要城市螺纹钢现货价格走势</w:t>
      </w:r>
    </w:p>
    <w:p w:rsidR="00DC07B4" w:rsidRPr="004A1CC6" w:rsidRDefault="00DC07B4" w:rsidP="00DC07B4">
      <w:pPr>
        <w:widowControl/>
        <w:jc w:val="left"/>
        <w:rPr>
          <w:rFonts w:ascii="宋体" w:eastAsia="宋体" w:hAnsi="宋体" w:cs="宋体"/>
          <w:kern w:val="0"/>
          <w:szCs w:val="24"/>
        </w:rPr>
      </w:pPr>
      <w:r>
        <w:rPr>
          <w:rFonts w:ascii="宋体" w:eastAsia="宋体" w:hAnsi="宋体" w:cs="宋体"/>
          <w:noProof/>
          <w:kern w:val="0"/>
          <w:szCs w:val="24"/>
        </w:rPr>
        <w:drawing>
          <wp:inline distT="0" distB="0" distL="0" distR="0">
            <wp:extent cx="5200650" cy="2057400"/>
            <wp:effectExtent l="0" t="0" r="0" b="0"/>
            <wp:docPr id="4" name="图片 4" descr="V7U(J]I$P8(JKYHND)@[5J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7U(J]I$P8(JKYHND)@[5J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2057400"/>
                    </a:xfrm>
                    <a:prstGeom prst="rect">
                      <a:avLst/>
                    </a:prstGeom>
                    <a:noFill/>
                    <a:ln>
                      <a:noFill/>
                    </a:ln>
                  </pic:spPr>
                </pic:pic>
              </a:graphicData>
            </a:graphic>
          </wp:inline>
        </w:drawing>
      </w:r>
    </w:p>
    <w:p w:rsidR="00DC07B4" w:rsidRDefault="00DC07B4" w:rsidP="00DC07B4">
      <w:pPr>
        <w:spacing w:line="360" w:lineRule="auto"/>
        <w:rPr>
          <w:rFonts w:ascii="宋体" w:hAnsi="宋体"/>
          <w:szCs w:val="21"/>
        </w:rPr>
      </w:pPr>
      <w:r w:rsidRPr="00B972C5">
        <w:rPr>
          <w:rFonts w:ascii="宋体" w:hAnsi="宋体" w:hint="eastAsia"/>
          <w:szCs w:val="21"/>
        </w:rPr>
        <w:t>数据来源：</w:t>
      </w:r>
      <w:r>
        <w:rPr>
          <w:rFonts w:ascii="宋体" w:hAnsi="宋体" w:hint="eastAsia"/>
          <w:szCs w:val="21"/>
        </w:rPr>
        <w:t>中国钢铁现货网</w:t>
      </w:r>
    </w:p>
    <w:p w:rsidR="00190D78" w:rsidRDefault="00190D78" w:rsidP="00190D78">
      <w:pPr>
        <w:spacing w:line="360" w:lineRule="auto"/>
        <w:jc w:val="center"/>
        <w:rPr>
          <w:rFonts w:ascii="宋体" w:hAnsi="宋体"/>
          <w:szCs w:val="21"/>
        </w:rPr>
      </w:pPr>
      <w:r>
        <w:rPr>
          <w:rFonts w:ascii="宋体" w:eastAsia="宋体" w:hAnsi="宋体" w:cs="宋体"/>
          <w:noProof/>
          <w:kern w:val="0"/>
          <w:szCs w:val="24"/>
        </w:rPr>
        <w:drawing>
          <wp:inline distT="0" distB="0" distL="0" distR="0" wp14:anchorId="07DA5CF6" wp14:editId="5F2CF92B">
            <wp:extent cx="5274310" cy="2765797"/>
            <wp:effectExtent l="0" t="0" r="2540" b="0"/>
            <wp:docPr id="3" name="图片 3" descr="`LWX85{AA8ZLM]U4%UL46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WX85{AA8ZLM]U4%UL46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765797"/>
                    </a:xfrm>
                    <a:prstGeom prst="rect">
                      <a:avLst/>
                    </a:prstGeom>
                    <a:noFill/>
                    <a:ln>
                      <a:noFill/>
                    </a:ln>
                  </pic:spPr>
                </pic:pic>
              </a:graphicData>
            </a:graphic>
          </wp:inline>
        </w:drawing>
      </w:r>
    </w:p>
    <w:p w:rsidR="00190D78" w:rsidRPr="00B972C5" w:rsidRDefault="00190D78" w:rsidP="00190D78">
      <w:pPr>
        <w:spacing w:line="360" w:lineRule="auto"/>
        <w:rPr>
          <w:rFonts w:ascii="宋体" w:hAnsi="宋体"/>
          <w:szCs w:val="21"/>
        </w:rPr>
      </w:pPr>
      <w:r>
        <w:rPr>
          <w:rFonts w:ascii="宋体" w:hAnsi="宋体" w:hint="eastAsia"/>
          <w:szCs w:val="21"/>
        </w:rPr>
        <w:t>数据来源：金属网</w:t>
      </w:r>
    </w:p>
    <w:p w:rsidR="00DC07B4" w:rsidRDefault="00DC07B4" w:rsidP="00DC07B4">
      <w:pPr>
        <w:spacing w:line="360" w:lineRule="auto"/>
        <w:ind w:firstLine="601"/>
        <w:rPr>
          <w:color w:val="333333"/>
        </w:rPr>
      </w:pPr>
      <w:r w:rsidRPr="00F859DE">
        <w:rPr>
          <w:rFonts w:hint="eastAsia"/>
          <w:color w:val="333333"/>
        </w:rPr>
        <w:t>近期，随着期货市场的逐步下跌，现货市场也呈现跌势。最近一周，国内现货钢</w:t>
      </w:r>
      <w:proofErr w:type="gramStart"/>
      <w:r w:rsidRPr="00F859DE">
        <w:rPr>
          <w:rFonts w:hint="eastAsia"/>
          <w:color w:val="333333"/>
        </w:rPr>
        <w:t>价综合</w:t>
      </w:r>
      <w:proofErr w:type="gramEnd"/>
      <w:r w:rsidRPr="00F859DE">
        <w:rPr>
          <w:rFonts w:hint="eastAsia"/>
          <w:color w:val="333333"/>
        </w:rPr>
        <w:t>指数报收于</w:t>
      </w:r>
      <w:r w:rsidRPr="00F859DE">
        <w:rPr>
          <w:rFonts w:hint="eastAsia"/>
          <w:color w:val="333333"/>
        </w:rPr>
        <w:t>82.34</w:t>
      </w:r>
      <w:r w:rsidRPr="00F859DE">
        <w:rPr>
          <w:rFonts w:hint="eastAsia"/>
          <w:color w:val="333333"/>
        </w:rPr>
        <w:t>点，一周下跌</w:t>
      </w:r>
      <w:r w:rsidRPr="00F859DE">
        <w:rPr>
          <w:rFonts w:hint="eastAsia"/>
          <w:color w:val="333333"/>
        </w:rPr>
        <w:t>0.95%</w:t>
      </w:r>
      <w:r w:rsidRPr="00F859DE">
        <w:rPr>
          <w:rFonts w:hint="eastAsia"/>
          <w:color w:val="333333"/>
        </w:rPr>
        <w:t>，跌幅略有扩大。目前，钢材期货市场震荡下行，钢坯价格窄幅波动，市场信心整体偏弱。现货钢材的下游终端需求持续低迷，这就决定了商家还是以降价出货回笼资金为主。不过，即将到来的</w:t>
      </w:r>
      <w:r w:rsidRPr="00F859DE">
        <w:rPr>
          <w:rFonts w:hint="eastAsia"/>
          <w:color w:val="333333"/>
        </w:rPr>
        <w:t>9</w:t>
      </w:r>
      <w:r w:rsidRPr="00F859DE">
        <w:rPr>
          <w:rFonts w:hint="eastAsia"/>
          <w:color w:val="333333"/>
        </w:rPr>
        <w:t>月是传统的国内钢材消费季，需求是否会有起色只能拭目以待。</w:t>
      </w:r>
      <w:r>
        <w:rPr>
          <w:color w:val="333333"/>
        </w:rPr>
        <w:t>而宏观面、资金面均无较好表现，加重了市场的悲观情绪。同时，贸易商面临着较大的资金回款压力，所以倾向于降价出货，一方面压低后期的钢厂结算价，一方面减轻后期的销售压力。预计下游需求到位之前，钢价仍将以</w:t>
      </w:r>
      <w:r>
        <w:rPr>
          <w:rFonts w:hint="eastAsia"/>
          <w:color w:val="333333"/>
        </w:rPr>
        <w:t>弱势</w:t>
      </w:r>
      <w:r>
        <w:rPr>
          <w:color w:val="333333"/>
        </w:rPr>
        <w:t>为主。</w:t>
      </w:r>
    </w:p>
    <w:p w:rsidR="00DC07B4" w:rsidRDefault="00DC07B4" w:rsidP="00DC07B4">
      <w:pPr>
        <w:spacing w:line="360" w:lineRule="auto"/>
      </w:pPr>
      <w:r>
        <w:rPr>
          <w:rFonts w:hint="eastAsia"/>
        </w:rPr>
        <w:lastRenderedPageBreak/>
        <w:t>澳大利亚进口粉矿价</w:t>
      </w:r>
    </w:p>
    <w:p w:rsidR="00DC07B4" w:rsidRDefault="00DC07B4" w:rsidP="00DC07B4">
      <w:pPr>
        <w:spacing w:line="360" w:lineRule="auto"/>
        <w:ind w:firstLine="420"/>
      </w:pPr>
      <w:r>
        <w:rPr>
          <w:rFonts w:hint="eastAsia"/>
        </w:rPr>
        <w:t>四、技术分析</w:t>
      </w:r>
    </w:p>
    <w:p w:rsidR="00190D78" w:rsidRPr="00190D78" w:rsidRDefault="00190D78" w:rsidP="00190D78">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5574CC6C" wp14:editId="7CD331E2">
            <wp:extent cx="5269523" cy="2676525"/>
            <wp:effectExtent l="0" t="0" r="7620" b="0"/>
            <wp:docPr id="6" name="图片 6" descr="C:\Users\caili\AppData\Roaming\Tencent\Users\540529255\QQ\WinTemp\RichOle\7_7`$G))JVRWNHBXF@AD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ili\AppData\Roaming\Tencent\Users\540529255\QQ\WinTemp\RichOle\7_7`$G))JVRWNHBXF@ADZ(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678956"/>
                    </a:xfrm>
                    <a:prstGeom prst="rect">
                      <a:avLst/>
                    </a:prstGeom>
                    <a:noFill/>
                    <a:ln>
                      <a:noFill/>
                    </a:ln>
                  </pic:spPr>
                </pic:pic>
              </a:graphicData>
            </a:graphic>
          </wp:inline>
        </w:drawing>
      </w:r>
    </w:p>
    <w:p w:rsidR="00DC07B4" w:rsidRDefault="00190D78" w:rsidP="00190D78">
      <w:pPr>
        <w:spacing w:line="360" w:lineRule="auto"/>
        <w:ind w:firstLine="420"/>
        <w:rPr>
          <w:color w:val="333333"/>
        </w:rPr>
      </w:pPr>
      <w:r>
        <w:rPr>
          <w:rFonts w:hint="eastAsia"/>
          <w:color w:val="333333"/>
        </w:rPr>
        <w:t>从上面铁矿石的周线图上可以看出，目前期价的持续走高从长期来看，依然属于调整性质的行情，由于前期期价累计跌幅较大，所以本轮调整的时间和幅度上也相对较大，并发展成为了日线上的一波明显的上涨行情。但这依然无法改变其周线上的反弹性质。所以，在这样一个大前提下，我们需要等的是日线上上涨行情的结束，作为空单的入场点。目前期价在突破</w:t>
      </w:r>
      <w:r>
        <w:rPr>
          <w:rFonts w:hint="eastAsia"/>
          <w:color w:val="333333"/>
        </w:rPr>
        <w:t>400</w:t>
      </w:r>
      <w:r>
        <w:rPr>
          <w:rFonts w:hint="eastAsia"/>
          <w:color w:val="333333"/>
        </w:rPr>
        <w:t>元之后</w:t>
      </w:r>
      <w:r w:rsidR="00A32308">
        <w:rPr>
          <w:rFonts w:hint="eastAsia"/>
          <w:color w:val="333333"/>
        </w:rPr>
        <w:t>短期仍将继续向上攀升，但从盈亏比的角度来看，做多肯定是不合适的，我们将在日线出现顶部信号时介入空单。</w:t>
      </w:r>
    </w:p>
    <w:p w:rsidR="00190D78" w:rsidRPr="00190D78" w:rsidRDefault="00190D78" w:rsidP="00190D78">
      <w:pPr>
        <w:spacing w:line="360" w:lineRule="auto"/>
        <w:rPr>
          <w:rFonts w:ascii="宋体" w:hAnsi="宋体"/>
          <w:szCs w:val="21"/>
        </w:rPr>
      </w:pPr>
      <w:r>
        <w:rPr>
          <w:rFonts w:hint="eastAsia"/>
          <w:color w:val="333333"/>
        </w:rPr>
        <w:t xml:space="preserve">   </w:t>
      </w:r>
    </w:p>
    <w:p w:rsidR="00DC07B4" w:rsidRPr="00DC07B4" w:rsidRDefault="00DC07B4" w:rsidP="00DC07B4">
      <w:pPr>
        <w:spacing w:line="360" w:lineRule="auto"/>
      </w:pPr>
    </w:p>
    <w:sectPr w:rsidR="00DC07B4" w:rsidRPr="00DC07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80" w:rsidRDefault="002B4680" w:rsidP="00B75050">
      <w:r>
        <w:separator/>
      </w:r>
    </w:p>
  </w:endnote>
  <w:endnote w:type="continuationSeparator" w:id="0">
    <w:p w:rsidR="002B4680" w:rsidRDefault="002B4680" w:rsidP="00B7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80" w:rsidRDefault="002B4680" w:rsidP="00B75050">
      <w:r>
        <w:separator/>
      </w:r>
    </w:p>
  </w:footnote>
  <w:footnote w:type="continuationSeparator" w:id="0">
    <w:p w:rsidR="002B4680" w:rsidRDefault="002B4680" w:rsidP="00B75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DB"/>
    <w:rsid w:val="00190D78"/>
    <w:rsid w:val="002B4680"/>
    <w:rsid w:val="002D005F"/>
    <w:rsid w:val="007B49DB"/>
    <w:rsid w:val="00A32308"/>
    <w:rsid w:val="00A82344"/>
    <w:rsid w:val="00B75050"/>
    <w:rsid w:val="00DC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07B4"/>
    <w:rPr>
      <w:sz w:val="18"/>
      <w:szCs w:val="18"/>
    </w:rPr>
  </w:style>
  <w:style w:type="character" w:customStyle="1" w:styleId="Char">
    <w:name w:val="批注框文本 Char"/>
    <w:basedOn w:val="a0"/>
    <w:link w:val="a3"/>
    <w:uiPriority w:val="99"/>
    <w:semiHidden/>
    <w:rsid w:val="00DC07B4"/>
    <w:rPr>
      <w:sz w:val="18"/>
      <w:szCs w:val="18"/>
    </w:rPr>
  </w:style>
  <w:style w:type="character" w:customStyle="1" w:styleId="Char0">
    <w:name w:val="题注 Char"/>
    <w:link w:val="a4"/>
    <w:rsid w:val="00DC07B4"/>
    <w:rPr>
      <w:rFonts w:eastAsia="楷体_GB2312"/>
      <w:b/>
      <w:bCs/>
      <w:szCs w:val="21"/>
    </w:rPr>
  </w:style>
  <w:style w:type="paragraph" w:styleId="a4">
    <w:name w:val="caption"/>
    <w:basedOn w:val="a"/>
    <w:next w:val="a"/>
    <w:link w:val="Char0"/>
    <w:qFormat/>
    <w:rsid w:val="00DC07B4"/>
    <w:pPr>
      <w:keepNext/>
      <w:jc w:val="center"/>
    </w:pPr>
    <w:rPr>
      <w:rFonts w:eastAsia="楷体_GB2312"/>
      <w:b/>
      <w:bCs/>
      <w:szCs w:val="21"/>
    </w:rPr>
  </w:style>
  <w:style w:type="paragraph" w:styleId="a5">
    <w:name w:val="header"/>
    <w:basedOn w:val="a"/>
    <w:link w:val="Char1"/>
    <w:uiPriority w:val="99"/>
    <w:unhideWhenUsed/>
    <w:rsid w:val="00B750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75050"/>
    <w:rPr>
      <w:sz w:val="18"/>
      <w:szCs w:val="18"/>
    </w:rPr>
  </w:style>
  <w:style w:type="paragraph" w:styleId="a6">
    <w:name w:val="footer"/>
    <w:basedOn w:val="a"/>
    <w:link w:val="Char2"/>
    <w:uiPriority w:val="99"/>
    <w:unhideWhenUsed/>
    <w:rsid w:val="00B75050"/>
    <w:pPr>
      <w:tabs>
        <w:tab w:val="center" w:pos="4153"/>
        <w:tab w:val="right" w:pos="8306"/>
      </w:tabs>
      <w:snapToGrid w:val="0"/>
      <w:jc w:val="left"/>
    </w:pPr>
    <w:rPr>
      <w:sz w:val="18"/>
      <w:szCs w:val="18"/>
    </w:rPr>
  </w:style>
  <w:style w:type="character" w:customStyle="1" w:styleId="Char2">
    <w:name w:val="页脚 Char"/>
    <w:basedOn w:val="a0"/>
    <w:link w:val="a6"/>
    <w:uiPriority w:val="99"/>
    <w:rsid w:val="00B750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07B4"/>
    <w:rPr>
      <w:sz w:val="18"/>
      <w:szCs w:val="18"/>
    </w:rPr>
  </w:style>
  <w:style w:type="character" w:customStyle="1" w:styleId="Char">
    <w:name w:val="批注框文本 Char"/>
    <w:basedOn w:val="a0"/>
    <w:link w:val="a3"/>
    <w:uiPriority w:val="99"/>
    <w:semiHidden/>
    <w:rsid w:val="00DC07B4"/>
    <w:rPr>
      <w:sz w:val="18"/>
      <w:szCs w:val="18"/>
    </w:rPr>
  </w:style>
  <w:style w:type="character" w:customStyle="1" w:styleId="Char0">
    <w:name w:val="题注 Char"/>
    <w:link w:val="a4"/>
    <w:rsid w:val="00DC07B4"/>
    <w:rPr>
      <w:rFonts w:eastAsia="楷体_GB2312"/>
      <w:b/>
      <w:bCs/>
      <w:szCs w:val="21"/>
    </w:rPr>
  </w:style>
  <w:style w:type="paragraph" w:styleId="a4">
    <w:name w:val="caption"/>
    <w:basedOn w:val="a"/>
    <w:next w:val="a"/>
    <w:link w:val="Char0"/>
    <w:qFormat/>
    <w:rsid w:val="00DC07B4"/>
    <w:pPr>
      <w:keepNext/>
      <w:jc w:val="center"/>
    </w:pPr>
    <w:rPr>
      <w:rFonts w:eastAsia="楷体_GB2312"/>
      <w:b/>
      <w:bCs/>
      <w:szCs w:val="21"/>
    </w:rPr>
  </w:style>
  <w:style w:type="paragraph" w:styleId="a5">
    <w:name w:val="header"/>
    <w:basedOn w:val="a"/>
    <w:link w:val="Char1"/>
    <w:uiPriority w:val="99"/>
    <w:unhideWhenUsed/>
    <w:rsid w:val="00B750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75050"/>
    <w:rPr>
      <w:sz w:val="18"/>
      <w:szCs w:val="18"/>
    </w:rPr>
  </w:style>
  <w:style w:type="paragraph" w:styleId="a6">
    <w:name w:val="footer"/>
    <w:basedOn w:val="a"/>
    <w:link w:val="Char2"/>
    <w:uiPriority w:val="99"/>
    <w:unhideWhenUsed/>
    <w:rsid w:val="00B75050"/>
    <w:pPr>
      <w:tabs>
        <w:tab w:val="center" w:pos="4153"/>
        <w:tab w:val="right" w:pos="8306"/>
      </w:tabs>
      <w:snapToGrid w:val="0"/>
      <w:jc w:val="left"/>
    </w:pPr>
    <w:rPr>
      <w:sz w:val="18"/>
      <w:szCs w:val="18"/>
    </w:rPr>
  </w:style>
  <w:style w:type="character" w:customStyle="1" w:styleId="Char2">
    <w:name w:val="页脚 Char"/>
    <w:basedOn w:val="a0"/>
    <w:link w:val="a6"/>
    <w:uiPriority w:val="99"/>
    <w:rsid w:val="00B750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21979">
      <w:bodyDiv w:val="1"/>
      <w:marLeft w:val="0"/>
      <w:marRight w:val="0"/>
      <w:marTop w:val="0"/>
      <w:marBottom w:val="0"/>
      <w:divBdr>
        <w:top w:val="none" w:sz="0" w:space="0" w:color="auto"/>
        <w:left w:val="none" w:sz="0" w:space="0" w:color="auto"/>
        <w:bottom w:val="none" w:sz="0" w:space="0" w:color="auto"/>
        <w:right w:val="none" w:sz="0" w:space="0" w:color="auto"/>
      </w:divBdr>
      <w:divsChild>
        <w:div w:id="10680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ttp://gov.hexun.com/custom/index.html" TargetMode="External" Type="http://schemas.openxmlformats.org/officeDocument/2006/relationships/hyperlink"/>
<Relationship Id="rId11" Target="http://jingzhi.funds.hexun.com/161715.shtml" TargetMode="External" Type="http://schemas.openxmlformats.org/officeDocument/2006/relationships/hyperlink"/>
<Relationship Id="rId12" Target="media/image4.png" Type="http://schemas.openxmlformats.org/officeDocument/2006/relationships/image"/>
<Relationship Id="rId13" Target="media/image5.png" Type="http://schemas.openxmlformats.org/officeDocument/2006/relationships/image"/>
<Relationship Id="rId14" Target="media/image6.pn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2015-09-11T05:38:00Z</dcterms:created>
  <dc:creator>caili</dc:creator>
  <cp:lastModifiedBy>zyg</cp:lastModifiedBy>
  <dcterms:modified xsi:type="dcterms:W3CDTF">2015-09-11T06:40:00Z</dcterms:modified>
  <cp:revision>4</cp:revision>
</cp:coreProperties>
</file>