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CD8" w:rsidRPr="00866477" w:rsidRDefault="0064642A" w:rsidP="00866477">
      <w:pPr>
        <w:jc w:val="center"/>
        <w:rPr>
          <w:b/>
          <w:sz w:val="36"/>
          <w:szCs w:val="36"/>
        </w:rPr>
      </w:pPr>
      <w:r>
        <w:rPr>
          <w:rFonts w:hint="eastAsia"/>
          <w:b/>
          <w:sz w:val="36"/>
          <w:szCs w:val="36"/>
        </w:rPr>
        <w:t>焦煤焦炭将进入底部区间震荡</w:t>
      </w:r>
    </w:p>
    <w:p w:rsidR="00866477" w:rsidRDefault="00866477" w:rsidP="00866477">
      <w:pPr>
        <w:jc w:val="center"/>
      </w:pPr>
    </w:p>
    <w:p w:rsidR="00CB458A" w:rsidRDefault="00866477" w:rsidP="00866477">
      <w:pPr>
        <w:jc w:val="center"/>
      </w:pPr>
      <w:r>
        <w:rPr>
          <w:rFonts w:hint="eastAsia"/>
        </w:rPr>
        <w:t>方</w:t>
      </w:r>
      <w:proofErr w:type="gramStart"/>
      <w:r>
        <w:rPr>
          <w:rFonts w:hint="eastAsia"/>
        </w:rPr>
        <w:t>正中期</w:t>
      </w:r>
      <w:r>
        <w:rPr>
          <w:rFonts w:hint="eastAsia"/>
        </w:rPr>
        <w:t xml:space="preserve"> </w:t>
      </w:r>
      <w:r>
        <w:rPr>
          <w:rFonts w:hint="eastAsia"/>
        </w:rPr>
        <w:t>牛秋乐</w:t>
      </w:r>
      <w:proofErr w:type="gramEnd"/>
    </w:p>
    <w:p w:rsidR="00866477" w:rsidRDefault="00866477" w:rsidP="00866477">
      <w:pPr>
        <w:jc w:val="center"/>
      </w:pPr>
    </w:p>
    <w:p w:rsidR="00CB458A" w:rsidRPr="0064642A" w:rsidRDefault="0064642A" w:rsidP="0064642A">
      <w:pPr>
        <w:rPr>
          <w:b/>
          <w:sz w:val="28"/>
          <w:szCs w:val="28"/>
        </w:rPr>
      </w:pPr>
      <w:r>
        <w:rPr>
          <w:rFonts w:hint="eastAsia"/>
          <w:b/>
          <w:sz w:val="28"/>
          <w:szCs w:val="28"/>
        </w:rPr>
        <w:t>一、</w:t>
      </w:r>
      <w:r w:rsidR="00CB458A" w:rsidRPr="0064642A">
        <w:rPr>
          <w:rFonts w:hint="eastAsia"/>
          <w:b/>
          <w:sz w:val="28"/>
          <w:szCs w:val="28"/>
        </w:rPr>
        <w:t>实体经济疲弱拖累建材类上下游需求</w:t>
      </w:r>
    </w:p>
    <w:p w:rsidR="00CB458A" w:rsidRPr="008A07F0" w:rsidRDefault="00CB458A" w:rsidP="00CB458A">
      <w:pPr>
        <w:widowControl/>
        <w:spacing w:after="200" w:line="360" w:lineRule="auto"/>
        <w:jc w:val="left"/>
        <w:rPr>
          <w:rFonts w:ascii="宋体" w:eastAsia="宋体" w:hAnsi="宋体" w:cs="Times New Roman"/>
          <w:b/>
          <w:kern w:val="0"/>
          <w:sz w:val="24"/>
        </w:rPr>
      </w:pPr>
      <w:r w:rsidRPr="008A07F0">
        <w:rPr>
          <w:rFonts w:ascii="宋体" w:eastAsia="宋体" w:hAnsi="宋体" w:cs="Times New Roman" w:hint="eastAsia"/>
          <w:b/>
          <w:kern w:val="0"/>
          <w:sz w:val="24"/>
        </w:rPr>
        <w:t>1、</w:t>
      </w:r>
      <w:r>
        <w:rPr>
          <w:rFonts w:ascii="宋体" w:eastAsia="宋体" w:hAnsi="宋体" w:cs="Times New Roman" w:hint="eastAsia"/>
          <w:b/>
          <w:kern w:val="0"/>
          <w:sz w:val="24"/>
        </w:rPr>
        <w:t>地产投资拖累实体经济下滑</w:t>
      </w:r>
    </w:p>
    <w:p w:rsidR="00CB458A" w:rsidRPr="008A07F0" w:rsidRDefault="00CB458A" w:rsidP="00CB458A">
      <w:pPr>
        <w:widowControl/>
        <w:spacing w:after="200" w:line="360" w:lineRule="auto"/>
        <w:ind w:firstLineChars="200" w:firstLine="480"/>
        <w:jc w:val="left"/>
        <w:rPr>
          <w:rFonts w:ascii="宋体" w:eastAsia="宋体" w:hAnsi="宋体" w:cs="Times New Roman"/>
          <w:kern w:val="0"/>
          <w:sz w:val="24"/>
        </w:rPr>
      </w:pPr>
      <w:r w:rsidRPr="008A07F0">
        <w:rPr>
          <w:rFonts w:ascii="宋体" w:eastAsia="宋体" w:hAnsi="宋体" w:cs="Times New Roman" w:hint="eastAsia"/>
          <w:kern w:val="0"/>
          <w:sz w:val="24"/>
        </w:rPr>
        <w:t>3季度国内GDP增速下滑至7.3%，并创下近6年新低，仅次于08年4季度及09年一季度的6.6%。GDP同比增速放缓一方面来自于房地产市场大幅降温以及地产投资增速显著下滑的拖累，另一方面，去年3季度基数较高，也导致同比增速受到高基数的影响。目前国内经济进入新常态，为应对经济转型，经济增速从原来8%以上的高速区间</w:t>
      </w:r>
      <w:r>
        <w:rPr>
          <w:rFonts w:ascii="宋体" w:eastAsia="宋体" w:hAnsi="宋体" w:cs="Times New Roman" w:hint="eastAsia"/>
          <w:kern w:val="0"/>
          <w:sz w:val="24"/>
        </w:rPr>
        <w:t>降</w:t>
      </w:r>
      <w:r w:rsidRPr="008A07F0">
        <w:rPr>
          <w:rFonts w:ascii="宋体" w:eastAsia="宋体" w:hAnsi="宋体" w:cs="Times New Roman" w:hint="eastAsia"/>
          <w:kern w:val="0"/>
          <w:sz w:val="24"/>
        </w:rPr>
        <w:t>至6%-8%的中速增长。前三季度7.4%的整体增速使得全年7.5%目前较难完成，我们预计年底前随着铁路与基建投资的发力，经济增速将有一定回升，但强力型的刺激政策难以出台。长期来看，国内经济转型、实体经济去杠杆，经济增速将进一步向潜在增速回归。</w:t>
      </w:r>
    </w:p>
    <w:p w:rsidR="00CB458A" w:rsidRPr="00400A2B" w:rsidRDefault="00CB458A" w:rsidP="00CB458A">
      <w:pPr>
        <w:spacing w:line="360" w:lineRule="auto"/>
        <w:rPr>
          <w:rFonts w:ascii="Times New Roman" w:hAnsi="Times New Roman"/>
          <w:b/>
          <w:szCs w:val="21"/>
        </w:rPr>
      </w:pPr>
      <w:r w:rsidRPr="00477DD1">
        <w:rPr>
          <w:rFonts w:ascii="Times New Roman" w:hAnsi="Times New Roman" w:hint="eastAsia"/>
          <w:b/>
          <w:szCs w:val="21"/>
        </w:rPr>
        <w:t>图</w:t>
      </w:r>
      <w:r>
        <w:rPr>
          <w:rFonts w:ascii="Times New Roman" w:hAnsi="Times New Roman" w:hint="eastAsia"/>
          <w:b/>
          <w:szCs w:val="21"/>
        </w:rPr>
        <w:t>1</w:t>
      </w:r>
      <w:r w:rsidRPr="00477DD1">
        <w:rPr>
          <w:rFonts w:ascii="Times New Roman" w:hAnsi="Times New Roman" w:hint="eastAsia"/>
          <w:b/>
          <w:szCs w:val="21"/>
        </w:rPr>
        <w:t>：</w:t>
      </w:r>
      <w:r>
        <w:rPr>
          <w:rFonts w:ascii="Times New Roman" w:hAnsi="Times New Roman" w:hint="eastAsia"/>
          <w:b/>
          <w:szCs w:val="21"/>
        </w:rPr>
        <w:t>国内</w:t>
      </w:r>
      <w:r>
        <w:rPr>
          <w:rFonts w:ascii="Times New Roman" w:hAnsi="Times New Roman" w:hint="eastAsia"/>
          <w:b/>
          <w:szCs w:val="21"/>
        </w:rPr>
        <w:t>GDP</w:t>
      </w:r>
      <w:r>
        <w:rPr>
          <w:rFonts w:ascii="Times New Roman" w:hAnsi="Times New Roman" w:hint="eastAsia"/>
          <w:b/>
          <w:szCs w:val="21"/>
        </w:rPr>
        <w:t>增速</w:t>
      </w:r>
      <w:r>
        <w:rPr>
          <w:rFonts w:ascii="Times New Roman" w:hAnsi="Times New Roman" w:hint="eastAsia"/>
          <w:b/>
          <w:szCs w:val="21"/>
        </w:rPr>
        <w:t xml:space="preserve">                      </w:t>
      </w:r>
      <w:r w:rsidRPr="00477DD1">
        <w:rPr>
          <w:rFonts w:ascii="Times New Roman" w:hAnsi="Times New Roman" w:hint="eastAsia"/>
          <w:b/>
          <w:szCs w:val="21"/>
        </w:rPr>
        <w:t>图</w:t>
      </w:r>
      <w:r>
        <w:rPr>
          <w:rFonts w:ascii="Times New Roman" w:hAnsi="Times New Roman" w:hint="eastAsia"/>
          <w:b/>
          <w:szCs w:val="21"/>
        </w:rPr>
        <w:t>2</w:t>
      </w:r>
      <w:r w:rsidRPr="00477DD1">
        <w:rPr>
          <w:rFonts w:ascii="Times New Roman" w:hAnsi="Times New Roman" w:hint="eastAsia"/>
          <w:b/>
          <w:szCs w:val="21"/>
        </w:rPr>
        <w:t>：</w:t>
      </w:r>
      <w:r>
        <w:rPr>
          <w:rFonts w:ascii="Times New Roman" w:hAnsi="Times New Roman" w:hint="eastAsia"/>
          <w:b/>
          <w:szCs w:val="21"/>
        </w:rPr>
        <w:t>国内经济增长同比与环比</w:t>
      </w:r>
    </w:p>
    <w:p w:rsidR="00CB458A" w:rsidRDefault="00CB458A" w:rsidP="00CB458A">
      <w:pPr>
        <w:rPr>
          <w:noProof/>
        </w:rPr>
      </w:pPr>
      <w:r>
        <w:rPr>
          <w:noProof/>
        </w:rPr>
        <w:drawing>
          <wp:inline distT="0" distB="0" distL="0" distR="0" wp14:anchorId="0ED8C85F" wp14:editId="2D8B94FE">
            <wp:extent cx="2567940" cy="1965960"/>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6281" cy="1964690"/>
                    </a:xfrm>
                    <a:prstGeom prst="rect">
                      <a:avLst/>
                    </a:prstGeom>
                    <a:noFill/>
                  </pic:spPr>
                </pic:pic>
              </a:graphicData>
            </a:graphic>
          </wp:inline>
        </w:drawing>
      </w:r>
      <w:r>
        <w:rPr>
          <w:rFonts w:hint="eastAsia"/>
        </w:rPr>
        <w:t xml:space="preserve"> </w:t>
      </w:r>
      <w:r>
        <w:rPr>
          <w:noProof/>
        </w:rPr>
        <w:drawing>
          <wp:inline distT="0" distB="0" distL="0" distR="0" wp14:anchorId="5EDF9BC1" wp14:editId="43671FE4">
            <wp:extent cx="2545080" cy="1960033"/>
            <wp:effectExtent l="0" t="0" r="762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7219" cy="1961680"/>
                    </a:xfrm>
                    <a:prstGeom prst="rect">
                      <a:avLst/>
                    </a:prstGeom>
                    <a:noFill/>
                  </pic:spPr>
                </pic:pic>
              </a:graphicData>
            </a:graphic>
          </wp:inline>
        </w:drawing>
      </w:r>
    </w:p>
    <w:p w:rsidR="00CB458A" w:rsidRDefault="00CB458A" w:rsidP="00CB458A">
      <w:pPr>
        <w:spacing w:line="360" w:lineRule="auto"/>
        <w:ind w:leftChars="-270" w:left="-567" w:rightChars="-108" w:right="-227"/>
        <w:jc w:val="center"/>
        <w:rPr>
          <w:rFonts w:ascii="Times New Roman" w:hAnsi="Times New Roman"/>
          <w:b/>
          <w:szCs w:val="21"/>
        </w:rPr>
      </w:pPr>
      <w:r w:rsidRPr="00477DD1">
        <w:rPr>
          <w:rFonts w:ascii="Times New Roman" w:hAnsi="Times New Roman"/>
          <w:b/>
          <w:szCs w:val="21"/>
        </w:rPr>
        <w:t>资料来源：</w:t>
      </w:r>
      <w:r>
        <w:rPr>
          <w:rFonts w:ascii="Times New Roman" w:hAnsi="Times New Roman" w:hint="eastAsia"/>
          <w:b/>
          <w:szCs w:val="21"/>
        </w:rPr>
        <w:t>Wind</w:t>
      </w:r>
      <w:r>
        <w:rPr>
          <w:rFonts w:ascii="Times New Roman" w:hAnsi="Times New Roman" w:hint="eastAsia"/>
          <w:b/>
          <w:szCs w:val="21"/>
        </w:rPr>
        <w:t>资讯</w:t>
      </w:r>
      <w:r w:rsidRPr="00477DD1">
        <w:rPr>
          <w:rFonts w:ascii="Times New Roman" w:hAnsi="Times New Roman"/>
          <w:b/>
          <w:szCs w:val="21"/>
        </w:rPr>
        <w:t>、</w:t>
      </w:r>
      <w:r>
        <w:rPr>
          <w:rFonts w:ascii="Times New Roman" w:hAnsi="Times New Roman" w:hint="eastAsia"/>
          <w:b/>
          <w:szCs w:val="21"/>
        </w:rPr>
        <w:t>方正</w:t>
      </w:r>
      <w:r>
        <w:rPr>
          <w:rFonts w:ascii="Times New Roman" w:hAnsi="Times New Roman"/>
          <w:b/>
          <w:szCs w:val="21"/>
        </w:rPr>
        <w:t>中期期货研究院</w:t>
      </w:r>
      <w:r>
        <w:rPr>
          <w:rFonts w:ascii="Times New Roman" w:hAnsi="Times New Roman" w:hint="eastAsia"/>
          <w:b/>
          <w:szCs w:val="21"/>
        </w:rPr>
        <w:t xml:space="preserve">   </w:t>
      </w:r>
      <w:r w:rsidRPr="00477DD1">
        <w:rPr>
          <w:rFonts w:ascii="Times New Roman" w:hAnsi="Times New Roman"/>
          <w:b/>
          <w:szCs w:val="21"/>
        </w:rPr>
        <w:t>资料来源：</w:t>
      </w:r>
      <w:r>
        <w:rPr>
          <w:rFonts w:ascii="Times New Roman" w:hAnsi="Times New Roman" w:hint="eastAsia"/>
          <w:b/>
          <w:szCs w:val="21"/>
        </w:rPr>
        <w:t>国家统计局</w:t>
      </w:r>
      <w:r w:rsidRPr="00477DD1">
        <w:rPr>
          <w:rFonts w:ascii="Times New Roman" w:hAnsi="Times New Roman"/>
          <w:b/>
          <w:szCs w:val="21"/>
        </w:rPr>
        <w:t>、</w:t>
      </w:r>
      <w:r>
        <w:rPr>
          <w:rFonts w:ascii="Times New Roman" w:hAnsi="Times New Roman" w:hint="eastAsia"/>
          <w:b/>
          <w:szCs w:val="21"/>
        </w:rPr>
        <w:t>方正</w:t>
      </w:r>
      <w:r>
        <w:rPr>
          <w:rFonts w:ascii="Times New Roman" w:hAnsi="Times New Roman"/>
          <w:b/>
          <w:szCs w:val="21"/>
        </w:rPr>
        <w:t>中期期货研究院</w:t>
      </w:r>
    </w:p>
    <w:p w:rsidR="00CB458A" w:rsidRDefault="00CB458A" w:rsidP="00CB458A">
      <w:pPr>
        <w:widowControl/>
        <w:spacing w:after="200" w:line="360" w:lineRule="auto"/>
        <w:ind w:firstLineChars="200" w:firstLine="482"/>
        <w:jc w:val="left"/>
        <w:rPr>
          <w:rFonts w:ascii="宋体" w:eastAsia="宋体" w:hAnsi="宋体" w:cs="Times New Roman"/>
          <w:b/>
          <w:kern w:val="0"/>
          <w:sz w:val="24"/>
        </w:rPr>
      </w:pPr>
    </w:p>
    <w:p w:rsidR="00CB458A" w:rsidRPr="00CB458A" w:rsidRDefault="00CB458A" w:rsidP="00CB458A">
      <w:pPr>
        <w:widowControl/>
        <w:spacing w:after="200" w:line="360" w:lineRule="auto"/>
        <w:jc w:val="left"/>
        <w:rPr>
          <w:rFonts w:ascii="宋体" w:eastAsia="宋体" w:hAnsi="宋体" w:cs="Times New Roman"/>
          <w:b/>
          <w:kern w:val="0"/>
          <w:sz w:val="24"/>
        </w:rPr>
      </w:pPr>
      <w:r>
        <w:rPr>
          <w:rFonts w:ascii="宋体" w:eastAsia="宋体" w:hAnsi="宋体" w:cs="Times New Roman" w:hint="eastAsia"/>
          <w:b/>
          <w:kern w:val="0"/>
          <w:sz w:val="24"/>
        </w:rPr>
        <w:t>2</w:t>
      </w:r>
      <w:r w:rsidRPr="008A07F0">
        <w:rPr>
          <w:rFonts w:ascii="宋体" w:eastAsia="宋体" w:hAnsi="宋体" w:cs="Times New Roman" w:hint="eastAsia"/>
          <w:b/>
          <w:kern w:val="0"/>
          <w:sz w:val="24"/>
        </w:rPr>
        <w:t>、</w:t>
      </w:r>
      <w:r>
        <w:rPr>
          <w:rFonts w:ascii="宋体" w:eastAsia="宋体" w:hAnsi="宋体" w:cs="Times New Roman" w:hint="eastAsia"/>
          <w:b/>
          <w:kern w:val="0"/>
          <w:sz w:val="24"/>
        </w:rPr>
        <w:t>先行指数仍然疲弱</w:t>
      </w:r>
    </w:p>
    <w:p w:rsidR="00CB458A" w:rsidRPr="00CB458A" w:rsidRDefault="00CB458A" w:rsidP="00CB458A">
      <w:pPr>
        <w:widowControl/>
        <w:spacing w:after="200" w:line="360" w:lineRule="auto"/>
        <w:ind w:firstLineChars="200" w:firstLine="480"/>
        <w:jc w:val="left"/>
        <w:rPr>
          <w:rFonts w:ascii="宋体" w:eastAsia="宋体" w:hAnsi="宋体" w:cs="Times New Roman"/>
          <w:kern w:val="0"/>
          <w:sz w:val="24"/>
        </w:rPr>
      </w:pPr>
      <w:r w:rsidRPr="00CB458A">
        <w:rPr>
          <w:rFonts w:ascii="宋体" w:eastAsia="宋体" w:hAnsi="宋体" w:cs="Times New Roman" w:hint="eastAsia"/>
          <w:kern w:val="0"/>
          <w:sz w:val="24"/>
        </w:rPr>
        <w:t>11月1日，中国物流与采购联合会、国家统计局服务业调查中心联合发布，2014年10月，中国制造业采购经理指数（PMI）为50.8%，较上月回落0.3个百分点，并创下近五个月的新低。</w:t>
      </w:r>
    </w:p>
    <w:p w:rsidR="00CB458A" w:rsidRPr="00400A2B" w:rsidRDefault="00CB458A" w:rsidP="00CB458A">
      <w:pPr>
        <w:spacing w:line="360" w:lineRule="auto"/>
        <w:jc w:val="center"/>
        <w:rPr>
          <w:rFonts w:ascii="Times New Roman" w:hAnsi="Times New Roman"/>
          <w:b/>
          <w:szCs w:val="21"/>
        </w:rPr>
      </w:pPr>
      <w:r w:rsidRPr="00477DD1">
        <w:rPr>
          <w:rFonts w:ascii="Times New Roman" w:hAnsi="Times New Roman" w:hint="eastAsia"/>
          <w:b/>
          <w:szCs w:val="21"/>
        </w:rPr>
        <w:lastRenderedPageBreak/>
        <w:t>图</w:t>
      </w:r>
      <w:r w:rsidR="00866477">
        <w:rPr>
          <w:rFonts w:ascii="Times New Roman" w:hAnsi="Times New Roman" w:hint="eastAsia"/>
          <w:b/>
          <w:szCs w:val="21"/>
        </w:rPr>
        <w:t>3</w:t>
      </w:r>
      <w:r w:rsidRPr="00477DD1">
        <w:rPr>
          <w:rFonts w:ascii="Times New Roman" w:hAnsi="Times New Roman" w:hint="eastAsia"/>
          <w:b/>
          <w:szCs w:val="21"/>
        </w:rPr>
        <w:t>：</w:t>
      </w:r>
      <w:r>
        <w:rPr>
          <w:rFonts w:ascii="Times New Roman" w:hAnsi="Times New Roman" w:hint="eastAsia"/>
          <w:b/>
          <w:szCs w:val="21"/>
        </w:rPr>
        <w:t>国内制造业</w:t>
      </w:r>
      <w:r>
        <w:rPr>
          <w:rFonts w:ascii="Times New Roman" w:hAnsi="Times New Roman" w:hint="eastAsia"/>
          <w:b/>
          <w:szCs w:val="21"/>
        </w:rPr>
        <w:t>PMI</w:t>
      </w:r>
      <w:r>
        <w:rPr>
          <w:rFonts w:ascii="Times New Roman" w:hAnsi="Times New Roman" w:hint="eastAsia"/>
          <w:b/>
          <w:szCs w:val="21"/>
        </w:rPr>
        <w:t>连续走低</w:t>
      </w:r>
    </w:p>
    <w:p w:rsidR="00CB458A" w:rsidRDefault="00CB458A" w:rsidP="00CB458A">
      <w:pPr>
        <w:jc w:val="center"/>
        <w:rPr>
          <w:noProof/>
        </w:rPr>
      </w:pPr>
      <w:r>
        <w:rPr>
          <w:noProof/>
        </w:rPr>
        <w:drawing>
          <wp:inline distT="0" distB="0" distL="0" distR="0">
            <wp:extent cx="4130040" cy="2933700"/>
            <wp:effectExtent l="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30040" cy="2933700"/>
                    </a:xfrm>
                    <a:prstGeom prst="rect">
                      <a:avLst/>
                    </a:prstGeom>
                    <a:noFill/>
                    <a:ln>
                      <a:noFill/>
                    </a:ln>
                  </pic:spPr>
                </pic:pic>
              </a:graphicData>
            </a:graphic>
          </wp:inline>
        </w:drawing>
      </w:r>
    </w:p>
    <w:p w:rsidR="00CB458A" w:rsidRDefault="00CB458A" w:rsidP="00CB458A">
      <w:pPr>
        <w:spacing w:line="360" w:lineRule="auto"/>
        <w:ind w:leftChars="-270" w:left="-567" w:rightChars="-108" w:right="-227"/>
        <w:jc w:val="center"/>
        <w:rPr>
          <w:rFonts w:ascii="Times New Roman" w:hAnsi="Times New Roman"/>
          <w:b/>
          <w:szCs w:val="21"/>
        </w:rPr>
      </w:pPr>
      <w:r w:rsidRPr="00477DD1">
        <w:rPr>
          <w:rFonts w:ascii="Times New Roman" w:hAnsi="Times New Roman"/>
          <w:b/>
          <w:szCs w:val="21"/>
        </w:rPr>
        <w:t>资料来源：</w:t>
      </w:r>
      <w:r>
        <w:rPr>
          <w:rFonts w:ascii="Times New Roman" w:hAnsi="Times New Roman" w:hint="eastAsia"/>
          <w:b/>
          <w:szCs w:val="21"/>
        </w:rPr>
        <w:t>Wind</w:t>
      </w:r>
      <w:r>
        <w:rPr>
          <w:rFonts w:ascii="Times New Roman" w:hAnsi="Times New Roman" w:hint="eastAsia"/>
          <w:b/>
          <w:szCs w:val="21"/>
        </w:rPr>
        <w:t>资讯</w:t>
      </w:r>
      <w:r w:rsidRPr="00477DD1">
        <w:rPr>
          <w:rFonts w:ascii="Times New Roman" w:hAnsi="Times New Roman"/>
          <w:b/>
          <w:szCs w:val="21"/>
        </w:rPr>
        <w:t>、</w:t>
      </w:r>
      <w:r>
        <w:rPr>
          <w:rFonts w:ascii="Times New Roman" w:hAnsi="Times New Roman" w:hint="eastAsia"/>
          <w:b/>
          <w:szCs w:val="21"/>
        </w:rPr>
        <w:t>方正</w:t>
      </w:r>
      <w:r>
        <w:rPr>
          <w:rFonts w:ascii="Times New Roman" w:hAnsi="Times New Roman"/>
          <w:b/>
          <w:szCs w:val="21"/>
        </w:rPr>
        <w:t>中期期货研究院</w:t>
      </w:r>
      <w:r w:rsidRPr="00477DD1">
        <w:rPr>
          <w:rFonts w:ascii="Times New Roman" w:hAnsi="Times New Roman" w:hint="eastAsia"/>
          <w:b/>
          <w:szCs w:val="21"/>
        </w:rPr>
        <w:t>整理</w:t>
      </w:r>
    </w:p>
    <w:p w:rsidR="00CB458A" w:rsidRPr="00400A2B" w:rsidRDefault="00CB458A" w:rsidP="00CB458A">
      <w:pPr>
        <w:spacing w:line="360" w:lineRule="auto"/>
        <w:jc w:val="center"/>
        <w:rPr>
          <w:rFonts w:ascii="Times New Roman" w:hAnsi="Times New Roman"/>
          <w:b/>
          <w:szCs w:val="21"/>
        </w:rPr>
      </w:pPr>
      <w:r w:rsidRPr="00477DD1">
        <w:rPr>
          <w:rFonts w:ascii="Times New Roman" w:hAnsi="Times New Roman" w:hint="eastAsia"/>
          <w:b/>
          <w:szCs w:val="21"/>
        </w:rPr>
        <w:t>图</w:t>
      </w:r>
      <w:r w:rsidR="00866477">
        <w:rPr>
          <w:rFonts w:ascii="Times New Roman" w:hAnsi="Times New Roman" w:hint="eastAsia"/>
          <w:b/>
          <w:szCs w:val="21"/>
        </w:rPr>
        <w:t>4</w:t>
      </w:r>
      <w:r w:rsidRPr="00477DD1">
        <w:rPr>
          <w:rFonts w:ascii="Times New Roman" w:hAnsi="Times New Roman" w:hint="eastAsia"/>
          <w:b/>
          <w:szCs w:val="21"/>
        </w:rPr>
        <w:t>：</w:t>
      </w:r>
      <w:r>
        <w:rPr>
          <w:rFonts w:ascii="Times New Roman" w:hAnsi="Times New Roman" w:hint="eastAsia"/>
          <w:b/>
          <w:szCs w:val="21"/>
        </w:rPr>
        <w:t>汇丰制造业</w:t>
      </w:r>
      <w:r>
        <w:rPr>
          <w:rFonts w:ascii="Times New Roman" w:hAnsi="Times New Roman" w:hint="eastAsia"/>
          <w:b/>
          <w:szCs w:val="21"/>
        </w:rPr>
        <w:t>PMI</w:t>
      </w:r>
      <w:r>
        <w:rPr>
          <w:rFonts w:ascii="Times New Roman" w:hAnsi="Times New Roman" w:hint="eastAsia"/>
          <w:b/>
          <w:szCs w:val="21"/>
        </w:rPr>
        <w:t>小幅回升</w:t>
      </w:r>
    </w:p>
    <w:p w:rsidR="00CB458A" w:rsidRDefault="00CB458A" w:rsidP="00CB458A">
      <w:pPr>
        <w:jc w:val="center"/>
        <w:rPr>
          <w:noProof/>
        </w:rPr>
      </w:pPr>
      <w:r>
        <w:rPr>
          <w:noProof/>
        </w:rPr>
        <w:drawing>
          <wp:inline distT="0" distB="0" distL="0" distR="0">
            <wp:extent cx="4130040" cy="290322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30040" cy="2903220"/>
                    </a:xfrm>
                    <a:prstGeom prst="rect">
                      <a:avLst/>
                    </a:prstGeom>
                    <a:noFill/>
                    <a:ln>
                      <a:noFill/>
                    </a:ln>
                  </pic:spPr>
                </pic:pic>
              </a:graphicData>
            </a:graphic>
          </wp:inline>
        </w:drawing>
      </w:r>
    </w:p>
    <w:p w:rsidR="00CB458A" w:rsidRPr="00DE4ACC" w:rsidRDefault="00CB458A" w:rsidP="00CB458A">
      <w:pPr>
        <w:spacing w:line="360" w:lineRule="auto"/>
        <w:ind w:leftChars="-270" w:left="-567" w:rightChars="-108" w:right="-227"/>
        <w:jc w:val="center"/>
        <w:rPr>
          <w:rFonts w:ascii="Times New Roman" w:hAnsi="Times New Roman"/>
          <w:b/>
          <w:szCs w:val="21"/>
        </w:rPr>
      </w:pPr>
      <w:r w:rsidRPr="00477DD1">
        <w:rPr>
          <w:rFonts w:ascii="Times New Roman" w:hAnsi="Times New Roman"/>
          <w:b/>
          <w:szCs w:val="21"/>
        </w:rPr>
        <w:t>资料来源：</w:t>
      </w:r>
      <w:r>
        <w:rPr>
          <w:rFonts w:ascii="Times New Roman" w:hAnsi="Times New Roman" w:hint="eastAsia"/>
          <w:b/>
          <w:szCs w:val="21"/>
        </w:rPr>
        <w:t>Wind</w:t>
      </w:r>
      <w:r>
        <w:rPr>
          <w:rFonts w:ascii="Times New Roman" w:hAnsi="Times New Roman" w:hint="eastAsia"/>
          <w:b/>
          <w:szCs w:val="21"/>
        </w:rPr>
        <w:t>资讯</w:t>
      </w:r>
      <w:r w:rsidRPr="00477DD1">
        <w:rPr>
          <w:rFonts w:ascii="Times New Roman" w:hAnsi="Times New Roman"/>
          <w:b/>
          <w:szCs w:val="21"/>
        </w:rPr>
        <w:t>、</w:t>
      </w:r>
      <w:r>
        <w:rPr>
          <w:rFonts w:ascii="Times New Roman" w:hAnsi="Times New Roman" w:hint="eastAsia"/>
          <w:b/>
          <w:szCs w:val="21"/>
        </w:rPr>
        <w:t>方正</w:t>
      </w:r>
      <w:r>
        <w:rPr>
          <w:rFonts w:ascii="Times New Roman" w:hAnsi="Times New Roman"/>
          <w:b/>
          <w:szCs w:val="21"/>
        </w:rPr>
        <w:t>中期期货研究院</w:t>
      </w:r>
      <w:r w:rsidRPr="00477DD1">
        <w:rPr>
          <w:rFonts w:ascii="Times New Roman" w:hAnsi="Times New Roman" w:hint="eastAsia"/>
          <w:b/>
          <w:szCs w:val="21"/>
        </w:rPr>
        <w:t>整理</w:t>
      </w:r>
    </w:p>
    <w:p w:rsidR="00CB458A" w:rsidRDefault="00CB458A" w:rsidP="00CB458A">
      <w:pPr>
        <w:widowControl/>
        <w:spacing w:after="200" w:line="360" w:lineRule="auto"/>
        <w:ind w:firstLineChars="200" w:firstLine="480"/>
        <w:jc w:val="left"/>
        <w:rPr>
          <w:rFonts w:ascii="宋体" w:eastAsia="宋体" w:hAnsi="宋体" w:cs="Times New Roman"/>
          <w:kern w:val="0"/>
          <w:sz w:val="24"/>
        </w:rPr>
      </w:pPr>
      <w:r w:rsidRPr="00CB458A">
        <w:rPr>
          <w:rFonts w:ascii="宋体" w:eastAsia="宋体" w:hAnsi="宋体" w:cs="Times New Roman" w:hint="eastAsia"/>
          <w:kern w:val="0"/>
          <w:sz w:val="24"/>
        </w:rPr>
        <w:t>由经济的先行指标制造业PMI数据来看，</w:t>
      </w:r>
      <w:proofErr w:type="gramStart"/>
      <w:r w:rsidRPr="00CB458A">
        <w:rPr>
          <w:rFonts w:ascii="宋体" w:eastAsia="宋体" w:hAnsi="宋体" w:cs="Times New Roman" w:hint="eastAsia"/>
          <w:kern w:val="0"/>
          <w:sz w:val="24"/>
        </w:rPr>
        <w:t>稳增长</w:t>
      </w:r>
      <w:proofErr w:type="gramEnd"/>
      <w:r w:rsidRPr="00CB458A">
        <w:rPr>
          <w:rFonts w:ascii="宋体" w:eastAsia="宋体" w:hAnsi="宋体" w:cs="Times New Roman" w:hint="eastAsia"/>
          <w:kern w:val="0"/>
          <w:sz w:val="24"/>
        </w:rPr>
        <w:t>在实体经济领域发挥的作用仍未体现。自2012年以来小型企业PMI数据长期维持在枯荣分界线以下，中小企业生存状况恶劣。虽然大中型企业PMI指数长期维持在50%以上，对于经济增长起到了明显的稳定作用，但资源配置的倾斜导致经济活力持续下降。</w:t>
      </w:r>
    </w:p>
    <w:p w:rsidR="00CB458A" w:rsidRDefault="00CB458A" w:rsidP="00CB458A">
      <w:pPr>
        <w:widowControl/>
        <w:spacing w:after="200" w:line="360" w:lineRule="auto"/>
        <w:ind w:firstLineChars="200" w:firstLine="480"/>
        <w:jc w:val="left"/>
        <w:rPr>
          <w:rFonts w:ascii="宋体" w:hAnsi="宋体"/>
          <w:sz w:val="24"/>
        </w:rPr>
      </w:pPr>
      <w:r>
        <w:rPr>
          <w:rFonts w:ascii="宋体" w:hAnsi="宋体" w:hint="eastAsia"/>
          <w:sz w:val="24"/>
        </w:rPr>
        <w:lastRenderedPageBreak/>
        <w:t>虽然制造业PMI数据仍处于临界点以上，但在10月份季节性回升的情况下，制造业PMI继续恶化说明实体经济非常疲弱。</w:t>
      </w:r>
      <w:proofErr w:type="gramStart"/>
      <w:r w:rsidRPr="008A07F0">
        <w:rPr>
          <w:rFonts w:ascii="宋体" w:hAnsi="宋体" w:hint="eastAsia"/>
          <w:sz w:val="24"/>
        </w:rPr>
        <w:t>国家发改委</w:t>
      </w:r>
      <w:proofErr w:type="gramEnd"/>
      <w:r w:rsidRPr="008A07F0">
        <w:rPr>
          <w:rFonts w:ascii="宋体" w:hAnsi="宋体" w:hint="eastAsia"/>
          <w:sz w:val="24"/>
        </w:rPr>
        <w:t>和地方政府近期密集发布包括铁路、机场等基建项目在内的公共设施项目</w:t>
      </w:r>
      <w:r>
        <w:rPr>
          <w:rFonts w:ascii="宋体" w:hAnsi="宋体" w:hint="eastAsia"/>
          <w:sz w:val="24"/>
        </w:rPr>
        <w:t>。</w:t>
      </w:r>
      <w:r w:rsidRPr="008A07F0">
        <w:rPr>
          <w:rFonts w:ascii="宋体" w:hAnsi="宋体" w:hint="eastAsia"/>
          <w:sz w:val="24"/>
        </w:rPr>
        <w:t>通过扩大铁路等基建项目对冲固定资产投资整体下滑的趋势，表明中央发出经济</w:t>
      </w:r>
      <w:proofErr w:type="gramStart"/>
      <w:r w:rsidRPr="008A07F0">
        <w:rPr>
          <w:rFonts w:ascii="宋体" w:hAnsi="宋体" w:hint="eastAsia"/>
          <w:sz w:val="24"/>
        </w:rPr>
        <w:t>稳增长</w:t>
      </w:r>
      <w:proofErr w:type="gramEnd"/>
      <w:r w:rsidRPr="008A07F0">
        <w:rPr>
          <w:rFonts w:ascii="宋体" w:hAnsi="宋体" w:hint="eastAsia"/>
          <w:sz w:val="24"/>
        </w:rPr>
        <w:t>的明确信号。年底前随着铁路与基建投资的发力，经济增速将有一定回升，但</w:t>
      </w:r>
      <w:r>
        <w:rPr>
          <w:rFonts w:ascii="宋体" w:hAnsi="宋体" w:hint="eastAsia"/>
          <w:sz w:val="24"/>
        </w:rPr>
        <w:t>目前投资仅为</w:t>
      </w:r>
      <w:proofErr w:type="gramStart"/>
      <w:r>
        <w:rPr>
          <w:rFonts w:ascii="宋体" w:hAnsi="宋体" w:hint="eastAsia"/>
          <w:sz w:val="24"/>
        </w:rPr>
        <w:t>稳增长</w:t>
      </w:r>
      <w:proofErr w:type="gramEnd"/>
      <w:r>
        <w:rPr>
          <w:rFonts w:ascii="宋体" w:hAnsi="宋体" w:hint="eastAsia"/>
          <w:sz w:val="24"/>
        </w:rPr>
        <w:t>配合经济改革，</w:t>
      </w:r>
      <w:r w:rsidRPr="008A07F0">
        <w:rPr>
          <w:rFonts w:ascii="宋体" w:hAnsi="宋体" w:hint="eastAsia"/>
          <w:sz w:val="24"/>
        </w:rPr>
        <w:t>强力型的刺激政策</w:t>
      </w:r>
      <w:r>
        <w:rPr>
          <w:rFonts w:ascii="宋体" w:hAnsi="宋体" w:hint="eastAsia"/>
          <w:sz w:val="24"/>
        </w:rPr>
        <w:t>料</w:t>
      </w:r>
      <w:r w:rsidRPr="008A07F0">
        <w:rPr>
          <w:rFonts w:ascii="宋体" w:hAnsi="宋体" w:hint="eastAsia"/>
          <w:sz w:val="24"/>
        </w:rPr>
        <w:t>难以出台。</w:t>
      </w:r>
    </w:p>
    <w:p w:rsidR="00CB458A" w:rsidRPr="00400A2B" w:rsidRDefault="00CB458A" w:rsidP="00CB458A">
      <w:pPr>
        <w:spacing w:line="360" w:lineRule="auto"/>
        <w:jc w:val="center"/>
        <w:rPr>
          <w:rFonts w:ascii="Times New Roman" w:hAnsi="Times New Roman"/>
          <w:b/>
          <w:szCs w:val="21"/>
        </w:rPr>
      </w:pPr>
      <w:r w:rsidRPr="00477DD1">
        <w:rPr>
          <w:rFonts w:ascii="Times New Roman" w:hAnsi="Times New Roman" w:hint="eastAsia"/>
          <w:b/>
          <w:szCs w:val="21"/>
        </w:rPr>
        <w:t>图</w:t>
      </w:r>
      <w:r w:rsidR="00866477">
        <w:rPr>
          <w:rFonts w:ascii="Times New Roman" w:hAnsi="Times New Roman" w:hint="eastAsia"/>
          <w:b/>
          <w:szCs w:val="21"/>
        </w:rPr>
        <w:t>5</w:t>
      </w:r>
      <w:r w:rsidRPr="00477DD1">
        <w:rPr>
          <w:rFonts w:ascii="Times New Roman" w:hAnsi="Times New Roman" w:hint="eastAsia"/>
          <w:b/>
          <w:szCs w:val="21"/>
        </w:rPr>
        <w:t>：</w:t>
      </w:r>
      <w:r>
        <w:rPr>
          <w:rFonts w:ascii="Times New Roman" w:hAnsi="Times New Roman" w:hint="eastAsia"/>
          <w:b/>
          <w:szCs w:val="21"/>
        </w:rPr>
        <w:t>制造业</w:t>
      </w:r>
      <w:r>
        <w:rPr>
          <w:rFonts w:ascii="Times New Roman" w:hAnsi="Times New Roman" w:hint="eastAsia"/>
          <w:b/>
          <w:szCs w:val="21"/>
        </w:rPr>
        <w:t>PMI</w:t>
      </w:r>
      <w:r>
        <w:rPr>
          <w:rFonts w:ascii="Times New Roman" w:hAnsi="Times New Roman" w:hint="eastAsia"/>
          <w:b/>
          <w:szCs w:val="21"/>
        </w:rPr>
        <w:t>季节性</w:t>
      </w:r>
    </w:p>
    <w:p w:rsidR="00CB458A" w:rsidRDefault="00CB458A" w:rsidP="00CB458A">
      <w:pPr>
        <w:jc w:val="center"/>
        <w:rPr>
          <w:noProof/>
        </w:rPr>
      </w:pPr>
      <w:r>
        <w:rPr>
          <w:noProof/>
        </w:rPr>
        <w:drawing>
          <wp:inline distT="0" distB="0" distL="0" distR="0">
            <wp:extent cx="4419600" cy="3215640"/>
            <wp:effectExtent l="0" t="0" r="0"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19600" cy="3215640"/>
                    </a:xfrm>
                    <a:prstGeom prst="rect">
                      <a:avLst/>
                    </a:prstGeom>
                    <a:noFill/>
                    <a:ln>
                      <a:noFill/>
                    </a:ln>
                  </pic:spPr>
                </pic:pic>
              </a:graphicData>
            </a:graphic>
          </wp:inline>
        </w:drawing>
      </w:r>
    </w:p>
    <w:p w:rsidR="00CB458A" w:rsidRPr="00C86AAA" w:rsidRDefault="00CB458A" w:rsidP="00CB458A">
      <w:pPr>
        <w:spacing w:line="360" w:lineRule="auto"/>
        <w:ind w:leftChars="-270" w:left="-567" w:rightChars="-108" w:right="-227"/>
        <w:jc w:val="center"/>
        <w:rPr>
          <w:rFonts w:ascii="Times New Roman" w:hAnsi="Times New Roman"/>
          <w:b/>
          <w:szCs w:val="21"/>
        </w:rPr>
      </w:pPr>
      <w:r w:rsidRPr="00477DD1">
        <w:rPr>
          <w:rFonts w:ascii="Times New Roman" w:hAnsi="Times New Roman"/>
          <w:b/>
          <w:szCs w:val="21"/>
        </w:rPr>
        <w:t>资料来源：</w:t>
      </w:r>
      <w:r>
        <w:rPr>
          <w:rFonts w:ascii="Times New Roman" w:hAnsi="Times New Roman" w:hint="eastAsia"/>
          <w:b/>
          <w:szCs w:val="21"/>
        </w:rPr>
        <w:t>Wind</w:t>
      </w:r>
      <w:r>
        <w:rPr>
          <w:rFonts w:ascii="Times New Roman" w:hAnsi="Times New Roman" w:hint="eastAsia"/>
          <w:b/>
          <w:szCs w:val="21"/>
        </w:rPr>
        <w:t>资讯</w:t>
      </w:r>
      <w:r w:rsidRPr="00477DD1">
        <w:rPr>
          <w:rFonts w:ascii="Times New Roman" w:hAnsi="Times New Roman"/>
          <w:b/>
          <w:szCs w:val="21"/>
        </w:rPr>
        <w:t>、</w:t>
      </w:r>
      <w:r>
        <w:rPr>
          <w:rFonts w:ascii="Times New Roman" w:hAnsi="Times New Roman" w:hint="eastAsia"/>
          <w:b/>
          <w:szCs w:val="21"/>
        </w:rPr>
        <w:t>方正</w:t>
      </w:r>
      <w:r>
        <w:rPr>
          <w:rFonts w:ascii="Times New Roman" w:hAnsi="Times New Roman"/>
          <w:b/>
          <w:szCs w:val="21"/>
        </w:rPr>
        <w:t>中期期货研究院</w:t>
      </w:r>
      <w:r w:rsidRPr="00477DD1">
        <w:rPr>
          <w:rFonts w:ascii="Times New Roman" w:hAnsi="Times New Roman" w:hint="eastAsia"/>
          <w:b/>
          <w:szCs w:val="21"/>
        </w:rPr>
        <w:t>整理</w:t>
      </w:r>
    </w:p>
    <w:p w:rsidR="00CB458A" w:rsidRPr="00400A2B" w:rsidRDefault="00CB458A" w:rsidP="00CB458A">
      <w:pPr>
        <w:spacing w:line="360" w:lineRule="auto"/>
        <w:ind w:firstLineChars="200" w:firstLine="480"/>
        <w:rPr>
          <w:rFonts w:ascii="宋体" w:hAnsi="宋体"/>
          <w:sz w:val="24"/>
        </w:rPr>
      </w:pPr>
      <w:r>
        <w:rPr>
          <w:rFonts w:ascii="宋体" w:hAnsi="宋体" w:hint="eastAsia"/>
          <w:sz w:val="24"/>
        </w:rPr>
        <w:t>10月份企业产成品库存再次出现快速回升，原材料库存进一步下降。在国际大宗商品价格上涨乏力的情况下，企业原材料购进动力较低，产成品销售</w:t>
      </w:r>
      <w:proofErr w:type="gramStart"/>
      <w:r>
        <w:rPr>
          <w:rFonts w:ascii="宋体" w:hAnsi="宋体" w:hint="eastAsia"/>
          <w:sz w:val="24"/>
        </w:rPr>
        <w:t>端出现</w:t>
      </w:r>
      <w:proofErr w:type="gramEnd"/>
      <w:r>
        <w:rPr>
          <w:rFonts w:ascii="宋体" w:hAnsi="宋体" w:hint="eastAsia"/>
          <w:sz w:val="24"/>
        </w:rPr>
        <w:t>一定放缓也进一步抑制企业原材料采购需求。</w:t>
      </w:r>
    </w:p>
    <w:p w:rsidR="00CB458A" w:rsidRPr="00400A2B" w:rsidRDefault="00CB458A" w:rsidP="00CB458A">
      <w:pPr>
        <w:spacing w:line="360" w:lineRule="auto"/>
        <w:jc w:val="center"/>
        <w:rPr>
          <w:rFonts w:ascii="Times New Roman" w:hAnsi="Times New Roman"/>
          <w:b/>
          <w:szCs w:val="21"/>
        </w:rPr>
      </w:pPr>
      <w:r w:rsidRPr="00477DD1">
        <w:rPr>
          <w:rFonts w:ascii="Times New Roman" w:hAnsi="Times New Roman" w:hint="eastAsia"/>
          <w:b/>
          <w:szCs w:val="21"/>
        </w:rPr>
        <w:t>图</w:t>
      </w:r>
      <w:r w:rsidR="00866477">
        <w:rPr>
          <w:rFonts w:ascii="Times New Roman" w:hAnsi="Times New Roman" w:hint="eastAsia"/>
          <w:b/>
          <w:szCs w:val="21"/>
        </w:rPr>
        <w:t>6</w:t>
      </w:r>
      <w:r w:rsidRPr="00477DD1">
        <w:rPr>
          <w:rFonts w:ascii="Times New Roman" w:hAnsi="Times New Roman" w:hint="eastAsia"/>
          <w:b/>
          <w:szCs w:val="21"/>
        </w:rPr>
        <w:t>：</w:t>
      </w:r>
      <w:r>
        <w:rPr>
          <w:rFonts w:ascii="Times New Roman" w:hAnsi="Times New Roman" w:hint="eastAsia"/>
          <w:b/>
          <w:szCs w:val="21"/>
        </w:rPr>
        <w:t>企业库存情况</w:t>
      </w:r>
    </w:p>
    <w:p w:rsidR="00CB458A" w:rsidRDefault="00CB458A" w:rsidP="00CB458A">
      <w:pPr>
        <w:jc w:val="center"/>
        <w:rPr>
          <w:noProof/>
        </w:rPr>
      </w:pPr>
      <w:r>
        <w:rPr>
          <w:noProof/>
        </w:rPr>
        <w:lastRenderedPageBreak/>
        <w:drawing>
          <wp:inline distT="0" distB="0" distL="0" distR="0">
            <wp:extent cx="4457700" cy="316992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7700" cy="3169920"/>
                    </a:xfrm>
                    <a:prstGeom prst="rect">
                      <a:avLst/>
                    </a:prstGeom>
                    <a:noFill/>
                    <a:ln>
                      <a:noFill/>
                    </a:ln>
                  </pic:spPr>
                </pic:pic>
              </a:graphicData>
            </a:graphic>
          </wp:inline>
        </w:drawing>
      </w:r>
    </w:p>
    <w:p w:rsidR="00CB458A" w:rsidRPr="00C86AAA" w:rsidRDefault="00CB458A" w:rsidP="00CB458A">
      <w:pPr>
        <w:spacing w:line="360" w:lineRule="auto"/>
        <w:ind w:leftChars="-270" w:left="-567" w:rightChars="-108" w:right="-227"/>
        <w:jc w:val="center"/>
        <w:rPr>
          <w:rFonts w:ascii="Times New Roman" w:hAnsi="Times New Roman"/>
          <w:b/>
          <w:szCs w:val="21"/>
        </w:rPr>
      </w:pPr>
      <w:r w:rsidRPr="00477DD1">
        <w:rPr>
          <w:rFonts w:ascii="Times New Roman" w:hAnsi="Times New Roman"/>
          <w:b/>
          <w:szCs w:val="21"/>
        </w:rPr>
        <w:t>资料来源：</w:t>
      </w:r>
      <w:r>
        <w:rPr>
          <w:rFonts w:ascii="Times New Roman" w:hAnsi="Times New Roman" w:hint="eastAsia"/>
          <w:b/>
          <w:szCs w:val="21"/>
        </w:rPr>
        <w:t>Wind</w:t>
      </w:r>
      <w:r>
        <w:rPr>
          <w:rFonts w:ascii="Times New Roman" w:hAnsi="Times New Roman" w:hint="eastAsia"/>
          <w:b/>
          <w:szCs w:val="21"/>
        </w:rPr>
        <w:t>资讯</w:t>
      </w:r>
      <w:r w:rsidRPr="00477DD1">
        <w:rPr>
          <w:rFonts w:ascii="Times New Roman" w:hAnsi="Times New Roman"/>
          <w:b/>
          <w:szCs w:val="21"/>
        </w:rPr>
        <w:t>、</w:t>
      </w:r>
      <w:r>
        <w:rPr>
          <w:rFonts w:ascii="Times New Roman" w:hAnsi="Times New Roman" w:hint="eastAsia"/>
          <w:b/>
          <w:szCs w:val="21"/>
        </w:rPr>
        <w:t>方正</w:t>
      </w:r>
      <w:r>
        <w:rPr>
          <w:rFonts w:ascii="Times New Roman" w:hAnsi="Times New Roman"/>
          <w:b/>
          <w:szCs w:val="21"/>
        </w:rPr>
        <w:t>中期期货研究院</w:t>
      </w:r>
      <w:r w:rsidRPr="00477DD1">
        <w:rPr>
          <w:rFonts w:ascii="Times New Roman" w:hAnsi="Times New Roman" w:hint="eastAsia"/>
          <w:b/>
          <w:szCs w:val="21"/>
        </w:rPr>
        <w:t>整理</w:t>
      </w:r>
    </w:p>
    <w:p w:rsidR="00CB458A" w:rsidRPr="0064642A" w:rsidRDefault="0064642A" w:rsidP="0064642A">
      <w:pPr>
        <w:rPr>
          <w:b/>
          <w:sz w:val="28"/>
          <w:szCs w:val="28"/>
        </w:rPr>
      </w:pPr>
      <w:r>
        <w:rPr>
          <w:rFonts w:hint="eastAsia"/>
          <w:b/>
          <w:sz w:val="28"/>
          <w:szCs w:val="28"/>
        </w:rPr>
        <w:t>二、</w:t>
      </w:r>
      <w:r w:rsidR="00CB458A" w:rsidRPr="0064642A">
        <w:rPr>
          <w:rFonts w:hint="eastAsia"/>
          <w:b/>
          <w:sz w:val="28"/>
          <w:szCs w:val="28"/>
        </w:rPr>
        <w:t>黑色</w:t>
      </w:r>
      <w:proofErr w:type="gramStart"/>
      <w:r w:rsidR="00CB458A" w:rsidRPr="0064642A">
        <w:rPr>
          <w:rFonts w:hint="eastAsia"/>
          <w:b/>
          <w:sz w:val="28"/>
          <w:szCs w:val="28"/>
        </w:rPr>
        <w:t>产业链仍处于</w:t>
      </w:r>
      <w:proofErr w:type="gramEnd"/>
      <w:r w:rsidR="00CB458A" w:rsidRPr="0064642A">
        <w:rPr>
          <w:rFonts w:hint="eastAsia"/>
          <w:b/>
          <w:sz w:val="28"/>
          <w:szCs w:val="28"/>
        </w:rPr>
        <w:t>产能过剩的去库存阶段</w:t>
      </w:r>
    </w:p>
    <w:p w:rsidR="00CB458A" w:rsidRPr="00CB458A" w:rsidRDefault="00CB458A" w:rsidP="00CB458A">
      <w:pPr>
        <w:spacing w:line="360" w:lineRule="auto"/>
        <w:ind w:firstLineChars="200" w:firstLine="480"/>
        <w:rPr>
          <w:rFonts w:ascii="宋体" w:hAnsi="宋体"/>
          <w:sz w:val="24"/>
        </w:rPr>
      </w:pPr>
      <w:r w:rsidRPr="00CB458A">
        <w:rPr>
          <w:rFonts w:ascii="宋体" w:hAnsi="宋体" w:hint="eastAsia"/>
          <w:sz w:val="24"/>
        </w:rPr>
        <w:t>由于黑色产业处于产能过剩，去库存周期调整过程中，今年以来黑色品种持续下行寻底。进入传统旺季9月，黑色品种的跌势也并没有改变。随着经济下行压力的增大，10月到11月政府“托底”意图明显，政策刺激不断。“二套房新政”“铁路项目投资提速”“各种自贸区”“丝绸之路”</w:t>
      </w:r>
      <w:r w:rsidRPr="00CB458A">
        <w:rPr>
          <w:rFonts w:ascii="宋体" w:hAnsi="宋体"/>
          <w:sz w:val="24"/>
        </w:rPr>
        <w:t>……等等题材不断</w:t>
      </w:r>
      <w:r w:rsidRPr="00CB458A">
        <w:rPr>
          <w:rFonts w:ascii="宋体" w:hAnsi="宋体" w:hint="eastAsia"/>
          <w:sz w:val="24"/>
        </w:rPr>
        <w:t>，</w:t>
      </w:r>
      <w:r w:rsidRPr="00CB458A">
        <w:rPr>
          <w:rFonts w:ascii="宋体" w:hAnsi="宋体"/>
          <w:sz w:val="24"/>
        </w:rPr>
        <w:t>政策的轮番上阵也使得股市不断刷新高点</w:t>
      </w:r>
      <w:r w:rsidRPr="00CB458A">
        <w:rPr>
          <w:rFonts w:ascii="宋体" w:hAnsi="宋体" w:hint="eastAsia"/>
          <w:sz w:val="24"/>
        </w:rPr>
        <w:t>，</w:t>
      </w:r>
      <w:r w:rsidRPr="00CB458A">
        <w:rPr>
          <w:rFonts w:ascii="宋体" w:hAnsi="宋体"/>
          <w:sz w:val="24"/>
        </w:rPr>
        <w:t>市场做多热情高涨</w:t>
      </w:r>
      <w:r w:rsidRPr="00CB458A">
        <w:rPr>
          <w:rFonts w:ascii="宋体" w:hAnsi="宋体" w:hint="eastAsia"/>
          <w:sz w:val="24"/>
        </w:rPr>
        <w:t>。</w:t>
      </w:r>
      <w:r w:rsidRPr="00CB458A">
        <w:rPr>
          <w:rFonts w:ascii="宋体" w:hAnsi="宋体"/>
          <w:sz w:val="24"/>
        </w:rPr>
        <w:t>受其鼓舞</w:t>
      </w:r>
      <w:r w:rsidRPr="00CB458A">
        <w:rPr>
          <w:rFonts w:ascii="宋体" w:hAnsi="宋体" w:hint="eastAsia"/>
          <w:sz w:val="24"/>
        </w:rPr>
        <w:t>，10月后黑色品种跌幅明显放缓，且在“APEC会议限产”题材的带动下，黑色品种起底反弹。但天气变冷黑色系终端实际需求持续减弱，叠加去库存周期，在经济环境没有明显起</w:t>
      </w:r>
      <w:proofErr w:type="gramStart"/>
      <w:r w:rsidRPr="00CB458A">
        <w:rPr>
          <w:rFonts w:ascii="宋体" w:hAnsi="宋体" w:hint="eastAsia"/>
          <w:sz w:val="24"/>
        </w:rPr>
        <w:t>底恢复</w:t>
      </w:r>
      <w:proofErr w:type="gramEnd"/>
      <w:r w:rsidRPr="00CB458A">
        <w:rPr>
          <w:rFonts w:ascii="宋体" w:hAnsi="宋体" w:hint="eastAsia"/>
          <w:sz w:val="24"/>
        </w:rPr>
        <w:t>或者行业经历新一轮洗牌之前，产能过剩去库存周期仍然是主题。</w:t>
      </w:r>
      <w:r w:rsidR="0064642A">
        <w:rPr>
          <w:rFonts w:ascii="宋体" w:hAnsi="宋体" w:hint="eastAsia"/>
          <w:sz w:val="24"/>
        </w:rPr>
        <w:t>焦煤焦炭期货价格</w:t>
      </w:r>
      <w:proofErr w:type="gramStart"/>
      <w:r w:rsidR="0064642A">
        <w:rPr>
          <w:rFonts w:ascii="宋体" w:hAnsi="宋体" w:hint="eastAsia"/>
          <w:sz w:val="24"/>
        </w:rPr>
        <w:t>料长期</w:t>
      </w:r>
      <w:proofErr w:type="gramEnd"/>
      <w:r w:rsidR="0064642A">
        <w:rPr>
          <w:rFonts w:ascii="宋体" w:hAnsi="宋体" w:hint="eastAsia"/>
          <w:sz w:val="24"/>
        </w:rPr>
        <w:t>维持底部区间的震荡整理</w:t>
      </w:r>
      <w:r w:rsidRPr="00CB458A">
        <w:rPr>
          <w:rFonts w:ascii="宋体" w:hAnsi="宋体" w:hint="eastAsia"/>
          <w:sz w:val="24"/>
        </w:rPr>
        <w:t>。</w:t>
      </w:r>
    </w:p>
    <w:p w:rsidR="0064642A" w:rsidRPr="002603BF" w:rsidRDefault="0064642A" w:rsidP="0064642A">
      <w:pPr>
        <w:spacing w:before="100" w:beforeAutospacing="1" w:after="100" w:afterAutospacing="1"/>
        <w:rPr>
          <w:rFonts w:ascii="新宋体" w:eastAsia="新宋体" w:hAnsi="新宋体"/>
          <w:b/>
          <w:color w:val="000000" w:themeColor="text1"/>
          <w:szCs w:val="21"/>
        </w:rPr>
      </w:pPr>
      <w:r>
        <w:rPr>
          <w:rFonts w:ascii="新宋体" w:eastAsia="新宋体" w:hAnsi="新宋体" w:hint="eastAsia"/>
          <w:b/>
          <w:color w:val="000000" w:themeColor="text1"/>
          <w:szCs w:val="21"/>
        </w:rPr>
        <w:t>1、</w:t>
      </w:r>
      <w:r w:rsidRPr="002603BF">
        <w:rPr>
          <w:rFonts w:ascii="新宋体" w:eastAsia="新宋体" w:hAnsi="新宋体"/>
          <w:b/>
          <w:color w:val="000000" w:themeColor="text1"/>
          <w:szCs w:val="21"/>
        </w:rPr>
        <w:t>焦煤仍处探底阶段</w:t>
      </w:r>
    </w:p>
    <w:p w:rsidR="0064642A" w:rsidRPr="0064642A" w:rsidRDefault="0064642A" w:rsidP="0064642A">
      <w:pPr>
        <w:spacing w:line="360" w:lineRule="auto"/>
        <w:ind w:firstLineChars="200" w:firstLine="480"/>
        <w:rPr>
          <w:rFonts w:ascii="宋体" w:hAnsi="宋体"/>
          <w:sz w:val="24"/>
        </w:rPr>
      </w:pPr>
      <w:r w:rsidRPr="0064642A">
        <w:rPr>
          <w:rFonts w:ascii="宋体" w:hAnsi="宋体" w:hint="eastAsia"/>
          <w:sz w:val="24"/>
        </w:rPr>
        <w:t>2014年以来由于</w:t>
      </w:r>
      <w:proofErr w:type="gramStart"/>
      <w:r w:rsidRPr="0064642A">
        <w:rPr>
          <w:rFonts w:ascii="宋体" w:hAnsi="宋体" w:hint="eastAsia"/>
          <w:sz w:val="24"/>
        </w:rPr>
        <w:t>进口煤有较大</w:t>
      </w:r>
      <w:proofErr w:type="gramEnd"/>
      <w:r w:rsidRPr="0064642A">
        <w:rPr>
          <w:rFonts w:ascii="宋体" w:hAnsi="宋体" w:hint="eastAsia"/>
          <w:sz w:val="24"/>
        </w:rPr>
        <w:t>的价格优势，对国内煤炭市场的影响非常明显。但由于今年以来钢材市场的过剩，价格的走低，导致炼焦煤进口量同比下降明显。中国海关总署公布的数据显示，9月煤及褐煤进口2116万吨，环比增长12.2%，同比下降17.8%，中国进口煤炭量已连续3个月同比</w:t>
      </w:r>
      <w:proofErr w:type="gramStart"/>
      <w:r w:rsidRPr="0064642A">
        <w:rPr>
          <w:rFonts w:ascii="宋体" w:hAnsi="宋体" w:hint="eastAsia"/>
          <w:sz w:val="24"/>
        </w:rPr>
        <w:t>降幅超</w:t>
      </w:r>
      <w:proofErr w:type="gramEnd"/>
      <w:r w:rsidRPr="0064642A">
        <w:rPr>
          <w:rFonts w:ascii="宋体" w:hAnsi="宋体" w:hint="eastAsia"/>
          <w:sz w:val="24"/>
        </w:rPr>
        <w:t>两成：其中炼焦煤进口450.1万吨，同比下降37.94%；1-9月我国累计进口炼焦煤4433.1</w:t>
      </w:r>
      <w:r w:rsidRPr="0064642A">
        <w:rPr>
          <w:rFonts w:ascii="宋体" w:hAnsi="宋体" w:hint="eastAsia"/>
          <w:sz w:val="24"/>
        </w:rPr>
        <w:lastRenderedPageBreak/>
        <w:t>万吨，同比降幅为19%。9月份全国煤炭出口44万吨，同比减少1万吨，减幅2.2%；环比减少5万吨，减幅10.2%；1—9月份累计出口437万吨，同比减少183万吨，减幅29.5%。随着10月煤炭进口关税政策的调整，煤炭进口的量将继续缩减，基于此政策的影响。</w:t>
      </w:r>
    </w:p>
    <w:p w:rsidR="0064642A" w:rsidRPr="0064642A" w:rsidRDefault="0064642A" w:rsidP="0064642A">
      <w:pPr>
        <w:spacing w:line="360" w:lineRule="auto"/>
        <w:ind w:leftChars="-270" w:left="-567" w:rightChars="-108" w:right="-227"/>
        <w:jc w:val="center"/>
        <w:rPr>
          <w:rFonts w:ascii="Times New Roman" w:hAnsi="Times New Roman"/>
          <w:b/>
          <w:szCs w:val="21"/>
        </w:rPr>
      </w:pPr>
      <w:r w:rsidRPr="0064642A">
        <w:rPr>
          <w:rFonts w:ascii="Times New Roman" w:hAnsi="Times New Roman" w:hint="eastAsia"/>
          <w:b/>
          <w:szCs w:val="21"/>
        </w:rPr>
        <w:t>图</w:t>
      </w:r>
      <w:r>
        <w:rPr>
          <w:rFonts w:ascii="Times New Roman" w:hAnsi="Times New Roman" w:hint="eastAsia"/>
          <w:b/>
          <w:szCs w:val="21"/>
        </w:rPr>
        <w:t>7</w:t>
      </w:r>
      <w:r w:rsidRPr="0064642A">
        <w:rPr>
          <w:rFonts w:ascii="Times New Roman" w:hAnsi="Times New Roman" w:hint="eastAsia"/>
          <w:b/>
          <w:szCs w:val="21"/>
        </w:rPr>
        <w:t>：原煤净进口量及出口、进口均价走势</w:t>
      </w:r>
      <w:r w:rsidRPr="0064642A">
        <w:rPr>
          <w:rFonts w:ascii="Times New Roman" w:hAnsi="Times New Roman"/>
          <w:b/>
          <w:szCs w:val="21"/>
        </w:rPr>
        <w:tab/>
      </w:r>
    </w:p>
    <w:p w:rsidR="0064642A" w:rsidRDefault="0064642A" w:rsidP="0064642A">
      <w:pPr>
        <w:jc w:val="center"/>
      </w:pPr>
      <w:r>
        <w:rPr>
          <w:noProof/>
        </w:rPr>
        <w:drawing>
          <wp:inline distT="0" distB="0" distL="0" distR="0" wp14:anchorId="27D1DE3F" wp14:editId="3947D24E">
            <wp:extent cx="4320000" cy="2520000"/>
            <wp:effectExtent l="0" t="0" r="4445" b="0"/>
            <wp:docPr id="8" name="图片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表 5"/>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20000" cy="2520000"/>
                    </a:xfrm>
                    <a:prstGeom prst="rect">
                      <a:avLst/>
                    </a:prstGeom>
                    <a:noFill/>
                    <a:ln>
                      <a:noFill/>
                    </a:ln>
                  </pic:spPr>
                </pic:pic>
              </a:graphicData>
            </a:graphic>
          </wp:inline>
        </w:drawing>
      </w:r>
    </w:p>
    <w:p w:rsidR="0064642A" w:rsidRPr="0064642A" w:rsidRDefault="0064642A" w:rsidP="0064642A">
      <w:pPr>
        <w:spacing w:line="360" w:lineRule="auto"/>
        <w:ind w:leftChars="-270" w:left="-567" w:rightChars="-108" w:right="-227"/>
        <w:jc w:val="center"/>
        <w:rPr>
          <w:rFonts w:ascii="Times New Roman" w:hAnsi="Times New Roman"/>
          <w:b/>
          <w:szCs w:val="21"/>
        </w:rPr>
      </w:pPr>
      <w:r w:rsidRPr="0064642A">
        <w:rPr>
          <w:rFonts w:ascii="Times New Roman" w:hAnsi="Times New Roman" w:hint="eastAsia"/>
          <w:b/>
          <w:szCs w:val="21"/>
        </w:rPr>
        <w:t>数据来源：海关总署、方正中期期货研究院整理</w:t>
      </w:r>
    </w:p>
    <w:p w:rsidR="0064642A" w:rsidRPr="0064642A" w:rsidRDefault="0064642A" w:rsidP="0064642A">
      <w:pPr>
        <w:spacing w:line="360" w:lineRule="auto"/>
        <w:ind w:leftChars="-270" w:left="-567" w:rightChars="-108" w:right="-227"/>
        <w:jc w:val="center"/>
        <w:rPr>
          <w:rFonts w:ascii="Times New Roman" w:hAnsi="Times New Roman"/>
          <w:b/>
          <w:szCs w:val="21"/>
        </w:rPr>
      </w:pPr>
      <w:r w:rsidRPr="0064642A">
        <w:rPr>
          <w:rFonts w:ascii="Times New Roman" w:hAnsi="Times New Roman" w:hint="eastAsia"/>
          <w:b/>
          <w:szCs w:val="21"/>
        </w:rPr>
        <w:t>图</w:t>
      </w:r>
      <w:r>
        <w:rPr>
          <w:rFonts w:ascii="Times New Roman" w:hAnsi="Times New Roman" w:hint="eastAsia"/>
          <w:b/>
          <w:szCs w:val="21"/>
        </w:rPr>
        <w:t>8</w:t>
      </w:r>
      <w:r w:rsidRPr="0064642A">
        <w:rPr>
          <w:rFonts w:ascii="Times New Roman" w:hAnsi="Times New Roman" w:hint="eastAsia"/>
          <w:b/>
          <w:szCs w:val="21"/>
        </w:rPr>
        <w:t>：冶金煤净进口量及出口、进口均价走势</w:t>
      </w:r>
    </w:p>
    <w:p w:rsidR="0064642A" w:rsidRDefault="0064642A" w:rsidP="0064642A">
      <w:pPr>
        <w:jc w:val="center"/>
      </w:pPr>
      <w:r>
        <w:rPr>
          <w:noProof/>
        </w:rPr>
        <w:drawing>
          <wp:inline distT="0" distB="0" distL="0" distR="0" wp14:anchorId="135BD5C0" wp14:editId="4523F14E">
            <wp:extent cx="4320000" cy="2520000"/>
            <wp:effectExtent l="0" t="0" r="4445" b="0"/>
            <wp:docPr id="14" name="图片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表 6"/>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20000" cy="2520000"/>
                    </a:xfrm>
                    <a:prstGeom prst="rect">
                      <a:avLst/>
                    </a:prstGeom>
                    <a:noFill/>
                    <a:ln>
                      <a:noFill/>
                    </a:ln>
                  </pic:spPr>
                </pic:pic>
              </a:graphicData>
            </a:graphic>
          </wp:inline>
        </w:drawing>
      </w:r>
    </w:p>
    <w:p w:rsidR="0064642A" w:rsidRPr="0064642A" w:rsidRDefault="0064642A" w:rsidP="0064642A">
      <w:pPr>
        <w:spacing w:line="360" w:lineRule="auto"/>
        <w:ind w:leftChars="-270" w:left="-567" w:rightChars="-108" w:right="-227"/>
        <w:jc w:val="center"/>
        <w:rPr>
          <w:rFonts w:ascii="Times New Roman" w:hAnsi="Times New Roman"/>
          <w:b/>
          <w:szCs w:val="21"/>
        </w:rPr>
      </w:pPr>
      <w:r w:rsidRPr="0064642A">
        <w:rPr>
          <w:rFonts w:ascii="Times New Roman" w:hAnsi="Times New Roman" w:hint="eastAsia"/>
          <w:b/>
          <w:szCs w:val="21"/>
        </w:rPr>
        <w:t>数据来源：海关总署、方正中期期货研究院整理</w:t>
      </w:r>
    </w:p>
    <w:p w:rsidR="0064642A" w:rsidRDefault="0064642A" w:rsidP="0064642A"/>
    <w:p w:rsidR="0064642A" w:rsidRPr="002603BF" w:rsidRDefault="0064642A" w:rsidP="0064642A">
      <w:pPr>
        <w:spacing w:before="100" w:beforeAutospacing="1" w:after="100" w:afterAutospacing="1"/>
        <w:rPr>
          <w:rFonts w:ascii="新宋体" w:eastAsia="新宋体" w:hAnsi="新宋体"/>
          <w:b/>
          <w:color w:val="000000" w:themeColor="text1"/>
          <w:szCs w:val="21"/>
        </w:rPr>
      </w:pPr>
      <w:r>
        <w:rPr>
          <w:rFonts w:ascii="新宋体" w:eastAsia="新宋体" w:hAnsi="新宋体" w:hint="eastAsia"/>
          <w:b/>
          <w:color w:val="000000" w:themeColor="text1"/>
          <w:szCs w:val="21"/>
        </w:rPr>
        <w:t>（</w:t>
      </w:r>
      <w:r>
        <w:rPr>
          <w:rFonts w:ascii="新宋体" w:eastAsia="新宋体" w:hAnsi="新宋体" w:hint="eastAsia"/>
          <w:b/>
          <w:color w:val="000000" w:themeColor="text1"/>
          <w:szCs w:val="21"/>
        </w:rPr>
        <w:t>1</w:t>
      </w:r>
      <w:r>
        <w:rPr>
          <w:rFonts w:ascii="新宋体" w:eastAsia="新宋体" w:hAnsi="新宋体" w:hint="eastAsia"/>
          <w:b/>
          <w:color w:val="000000" w:themeColor="text1"/>
          <w:szCs w:val="21"/>
        </w:rPr>
        <w:t>）</w:t>
      </w:r>
      <w:r w:rsidRPr="002603BF">
        <w:rPr>
          <w:rFonts w:ascii="新宋体" w:eastAsia="新宋体" w:hAnsi="新宋体" w:hint="eastAsia"/>
          <w:b/>
          <w:color w:val="000000" w:themeColor="text1"/>
          <w:szCs w:val="21"/>
        </w:rPr>
        <w:t>9月煤炭</w:t>
      </w:r>
      <w:proofErr w:type="gramStart"/>
      <w:r w:rsidRPr="002603BF">
        <w:rPr>
          <w:rFonts w:ascii="新宋体" w:eastAsia="新宋体" w:hAnsi="新宋体" w:hint="eastAsia"/>
          <w:b/>
          <w:color w:val="000000" w:themeColor="text1"/>
          <w:szCs w:val="21"/>
        </w:rPr>
        <w:t>产销量环比</w:t>
      </w:r>
      <w:proofErr w:type="gramEnd"/>
      <w:r w:rsidRPr="002603BF">
        <w:rPr>
          <w:rFonts w:ascii="新宋体" w:eastAsia="新宋体" w:hAnsi="新宋体" w:hint="eastAsia"/>
          <w:b/>
          <w:color w:val="000000" w:themeColor="text1"/>
          <w:szCs w:val="21"/>
        </w:rPr>
        <w:t>均下降行业景气度有望好转</w:t>
      </w:r>
    </w:p>
    <w:p w:rsidR="0064642A" w:rsidRPr="0064642A" w:rsidRDefault="0064642A" w:rsidP="0064642A">
      <w:pPr>
        <w:spacing w:line="360" w:lineRule="auto"/>
        <w:ind w:firstLineChars="200" w:firstLine="480"/>
        <w:rPr>
          <w:rFonts w:ascii="宋体" w:hAnsi="宋体"/>
          <w:sz w:val="24"/>
        </w:rPr>
      </w:pPr>
      <w:r w:rsidRPr="0064642A">
        <w:rPr>
          <w:rFonts w:ascii="宋体" w:hAnsi="宋体" w:hint="eastAsia"/>
          <w:sz w:val="24"/>
        </w:rPr>
        <w:t>国家统计局最新数据显示，2014年9月全国原煤产量29200万吨，同比大幅缩减2300万吨，降幅为7.3%，环比减少1000万吨，降幅为3.31%，其中国有</w:t>
      </w:r>
      <w:r w:rsidRPr="0064642A">
        <w:rPr>
          <w:rFonts w:ascii="宋体" w:hAnsi="宋体" w:hint="eastAsia"/>
          <w:sz w:val="24"/>
        </w:rPr>
        <w:lastRenderedPageBreak/>
        <w:t>重点煤矿单月降幅达12%，政策减产效应较明显，生产方面有所控制；炼焦精煤产量4830万吨，环比增幅为-0.81%，累计同比0.48%，炼焦煤总供给量为5280.18万吨，同比-5.54%，环比0.5%；炼焦煤总需求量5277.8万吨，同比增长-2.29%，环比-0.56%，市场供应略显宽松，供需面基本平衡；整体看，前三季度，煤炭市场延续自去年底以来的下降态势，需求低速增长，煤炭总产量负增长，第四季度受政策调控、内外贸价差缩小、季节性因素、终端冬储需求等影响，煤炭供应量同比将缓慢回缩。</w:t>
      </w:r>
    </w:p>
    <w:p w:rsidR="0064642A" w:rsidRPr="0064642A" w:rsidRDefault="0064642A" w:rsidP="0064642A">
      <w:pPr>
        <w:spacing w:line="360" w:lineRule="auto"/>
        <w:ind w:firstLineChars="200" w:firstLine="480"/>
        <w:rPr>
          <w:rFonts w:ascii="宋体" w:hAnsi="宋体"/>
          <w:sz w:val="24"/>
        </w:rPr>
      </w:pPr>
      <w:r w:rsidRPr="0064642A">
        <w:rPr>
          <w:rFonts w:ascii="宋体" w:hAnsi="宋体" w:hint="eastAsia"/>
          <w:sz w:val="24"/>
        </w:rPr>
        <w:t>投资继续低迷。根据统计局公布的2014年1-9月份，煤炭开采和</w:t>
      </w:r>
      <w:proofErr w:type="gramStart"/>
      <w:r w:rsidRPr="0064642A">
        <w:rPr>
          <w:rFonts w:ascii="宋体" w:hAnsi="宋体" w:hint="eastAsia"/>
          <w:sz w:val="24"/>
        </w:rPr>
        <w:t>洗选业</w:t>
      </w:r>
      <w:proofErr w:type="gramEnd"/>
      <w:r w:rsidRPr="0064642A">
        <w:rPr>
          <w:rFonts w:ascii="宋体" w:hAnsi="宋体" w:hint="eastAsia"/>
          <w:sz w:val="24"/>
        </w:rPr>
        <w:t>固定资产投资累计为3559亿元，同比下降-3.8％。对于涉及煤炭开采以及洗选的企业来说，国家对整体煤炭行业的固定资产投资完成额是表示其对这个行业固定资产投资规模、速度、比例和使用方向的一个重要指标。持续下降显示了国家对该行业的调整的方向。这也意味着产能的增加将受到更大的限制。</w:t>
      </w:r>
    </w:p>
    <w:p w:rsidR="0064642A" w:rsidRPr="0064642A" w:rsidRDefault="0064642A" w:rsidP="0064642A">
      <w:pPr>
        <w:spacing w:line="360" w:lineRule="auto"/>
        <w:ind w:leftChars="-270" w:left="-567" w:rightChars="-108" w:right="-227"/>
        <w:jc w:val="center"/>
        <w:rPr>
          <w:rFonts w:ascii="Times New Roman" w:hAnsi="Times New Roman"/>
          <w:b/>
          <w:szCs w:val="21"/>
        </w:rPr>
      </w:pPr>
      <w:r w:rsidRPr="0064642A">
        <w:rPr>
          <w:rFonts w:ascii="Times New Roman" w:hAnsi="Times New Roman" w:hint="eastAsia"/>
          <w:b/>
          <w:szCs w:val="21"/>
        </w:rPr>
        <w:t>图</w:t>
      </w:r>
      <w:r>
        <w:rPr>
          <w:rFonts w:ascii="Times New Roman" w:hAnsi="Times New Roman" w:hint="eastAsia"/>
          <w:b/>
          <w:szCs w:val="21"/>
        </w:rPr>
        <w:t>9</w:t>
      </w:r>
      <w:r w:rsidRPr="0064642A">
        <w:rPr>
          <w:rFonts w:ascii="Times New Roman" w:hAnsi="Times New Roman" w:hint="eastAsia"/>
          <w:b/>
          <w:szCs w:val="21"/>
        </w:rPr>
        <w:t>：全国原煤产量与同比走势</w:t>
      </w:r>
    </w:p>
    <w:p w:rsidR="0064642A" w:rsidRDefault="0064642A" w:rsidP="0064642A">
      <w:pPr>
        <w:jc w:val="center"/>
      </w:pPr>
      <w:r>
        <w:rPr>
          <w:noProof/>
        </w:rPr>
        <w:drawing>
          <wp:inline distT="0" distB="0" distL="0" distR="0" wp14:anchorId="0EED0CEA" wp14:editId="37151CBD">
            <wp:extent cx="4305300" cy="2346960"/>
            <wp:effectExtent l="0" t="0" r="0" b="0"/>
            <wp:docPr id="18" name="图片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表 3"/>
                    <pic:cNvPicPr>
                      <a:picLocks noChangeArrowheads="1"/>
                    </pic:cNvPicPr>
                  </pic:nvPicPr>
                  <pic:blipFill>
                    <a:blip r:embed="rId16">
                      <a:extLst>
                        <a:ext uri="{28A0092B-C50C-407E-A947-70E740481C1C}">
                          <a14:useLocalDpi xmlns:a14="http://schemas.microsoft.com/office/drawing/2010/main" val="0"/>
                        </a:ext>
                      </a:extLst>
                    </a:blip>
                    <a:srcRect l="-1324" t="-5164" r="-2151" b="-5434"/>
                    <a:stretch>
                      <a:fillRect/>
                    </a:stretch>
                  </pic:blipFill>
                  <pic:spPr bwMode="auto">
                    <a:xfrm>
                      <a:off x="0" y="0"/>
                      <a:ext cx="4305300" cy="2346960"/>
                    </a:xfrm>
                    <a:prstGeom prst="rect">
                      <a:avLst/>
                    </a:prstGeom>
                    <a:noFill/>
                    <a:ln>
                      <a:noFill/>
                    </a:ln>
                  </pic:spPr>
                </pic:pic>
              </a:graphicData>
            </a:graphic>
          </wp:inline>
        </w:drawing>
      </w:r>
    </w:p>
    <w:p w:rsidR="0064642A" w:rsidRPr="0064642A" w:rsidRDefault="0064642A" w:rsidP="0064642A">
      <w:pPr>
        <w:spacing w:line="360" w:lineRule="auto"/>
        <w:ind w:leftChars="-270" w:left="-567" w:rightChars="-108" w:right="-227"/>
        <w:jc w:val="center"/>
        <w:rPr>
          <w:rFonts w:ascii="Times New Roman" w:hAnsi="Times New Roman"/>
          <w:b/>
          <w:szCs w:val="21"/>
        </w:rPr>
      </w:pPr>
      <w:r w:rsidRPr="0064642A">
        <w:rPr>
          <w:rFonts w:ascii="Times New Roman" w:hAnsi="Times New Roman" w:hint="eastAsia"/>
          <w:b/>
          <w:szCs w:val="21"/>
        </w:rPr>
        <w:t>数据来源：</w:t>
      </w:r>
      <w:proofErr w:type="spellStart"/>
      <w:r w:rsidRPr="0064642A">
        <w:rPr>
          <w:rFonts w:ascii="Times New Roman" w:hAnsi="Times New Roman" w:hint="eastAsia"/>
          <w:b/>
          <w:szCs w:val="21"/>
        </w:rPr>
        <w:t>sxcoal</w:t>
      </w:r>
      <w:proofErr w:type="spellEnd"/>
      <w:r w:rsidRPr="0064642A">
        <w:rPr>
          <w:rFonts w:ascii="Times New Roman" w:hAnsi="Times New Roman" w:hint="eastAsia"/>
          <w:b/>
          <w:szCs w:val="21"/>
        </w:rPr>
        <w:t>、方正中期期货研究院整理</w:t>
      </w:r>
    </w:p>
    <w:p w:rsidR="0064642A" w:rsidRPr="0064642A" w:rsidRDefault="0064642A" w:rsidP="0064642A">
      <w:pPr>
        <w:spacing w:line="360" w:lineRule="auto"/>
        <w:ind w:leftChars="-270" w:left="-567" w:rightChars="-108" w:right="-227"/>
        <w:jc w:val="center"/>
        <w:rPr>
          <w:rFonts w:ascii="Times New Roman" w:hAnsi="Times New Roman"/>
          <w:b/>
          <w:szCs w:val="21"/>
        </w:rPr>
      </w:pPr>
      <w:r w:rsidRPr="0064642A">
        <w:rPr>
          <w:rFonts w:ascii="Times New Roman" w:hAnsi="Times New Roman" w:hint="eastAsia"/>
          <w:b/>
          <w:szCs w:val="21"/>
        </w:rPr>
        <w:t>图</w:t>
      </w:r>
      <w:r>
        <w:rPr>
          <w:rFonts w:ascii="Times New Roman" w:hAnsi="Times New Roman" w:hint="eastAsia"/>
          <w:b/>
          <w:szCs w:val="21"/>
        </w:rPr>
        <w:t>10</w:t>
      </w:r>
      <w:r w:rsidRPr="0064642A">
        <w:rPr>
          <w:rFonts w:ascii="Times New Roman" w:hAnsi="Times New Roman" w:hint="eastAsia"/>
          <w:b/>
          <w:szCs w:val="21"/>
        </w:rPr>
        <w:t>：全国原煤销量与同比走势</w:t>
      </w:r>
    </w:p>
    <w:p w:rsidR="0064642A" w:rsidRDefault="0064642A" w:rsidP="0064642A">
      <w:pPr>
        <w:jc w:val="center"/>
      </w:pPr>
      <w:r>
        <w:rPr>
          <w:noProof/>
        </w:rPr>
        <w:lastRenderedPageBreak/>
        <w:drawing>
          <wp:inline distT="0" distB="0" distL="0" distR="0" wp14:anchorId="3FFC4D2F" wp14:editId="4D29EBB3">
            <wp:extent cx="4328160" cy="2346960"/>
            <wp:effectExtent l="0" t="0" r="0" b="0"/>
            <wp:docPr id="19" name="图片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表 1"/>
                    <pic:cNvPicPr>
                      <a:picLocks noChangeArrowheads="1"/>
                    </pic:cNvPicPr>
                  </pic:nvPicPr>
                  <pic:blipFill>
                    <a:blip r:embed="rId17">
                      <a:extLst>
                        <a:ext uri="{28A0092B-C50C-407E-A947-70E740481C1C}">
                          <a14:useLocalDpi xmlns:a14="http://schemas.microsoft.com/office/drawing/2010/main" val="0"/>
                        </a:ext>
                      </a:extLst>
                    </a:blip>
                    <a:srcRect b="-116"/>
                    <a:stretch>
                      <a:fillRect/>
                    </a:stretch>
                  </pic:blipFill>
                  <pic:spPr bwMode="auto">
                    <a:xfrm>
                      <a:off x="0" y="0"/>
                      <a:ext cx="4328160" cy="2346960"/>
                    </a:xfrm>
                    <a:prstGeom prst="rect">
                      <a:avLst/>
                    </a:prstGeom>
                    <a:noFill/>
                    <a:ln>
                      <a:noFill/>
                    </a:ln>
                  </pic:spPr>
                </pic:pic>
              </a:graphicData>
            </a:graphic>
          </wp:inline>
        </w:drawing>
      </w:r>
    </w:p>
    <w:p w:rsidR="0064642A" w:rsidRPr="0064642A" w:rsidRDefault="0064642A" w:rsidP="0064642A">
      <w:pPr>
        <w:spacing w:line="360" w:lineRule="auto"/>
        <w:ind w:leftChars="-270" w:left="-567" w:rightChars="-108" w:right="-227"/>
        <w:jc w:val="center"/>
        <w:rPr>
          <w:rFonts w:ascii="Times New Roman" w:hAnsi="Times New Roman"/>
          <w:b/>
          <w:szCs w:val="21"/>
        </w:rPr>
      </w:pPr>
      <w:r w:rsidRPr="0064642A">
        <w:rPr>
          <w:rFonts w:ascii="Times New Roman" w:hAnsi="Times New Roman" w:hint="eastAsia"/>
          <w:b/>
          <w:szCs w:val="21"/>
        </w:rPr>
        <w:t>数据来源：</w:t>
      </w:r>
      <w:proofErr w:type="spellStart"/>
      <w:r w:rsidRPr="0064642A">
        <w:rPr>
          <w:rFonts w:ascii="Times New Roman" w:hAnsi="Times New Roman" w:hint="eastAsia"/>
          <w:b/>
          <w:szCs w:val="21"/>
        </w:rPr>
        <w:t>sxcoal</w:t>
      </w:r>
      <w:proofErr w:type="spellEnd"/>
      <w:r w:rsidRPr="0064642A">
        <w:rPr>
          <w:rFonts w:ascii="Times New Roman" w:hAnsi="Times New Roman" w:hint="eastAsia"/>
          <w:b/>
          <w:szCs w:val="21"/>
        </w:rPr>
        <w:t>、方正中期期货研究院整理</w:t>
      </w:r>
    </w:p>
    <w:p w:rsidR="0064642A" w:rsidRPr="0064642A" w:rsidRDefault="0064642A" w:rsidP="0064642A">
      <w:pPr>
        <w:spacing w:line="360" w:lineRule="auto"/>
        <w:ind w:leftChars="-270" w:left="-567" w:rightChars="-108" w:right="-227"/>
        <w:jc w:val="center"/>
        <w:rPr>
          <w:rFonts w:ascii="Times New Roman" w:hAnsi="Times New Roman"/>
          <w:b/>
          <w:szCs w:val="21"/>
        </w:rPr>
      </w:pPr>
      <w:r w:rsidRPr="0064642A">
        <w:rPr>
          <w:rFonts w:ascii="Times New Roman" w:hAnsi="Times New Roman" w:hint="eastAsia"/>
          <w:b/>
          <w:szCs w:val="21"/>
        </w:rPr>
        <w:t>图</w:t>
      </w:r>
      <w:r>
        <w:rPr>
          <w:rFonts w:ascii="Times New Roman" w:hAnsi="Times New Roman" w:hint="eastAsia"/>
          <w:b/>
          <w:szCs w:val="21"/>
        </w:rPr>
        <w:t>11</w:t>
      </w:r>
      <w:r w:rsidRPr="0064642A">
        <w:rPr>
          <w:rFonts w:ascii="Times New Roman" w:hAnsi="Times New Roman" w:hint="eastAsia"/>
          <w:b/>
          <w:szCs w:val="21"/>
        </w:rPr>
        <w:t>：煤炭开采固定资产投资累计完成额与同比走势</w:t>
      </w:r>
    </w:p>
    <w:p w:rsidR="0064642A" w:rsidRDefault="0064642A" w:rsidP="0064642A">
      <w:pPr>
        <w:jc w:val="center"/>
      </w:pPr>
      <w:r>
        <w:rPr>
          <w:noProof/>
        </w:rPr>
        <w:drawing>
          <wp:inline distT="0" distB="0" distL="0" distR="0" wp14:anchorId="5C4413E2" wp14:editId="3ABBA77C">
            <wp:extent cx="4274820" cy="2316480"/>
            <wp:effectExtent l="0" t="0" r="0" b="0"/>
            <wp:docPr id="20" name="图片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表 2"/>
                    <pic:cNvPicPr>
                      <a:picLocks noChangeArrowheads="1"/>
                    </pic:cNvPicPr>
                  </pic:nvPicPr>
                  <pic:blipFill>
                    <a:blip r:embed="rId18">
                      <a:extLst>
                        <a:ext uri="{28A0092B-C50C-407E-A947-70E740481C1C}">
                          <a14:useLocalDpi xmlns:a14="http://schemas.microsoft.com/office/drawing/2010/main" val="0"/>
                        </a:ext>
                      </a:extLst>
                    </a:blip>
                    <a:srcRect l="-1610" t="-3200" r="-1918" b="-6854"/>
                    <a:stretch>
                      <a:fillRect/>
                    </a:stretch>
                  </pic:blipFill>
                  <pic:spPr bwMode="auto">
                    <a:xfrm>
                      <a:off x="0" y="0"/>
                      <a:ext cx="4274820" cy="2316480"/>
                    </a:xfrm>
                    <a:prstGeom prst="rect">
                      <a:avLst/>
                    </a:prstGeom>
                    <a:noFill/>
                    <a:ln>
                      <a:noFill/>
                    </a:ln>
                  </pic:spPr>
                </pic:pic>
              </a:graphicData>
            </a:graphic>
          </wp:inline>
        </w:drawing>
      </w:r>
    </w:p>
    <w:p w:rsidR="0064642A" w:rsidRPr="0064642A" w:rsidRDefault="0064642A" w:rsidP="0064642A">
      <w:pPr>
        <w:spacing w:line="360" w:lineRule="auto"/>
        <w:ind w:leftChars="-270" w:left="-567" w:rightChars="-108" w:right="-227"/>
        <w:jc w:val="center"/>
        <w:rPr>
          <w:rFonts w:ascii="Times New Roman" w:hAnsi="Times New Roman"/>
          <w:b/>
          <w:szCs w:val="21"/>
        </w:rPr>
      </w:pPr>
      <w:r w:rsidRPr="0064642A">
        <w:rPr>
          <w:rFonts w:ascii="Times New Roman" w:hAnsi="Times New Roman" w:hint="eastAsia"/>
          <w:b/>
          <w:szCs w:val="21"/>
        </w:rPr>
        <w:t>数据来源：</w:t>
      </w:r>
      <w:proofErr w:type="spellStart"/>
      <w:r w:rsidRPr="0064642A">
        <w:rPr>
          <w:rFonts w:ascii="Times New Roman" w:hAnsi="Times New Roman" w:hint="eastAsia"/>
          <w:b/>
          <w:szCs w:val="21"/>
        </w:rPr>
        <w:t>sxcoal</w:t>
      </w:r>
      <w:proofErr w:type="spellEnd"/>
      <w:r w:rsidRPr="0064642A">
        <w:rPr>
          <w:rFonts w:ascii="Times New Roman" w:hAnsi="Times New Roman" w:hint="eastAsia"/>
          <w:b/>
          <w:szCs w:val="21"/>
        </w:rPr>
        <w:t>、方正中期期货研究院整理</w:t>
      </w:r>
    </w:p>
    <w:p w:rsidR="0064642A" w:rsidRPr="002603BF" w:rsidRDefault="0064642A" w:rsidP="0064642A">
      <w:pPr>
        <w:spacing w:before="100" w:beforeAutospacing="1" w:after="100" w:afterAutospacing="1"/>
        <w:rPr>
          <w:rFonts w:ascii="新宋体" w:eastAsia="新宋体" w:hAnsi="新宋体"/>
          <w:b/>
          <w:color w:val="000000" w:themeColor="text1"/>
          <w:szCs w:val="21"/>
        </w:rPr>
      </w:pPr>
      <w:r>
        <w:rPr>
          <w:rFonts w:ascii="新宋体" w:eastAsia="新宋体" w:hAnsi="新宋体" w:hint="eastAsia"/>
          <w:b/>
          <w:color w:val="000000" w:themeColor="text1"/>
          <w:szCs w:val="21"/>
        </w:rPr>
        <w:t>（</w:t>
      </w:r>
      <w:r>
        <w:rPr>
          <w:rFonts w:ascii="新宋体" w:eastAsia="新宋体" w:hAnsi="新宋体" w:hint="eastAsia"/>
          <w:b/>
          <w:color w:val="000000" w:themeColor="text1"/>
          <w:szCs w:val="21"/>
        </w:rPr>
        <w:t>2</w:t>
      </w:r>
      <w:r>
        <w:rPr>
          <w:rFonts w:ascii="新宋体" w:eastAsia="新宋体" w:hAnsi="新宋体" w:hint="eastAsia"/>
          <w:b/>
          <w:color w:val="000000" w:themeColor="text1"/>
          <w:szCs w:val="21"/>
        </w:rPr>
        <w:t>）</w:t>
      </w:r>
      <w:r w:rsidRPr="002603BF">
        <w:rPr>
          <w:rFonts w:ascii="新宋体" w:eastAsia="新宋体" w:hAnsi="新宋体" w:hint="eastAsia"/>
          <w:b/>
          <w:color w:val="000000" w:themeColor="text1"/>
          <w:szCs w:val="21"/>
        </w:rPr>
        <w:t>去库存进行时价格还将承受一定压力</w:t>
      </w:r>
    </w:p>
    <w:p w:rsidR="0064642A" w:rsidRPr="0064642A" w:rsidRDefault="0064642A" w:rsidP="0064642A">
      <w:pPr>
        <w:spacing w:line="360" w:lineRule="auto"/>
        <w:ind w:firstLineChars="200" w:firstLine="480"/>
        <w:rPr>
          <w:rFonts w:ascii="宋体" w:hAnsi="宋体"/>
          <w:sz w:val="24"/>
        </w:rPr>
      </w:pPr>
      <w:r w:rsidRPr="0064642A">
        <w:rPr>
          <w:rFonts w:ascii="宋体" w:hAnsi="宋体" w:hint="eastAsia"/>
          <w:sz w:val="24"/>
        </w:rPr>
        <w:t>从宏观角度来看，主产区山西库存截止10月底为4229万吨，比9月回升29万吨。从炼焦煤来看，截止10月31日，全国各区域50家典型钢厂以及53家独立焦化厂库存数据进行调查（华北、华中、华东、华南、西北、东北、西南），总库存量为1142万吨，较9月底相比回升73万吨。总库存继续攀升，并且增幅明显拉大，钢厂和独立焦化企业库存均表现出明显和全区域的增加。</w:t>
      </w:r>
    </w:p>
    <w:p w:rsidR="0064642A" w:rsidRPr="0064642A" w:rsidRDefault="0064642A" w:rsidP="0064642A">
      <w:pPr>
        <w:spacing w:line="360" w:lineRule="auto"/>
        <w:ind w:leftChars="-270" w:left="-567" w:rightChars="-108" w:right="-227"/>
        <w:jc w:val="center"/>
        <w:rPr>
          <w:rFonts w:ascii="Times New Roman" w:hAnsi="Times New Roman"/>
          <w:b/>
          <w:szCs w:val="21"/>
        </w:rPr>
      </w:pPr>
      <w:r w:rsidRPr="0064642A">
        <w:rPr>
          <w:rFonts w:ascii="Times New Roman" w:hAnsi="Times New Roman" w:hint="eastAsia"/>
          <w:b/>
          <w:szCs w:val="21"/>
        </w:rPr>
        <w:t>图</w:t>
      </w:r>
      <w:r>
        <w:rPr>
          <w:rFonts w:ascii="Times New Roman" w:hAnsi="Times New Roman" w:hint="eastAsia"/>
          <w:b/>
          <w:szCs w:val="21"/>
        </w:rPr>
        <w:t>12</w:t>
      </w:r>
      <w:r w:rsidRPr="0064642A">
        <w:rPr>
          <w:rFonts w:ascii="Times New Roman" w:hAnsi="Times New Roman" w:hint="eastAsia"/>
          <w:b/>
          <w:szCs w:val="21"/>
        </w:rPr>
        <w:t>：主产地区山西煤炭库存走势</w:t>
      </w:r>
    </w:p>
    <w:p w:rsidR="0064642A" w:rsidRDefault="0064642A" w:rsidP="0064642A">
      <w:pPr>
        <w:jc w:val="center"/>
      </w:pPr>
      <w:r>
        <w:rPr>
          <w:noProof/>
        </w:rPr>
        <w:lastRenderedPageBreak/>
        <w:drawing>
          <wp:inline distT="0" distB="0" distL="0" distR="0" wp14:anchorId="4C15067B" wp14:editId="5DA66CA1">
            <wp:extent cx="4587240" cy="2750820"/>
            <wp:effectExtent l="0" t="0" r="3810" b="0"/>
            <wp:docPr id="21" name="图片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表 4"/>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87240" cy="2750820"/>
                    </a:xfrm>
                    <a:prstGeom prst="rect">
                      <a:avLst/>
                    </a:prstGeom>
                    <a:noFill/>
                    <a:ln>
                      <a:noFill/>
                    </a:ln>
                  </pic:spPr>
                </pic:pic>
              </a:graphicData>
            </a:graphic>
          </wp:inline>
        </w:drawing>
      </w:r>
    </w:p>
    <w:p w:rsidR="0064642A" w:rsidRPr="0064642A" w:rsidRDefault="0064642A" w:rsidP="0064642A">
      <w:pPr>
        <w:spacing w:line="360" w:lineRule="auto"/>
        <w:ind w:leftChars="-270" w:left="-567" w:rightChars="-108" w:right="-227"/>
        <w:jc w:val="center"/>
        <w:rPr>
          <w:rFonts w:ascii="Times New Roman" w:hAnsi="Times New Roman"/>
          <w:b/>
          <w:szCs w:val="21"/>
        </w:rPr>
      </w:pPr>
      <w:r w:rsidRPr="0064642A">
        <w:rPr>
          <w:rFonts w:ascii="Times New Roman" w:hAnsi="Times New Roman" w:hint="eastAsia"/>
          <w:b/>
          <w:szCs w:val="21"/>
        </w:rPr>
        <w:t>数据来源：</w:t>
      </w:r>
      <w:proofErr w:type="spellStart"/>
      <w:r w:rsidRPr="0064642A">
        <w:rPr>
          <w:rFonts w:ascii="Times New Roman" w:hAnsi="Times New Roman" w:hint="eastAsia"/>
          <w:b/>
          <w:szCs w:val="21"/>
        </w:rPr>
        <w:t>sxcoal</w:t>
      </w:r>
      <w:proofErr w:type="spellEnd"/>
      <w:r w:rsidRPr="0064642A">
        <w:rPr>
          <w:rFonts w:ascii="Times New Roman" w:hAnsi="Times New Roman" w:hint="eastAsia"/>
          <w:b/>
          <w:szCs w:val="21"/>
        </w:rPr>
        <w:t>、方正中期期货研究院整理</w:t>
      </w:r>
    </w:p>
    <w:p w:rsidR="0064642A" w:rsidRPr="002603BF" w:rsidRDefault="0064642A" w:rsidP="0064642A">
      <w:pPr>
        <w:spacing w:before="100" w:beforeAutospacing="1" w:after="100" w:afterAutospacing="1"/>
        <w:rPr>
          <w:rFonts w:ascii="新宋体" w:eastAsia="新宋体" w:hAnsi="新宋体"/>
          <w:b/>
          <w:color w:val="000000" w:themeColor="text1"/>
          <w:szCs w:val="21"/>
        </w:rPr>
      </w:pPr>
      <w:r>
        <w:rPr>
          <w:rFonts w:ascii="新宋体" w:eastAsia="新宋体" w:hAnsi="新宋体" w:hint="eastAsia"/>
          <w:b/>
          <w:color w:val="000000" w:themeColor="text1"/>
          <w:szCs w:val="21"/>
        </w:rPr>
        <w:t>（</w:t>
      </w:r>
      <w:r>
        <w:rPr>
          <w:rFonts w:ascii="新宋体" w:eastAsia="新宋体" w:hAnsi="新宋体" w:hint="eastAsia"/>
          <w:b/>
          <w:color w:val="000000" w:themeColor="text1"/>
          <w:szCs w:val="21"/>
        </w:rPr>
        <w:t>3</w:t>
      </w:r>
      <w:r>
        <w:rPr>
          <w:rFonts w:ascii="新宋体" w:eastAsia="新宋体" w:hAnsi="新宋体" w:hint="eastAsia"/>
          <w:b/>
          <w:color w:val="000000" w:themeColor="text1"/>
          <w:szCs w:val="21"/>
        </w:rPr>
        <w:t>）</w:t>
      </w:r>
      <w:r w:rsidRPr="002603BF">
        <w:rPr>
          <w:rFonts w:ascii="新宋体" w:eastAsia="新宋体" w:hAnsi="新宋体" w:hint="eastAsia"/>
          <w:b/>
          <w:color w:val="000000" w:themeColor="text1"/>
          <w:szCs w:val="21"/>
        </w:rPr>
        <w:t>下游钢铁产量维持高位但同比增速不快</w:t>
      </w:r>
    </w:p>
    <w:p w:rsidR="0064642A" w:rsidRPr="0064642A" w:rsidRDefault="0064642A" w:rsidP="0064642A">
      <w:pPr>
        <w:spacing w:line="360" w:lineRule="auto"/>
        <w:ind w:firstLineChars="200" w:firstLine="480"/>
        <w:rPr>
          <w:rFonts w:ascii="宋体" w:hAnsi="宋体"/>
          <w:sz w:val="24"/>
        </w:rPr>
      </w:pPr>
      <w:r w:rsidRPr="0064642A">
        <w:rPr>
          <w:rFonts w:ascii="宋体" w:hAnsi="宋体" w:hint="eastAsia"/>
          <w:sz w:val="24"/>
        </w:rPr>
        <w:t>作为煤炭行业的四个下游消费行业之一钢铁行业下游行业，其表现主要对其上游炼焦煤市场产生最直接、最有影响力的作用。</w:t>
      </w:r>
    </w:p>
    <w:p w:rsidR="0064642A" w:rsidRPr="0064642A" w:rsidRDefault="0064642A" w:rsidP="0064642A">
      <w:pPr>
        <w:spacing w:line="360" w:lineRule="auto"/>
        <w:ind w:firstLineChars="200" w:firstLine="480"/>
        <w:rPr>
          <w:rFonts w:ascii="宋体" w:hAnsi="宋体"/>
          <w:sz w:val="24"/>
        </w:rPr>
      </w:pPr>
      <w:r w:rsidRPr="0064642A">
        <w:rPr>
          <w:rFonts w:ascii="宋体" w:hAnsi="宋体" w:hint="eastAsia"/>
          <w:sz w:val="24"/>
        </w:rPr>
        <w:t>整体来看，国内粗钢在2014年上半年保持不错的产量水平，但同比增速不快。中国国家统计局数据显示，2014年9月我国粗钢产量6754万吨，同比增长0.02%；1-9月我国粗钢产量61800万吨，同比增长2.3%。。</w:t>
      </w:r>
      <w:proofErr w:type="gramStart"/>
      <w:r w:rsidRPr="0064642A">
        <w:rPr>
          <w:rFonts w:ascii="宋体" w:hAnsi="宋体" w:hint="eastAsia"/>
          <w:sz w:val="24"/>
        </w:rPr>
        <w:t>今年下半年钢企库存</w:t>
      </w:r>
      <w:proofErr w:type="gramEnd"/>
      <w:r w:rsidRPr="0064642A">
        <w:rPr>
          <w:rFonts w:ascii="宋体" w:hAnsi="宋体" w:hint="eastAsia"/>
          <w:sz w:val="24"/>
        </w:rPr>
        <w:t>逐步攀升，迫使企业加大供给端收缩力度。同时，随着气温下降、APEC会议的召开，</w:t>
      </w:r>
      <w:proofErr w:type="gramStart"/>
      <w:r w:rsidRPr="0064642A">
        <w:rPr>
          <w:rFonts w:ascii="宋体" w:hAnsi="宋体" w:hint="eastAsia"/>
          <w:sz w:val="24"/>
        </w:rPr>
        <w:t>钢企将</w:t>
      </w:r>
      <w:proofErr w:type="gramEnd"/>
      <w:r w:rsidRPr="0064642A">
        <w:rPr>
          <w:rFonts w:ascii="宋体" w:hAnsi="宋体" w:hint="eastAsia"/>
          <w:sz w:val="24"/>
        </w:rPr>
        <w:t>进一步加大减产检修力度。不过，南方地区钢厂盈利尚可，减产积极性较低，北方地区钢厂仍将担当减产主力，后期全国</w:t>
      </w:r>
      <w:proofErr w:type="gramStart"/>
      <w:r w:rsidRPr="0064642A">
        <w:rPr>
          <w:rFonts w:ascii="宋体" w:hAnsi="宋体" w:hint="eastAsia"/>
          <w:sz w:val="24"/>
        </w:rPr>
        <w:t>粗钢日均</w:t>
      </w:r>
      <w:proofErr w:type="gramEnd"/>
      <w:r w:rsidRPr="0064642A">
        <w:rPr>
          <w:rFonts w:ascii="宋体" w:hAnsi="宋体" w:hint="eastAsia"/>
          <w:sz w:val="24"/>
        </w:rPr>
        <w:t>产量跌破220万吨是大概率事件。由于房地产市场低迷、基建投资受制于地方财政紧张，也拖累了工程机械、家电等相关行业，</w:t>
      </w:r>
      <w:proofErr w:type="gramStart"/>
      <w:r w:rsidRPr="0064642A">
        <w:rPr>
          <w:rFonts w:ascii="宋体" w:hAnsi="宋体" w:hint="eastAsia"/>
          <w:sz w:val="24"/>
        </w:rPr>
        <w:t>钢市整体</w:t>
      </w:r>
      <w:proofErr w:type="gramEnd"/>
      <w:r w:rsidRPr="0064642A">
        <w:rPr>
          <w:rFonts w:ascii="宋体" w:hAnsi="宋体" w:hint="eastAsia"/>
          <w:sz w:val="24"/>
        </w:rPr>
        <w:t>需求偏弱。节后集中采购之后，近期终端需求重归平淡。10月汇丰PMI初值50.4，较上月终值（50.2）回升，但是产出、新订单和新出口订单均有回落，显示需求仍未好转。不过，一些利好因素也在持续发酵。房贷新政的推出，楼市销量已有回暖迹象。央行继续加大定向宽松力度，四季度经济走稳的概率较大。</w:t>
      </w:r>
    </w:p>
    <w:p w:rsidR="0064642A" w:rsidRPr="0064642A" w:rsidRDefault="0064642A" w:rsidP="0064642A">
      <w:pPr>
        <w:spacing w:line="360" w:lineRule="auto"/>
        <w:ind w:leftChars="-270" w:left="-567" w:rightChars="-108" w:right="-227"/>
        <w:jc w:val="center"/>
        <w:rPr>
          <w:rFonts w:ascii="Times New Roman" w:hAnsi="Times New Roman"/>
          <w:b/>
          <w:szCs w:val="21"/>
        </w:rPr>
      </w:pPr>
      <w:r w:rsidRPr="0064642A">
        <w:rPr>
          <w:rFonts w:ascii="Times New Roman" w:hAnsi="Times New Roman" w:hint="eastAsia"/>
          <w:b/>
          <w:szCs w:val="21"/>
        </w:rPr>
        <w:t>图</w:t>
      </w:r>
      <w:r>
        <w:rPr>
          <w:rFonts w:ascii="Times New Roman" w:hAnsi="Times New Roman" w:hint="eastAsia"/>
          <w:b/>
          <w:szCs w:val="21"/>
        </w:rPr>
        <w:t>13</w:t>
      </w:r>
      <w:r w:rsidRPr="0064642A">
        <w:rPr>
          <w:rFonts w:ascii="Times New Roman" w:hAnsi="Times New Roman" w:hint="eastAsia"/>
          <w:b/>
          <w:szCs w:val="21"/>
        </w:rPr>
        <w:t>：国内粗钢产量与同比走势</w:t>
      </w:r>
    </w:p>
    <w:p w:rsidR="0064642A" w:rsidRDefault="0064642A" w:rsidP="0064642A">
      <w:pPr>
        <w:jc w:val="center"/>
      </w:pPr>
      <w:r>
        <w:rPr>
          <w:noProof/>
        </w:rPr>
        <w:lastRenderedPageBreak/>
        <w:drawing>
          <wp:inline distT="0" distB="0" distL="0" distR="0" wp14:anchorId="54A2556C" wp14:editId="72B3F084">
            <wp:extent cx="4267200" cy="2400300"/>
            <wp:effectExtent l="0" t="0" r="0" b="0"/>
            <wp:docPr id="22" name="图片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表 6"/>
                    <pic:cNvPicPr>
                      <a:picLocks noChangeArrowheads="1"/>
                    </pic:cNvPicPr>
                  </pic:nvPicPr>
                  <pic:blipFill>
                    <a:blip r:embed="rId20">
                      <a:extLst>
                        <a:ext uri="{28A0092B-C50C-407E-A947-70E740481C1C}">
                          <a14:useLocalDpi xmlns:a14="http://schemas.microsoft.com/office/drawing/2010/main" val="0"/>
                        </a:ext>
                      </a:extLst>
                    </a:blip>
                    <a:srcRect b="-53"/>
                    <a:stretch>
                      <a:fillRect/>
                    </a:stretch>
                  </pic:blipFill>
                  <pic:spPr bwMode="auto">
                    <a:xfrm>
                      <a:off x="0" y="0"/>
                      <a:ext cx="4267200" cy="2400300"/>
                    </a:xfrm>
                    <a:prstGeom prst="rect">
                      <a:avLst/>
                    </a:prstGeom>
                    <a:noFill/>
                    <a:ln>
                      <a:noFill/>
                    </a:ln>
                  </pic:spPr>
                </pic:pic>
              </a:graphicData>
            </a:graphic>
          </wp:inline>
        </w:drawing>
      </w:r>
    </w:p>
    <w:p w:rsidR="0064642A" w:rsidRPr="0064642A" w:rsidRDefault="0064642A" w:rsidP="0064642A">
      <w:pPr>
        <w:spacing w:line="360" w:lineRule="auto"/>
        <w:ind w:leftChars="-270" w:left="-567" w:rightChars="-108" w:right="-227"/>
        <w:jc w:val="center"/>
        <w:rPr>
          <w:rFonts w:ascii="Times New Roman" w:hAnsi="Times New Roman"/>
          <w:b/>
          <w:szCs w:val="21"/>
        </w:rPr>
      </w:pPr>
      <w:r w:rsidRPr="0064642A">
        <w:rPr>
          <w:rFonts w:ascii="Times New Roman" w:hAnsi="Times New Roman" w:hint="eastAsia"/>
          <w:b/>
          <w:szCs w:val="21"/>
        </w:rPr>
        <w:t>数据来源：中钢协、方正中期期货研究院整理</w:t>
      </w:r>
    </w:p>
    <w:p w:rsidR="0064642A" w:rsidRPr="0064642A" w:rsidRDefault="0064642A" w:rsidP="0064642A">
      <w:pPr>
        <w:spacing w:line="360" w:lineRule="auto"/>
        <w:ind w:leftChars="-270" w:left="-567" w:rightChars="-108" w:right="-227"/>
        <w:jc w:val="center"/>
        <w:rPr>
          <w:rFonts w:ascii="Times New Roman" w:hAnsi="Times New Roman"/>
          <w:b/>
          <w:szCs w:val="21"/>
        </w:rPr>
      </w:pPr>
      <w:r w:rsidRPr="0064642A">
        <w:rPr>
          <w:rFonts w:ascii="Times New Roman" w:hAnsi="Times New Roman" w:hint="eastAsia"/>
          <w:b/>
          <w:szCs w:val="21"/>
        </w:rPr>
        <w:t>图</w:t>
      </w:r>
      <w:r>
        <w:rPr>
          <w:rFonts w:ascii="Times New Roman" w:hAnsi="Times New Roman" w:hint="eastAsia"/>
          <w:b/>
          <w:szCs w:val="21"/>
        </w:rPr>
        <w:t>14</w:t>
      </w:r>
      <w:r w:rsidRPr="0064642A">
        <w:rPr>
          <w:rFonts w:ascii="Times New Roman" w:hAnsi="Times New Roman" w:hint="eastAsia"/>
          <w:b/>
          <w:szCs w:val="21"/>
        </w:rPr>
        <w:t>：国内主要城市钢材库存与同比走势</w:t>
      </w:r>
    </w:p>
    <w:p w:rsidR="0064642A" w:rsidRPr="00244A4A" w:rsidRDefault="0064642A" w:rsidP="0064642A">
      <w:pPr>
        <w:jc w:val="center"/>
      </w:pPr>
      <w:r>
        <w:rPr>
          <w:noProof/>
        </w:rPr>
        <w:drawing>
          <wp:inline distT="0" distB="0" distL="0" distR="0" wp14:anchorId="7C1EE173" wp14:editId="47BBEF64">
            <wp:extent cx="4251960" cy="2339340"/>
            <wp:effectExtent l="0" t="0" r="0" b="3810"/>
            <wp:docPr id="23" name="图片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表 7"/>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51960" cy="2339340"/>
                    </a:xfrm>
                    <a:prstGeom prst="rect">
                      <a:avLst/>
                    </a:prstGeom>
                    <a:noFill/>
                    <a:ln>
                      <a:noFill/>
                    </a:ln>
                  </pic:spPr>
                </pic:pic>
              </a:graphicData>
            </a:graphic>
          </wp:inline>
        </w:drawing>
      </w:r>
    </w:p>
    <w:p w:rsidR="0064642A" w:rsidRPr="0064642A" w:rsidRDefault="0064642A" w:rsidP="0064642A">
      <w:pPr>
        <w:spacing w:line="360" w:lineRule="auto"/>
        <w:ind w:leftChars="-270" w:left="-567" w:rightChars="-108" w:right="-227"/>
        <w:jc w:val="center"/>
        <w:rPr>
          <w:rFonts w:ascii="Times New Roman" w:hAnsi="Times New Roman"/>
          <w:b/>
          <w:szCs w:val="21"/>
        </w:rPr>
      </w:pPr>
      <w:r w:rsidRPr="0064642A">
        <w:rPr>
          <w:rFonts w:ascii="Times New Roman" w:hAnsi="Times New Roman" w:hint="eastAsia"/>
          <w:b/>
          <w:szCs w:val="21"/>
        </w:rPr>
        <w:t>数据来源：</w:t>
      </w:r>
      <w:r w:rsidRPr="0064642A">
        <w:rPr>
          <w:rFonts w:ascii="Times New Roman" w:hAnsi="Times New Roman" w:hint="eastAsia"/>
          <w:b/>
          <w:szCs w:val="21"/>
        </w:rPr>
        <w:t>wind</w:t>
      </w:r>
      <w:r w:rsidRPr="0064642A">
        <w:rPr>
          <w:rFonts w:ascii="Times New Roman" w:hAnsi="Times New Roman" w:hint="eastAsia"/>
          <w:b/>
          <w:szCs w:val="21"/>
        </w:rPr>
        <w:t>、方正中期期货研究院整理</w:t>
      </w:r>
    </w:p>
    <w:p w:rsidR="0064642A" w:rsidRPr="0064642A" w:rsidRDefault="0064642A" w:rsidP="0064642A">
      <w:pPr>
        <w:spacing w:line="360" w:lineRule="auto"/>
        <w:ind w:leftChars="-270" w:left="-567" w:rightChars="-108" w:right="-227"/>
        <w:jc w:val="center"/>
        <w:rPr>
          <w:rFonts w:ascii="Times New Roman" w:hAnsi="Times New Roman"/>
          <w:b/>
          <w:szCs w:val="21"/>
        </w:rPr>
      </w:pPr>
      <w:r w:rsidRPr="0064642A">
        <w:rPr>
          <w:rFonts w:ascii="Times New Roman" w:hAnsi="Times New Roman" w:hint="eastAsia"/>
          <w:b/>
          <w:szCs w:val="21"/>
        </w:rPr>
        <w:t>图</w:t>
      </w:r>
      <w:r>
        <w:rPr>
          <w:rFonts w:ascii="Times New Roman" w:hAnsi="Times New Roman" w:hint="eastAsia"/>
          <w:b/>
          <w:szCs w:val="21"/>
        </w:rPr>
        <w:t>15</w:t>
      </w:r>
      <w:r w:rsidRPr="0064642A">
        <w:rPr>
          <w:rFonts w:ascii="Times New Roman" w:hAnsi="Times New Roman" w:hint="eastAsia"/>
          <w:b/>
          <w:szCs w:val="21"/>
        </w:rPr>
        <w:t>：国内主要钢材品种价格走势</w:t>
      </w:r>
    </w:p>
    <w:p w:rsidR="0064642A" w:rsidRDefault="0064642A" w:rsidP="0064642A">
      <w:pPr>
        <w:jc w:val="center"/>
      </w:pPr>
      <w:r>
        <w:rPr>
          <w:noProof/>
        </w:rPr>
        <w:drawing>
          <wp:inline distT="0" distB="0" distL="0" distR="0" wp14:anchorId="0FDB977D" wp14:editId="764F46D0">
            <wp:extent cx="4381500" cy="2255520"/>
            <wp:effectExtent l="0" t="0" r="0" b="0"/>
            <wp:docPr id="24" name="图片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表 5"/>
                    <pic:cNvPicPr>
                      <a:picLocks noChangeArrowheads="1"/>
                    </pic:cNvPicPr>
                  </pic:nvPicPr>
                  <pic:blipFill>
                    <a:blip r:embed="rId22">
                      <a:extLst>
                        <a:ext uri="{28A0092B-C50C-407E-A947-70E740481C1C}">
                          <a14:useLocalDpi xmlns:a14="http://schemas.microsoft.com/office/drawing/2010/main" val="0"/>
                        </a:ext>
                      </a:extLst>
                    </a:blip>
                    <a:srcRect l="-1253" t="-5762" r="-1813" b="-6773"/>
                    <a:stretch>
                      <a:fillRect/>
                    </a:stretch>
                  </pic:blipFill>
                  <pic:spPr bwMode="auto">
                    <a:xfrm>
                      <a:off x="0" y="0"/>
                      <a:ext cx="4381500" cy="2255520"/>
                    </a:xfrm>
                    <a:prstGeom prst="rect">
                      <a:avLst/>
                    </a:prstGeom>
                    <a:noFill/>
                    <a:ln>
                      <a:noFill/>
                    </a:ln>
                  </pic:spPr>
                </pic:pic>
              </a:graphicData>
            </a:graphic>
          </wp:inline>
        </w:drawing>
      </w:r>
    </w:p>
    <w:p w:rsidR="0064642A" w:rsidRPr="0064642A" w:rsidRDefault="0064642A" w:rsidP="0064642A">
      <w:pPr>
        <w:spacing w:line="360" w:lineRule="auto"/>
        <w:ind w:leftChars="-270" w:left="-567" w:rightChars="-108" w:right="-227"/>
        <w:jc w:val="center"/>
        <w:rPr>
          <w:rFonts w:ascii="Times New Roman" w:hAnsi="Times New Roman"/>
          <w:b/>
          <w:szCs w:val="21"/>
        </w:rPr>
      </w:pPr>
      <w:r w:rsidRPr="0064642A">
        <w:rPr>
          <w:rFonts w:ascii="Times New Roman" w:hAnsi="Times New Roman" w:hint="eastAsia"/>
          <w:b/>
          <w:szCs w:val="21"/>
        </w:rPr>
        <w:t>数据来源：</w:t>
      </w:r>
      <w:r w:rsidRPr="0064642A">
        <w:rPr>
          <w:rFonts w:ascii="Times New Roman" w:hAnsi="Times New Roman" w:hint="eastAsia"/>
          <w:b/>
          <w:szCs w:val="21"/>
        </w:rPr>
        <w:t>wind</w:t>
      </w:r>
      <w:r w:rsidRPr="0064642A">
        <w:rPr>
          <w:rFonts w:ascii="Times New Roman" w:hAnsi="Times New Roman" w:hint="eastAsia"/>
          <w:b/>
          <w:szCs w:val="21"/>
        </w:rPr>
        <w:t>、方正中期期货研究院整理</w:t>
      </w:r>
    </w:p>
    <w:p w:rsidR="0064642A" w:rsidRDefault="0064642A" w:rsidP="0064642A"/>
    <w:p w:rsidR="0064642A" w:rsidRPr="002603BF" w:rsidRDefault="0064642A" w:rsidP="0064642A">
      <w:pPr>
        <w:spacing w:before="100" w:beforeAutospacing="1" w:after="100" w:afterAutospacing="1"/>
        <w:rPr>
          <w:rFonts w:ascii="新宋体" w:eastAsia="新宋体" w:hAnsi="新宋体"/>
          <w:b/>
          <w:color w:val="000000" w:themeColor="text1"/>
          <w:szCs w:val="21"/>
        </w:rPr>
      </w:pPr>
      <w:r>
        <w:rPr>
          <w:rFonts w:ascii="新宋体" w:eastAsia="新宋体" w:hAnsi="新宋体" w:hint="eastAsia"/>
          <w:b/>
          <w:color w:val="000000" w:themeColor="text1"/>
          <w:szCs w:val="21"/>
        </w:rPr>
        <w:t>2、焦炭</w:t>
      </w:r>
      <w:r w:rsidRPr="002603BF">
        <w:rPr>
          <w:rFonts w:ascii="新宋体" w:eastAsia="新宋体" w:hAnsi="新宋体" w:hint="eastAsia"/>
          <w:b/>
          <w:color w:val="000000" w:themeColor="text1"/>
          <w:szCs w:val="21"/>
        </w:rPr>
        <w:t>行业限产有支撑</w:t>
      </w:r>
    </w:p>
    <w:p w:rsidR="0064642A" w:rsidRPr="0064642A" w:rsidRDefault="0064642A" w:rsidP="0064642A">
      <w:pPr>
        <w:spacing w:line="360" w:lineRule="auto"/>
        <w:ind w:firstLineChars="200" w:firstLine="480"/>
        <w:rPr>
          <w:rFonts w:ascii="宋体" w:hAnsi="宋体"/>
          <w:sz w:val="24"/>
        </w:rPr>
      </w:pPr>
      <w:r w:rsidRPr="0064642A">
        <w:rPr>
          <w:rFonts w:ascii="宋体" w:hAnsi="宋体" w:hint="eastAsia"/>
          <w:sz w:val="24"/>
        </w:rPr>
        <w:t>焦煤作为焦炭生产中不可或缺的基础原料配煤，其价格涨跌与其中游焦炭价格关系极为密切。</w:t>
      </w:r>
    </w:p>
    <w:p w:rsidR="0064642A" w:rsidRPr="0064642A" w:rsidRDefault="0064642A" w:rsidP="0064642A">
      <w:pPr>
        <w:spacing w:line="360" w:lineRule="auto"/>
        <w:ind w:firstLineChars="200" w:firstLine="480"/>
        <w:rPr>
          <w:rFonts w:ascii="宋体" w:hAnsi="宋体"/>
          <w:sz w:val="24"/>
        </w:rPr>
      </w:pPr>
      <w:r w:rsidRPr="0064642A">
        <w:rPr>
          <w:rFonts w:ascii="宋体" w:hAnsi="宋体" w:hint="eastAsia"/>
          <w:sz w:val="24"/>
        </w:rPr>
        <w:t>统计局公布的数据显示，2014年9月份，全国焦炭产量4012万吨，同比下降1%。1-9月份，全国焦炭产量35434万吨，同比下降0.4%。三季度河北地区钢厂高炉开工率维持在90%上方，拉动了焦炭需求，焦炭月度产量在4000万吨附近小幅波动。由于近期炼焦煤成本上升，焦化企业大量亏损，亏损幅度增加，焦化企业开工率稍有下降。</w:t>
      </w:r>
    </w:p>
    <w:p w:rsidR="0064642A" w:rsidRPr="0064642A" w:rsidRDefault="0064642A" w:rsidP="0064642A">
      <w:pPr>
        <w:spacing w:line="360" w:lineRule="auto"/>
        <w:ind w:firstLineChars="200" w:firstLine="480"/>
        <w:rPr>
          <w:rFonts w:ascii="宋体" w:hAnsi="宋体"/>
          <w:sz w:val="24"/>
        </w:rPr>
      </w:pPr>
      <w:r w:rsidRPr="0064642A">
        <w:rPr>
          <w:rFonts w:ascii="宋体" w:hAnsi="宋体" w:hint="eastAsia"/>
          <w:sz w:val="24"/>
        </w:rPr>
        <w:t>从样本独立焦化企业开工率情况看，截至10月24日，大型独立焦化企业开工率小幅下降至87%，中小型独立焦化企业开工率小幅维持在76%。下游钢铁行业焦炭平均库存可用天数仅9天，处于历史低位，10月份华北、西北等地区独立焦化企业焦炭库存从年内最低水平开始缓慢回升。下月APEC会议期间河北地区部分钢厂将进行检修，钢厂焦炭库存量可能小幅上升，但河北地区焦化企业也将限产，根据唐山市APEC会议期间停产限产钢铁企业名单显示，唐山地区共74座焦炉将结焦时间延长至48小时。11月份焦炭供需总量都有望下降，总体影响不大。</w:t>
      </w:r>
    </w:p>
    <w:p w:rsidR="0064642A" w:rsidRPr="0064642A" w:rsidRDefault="0064642A" w:rsidP="0064642A">
      <w:pPr>
        <w:spacing w:line="360" w:lineRule="auto"/>
        <w:ind w:leftChars="-270" w:left="-567" w:rightChars="-108" w:right="-227"/>
        <w:jc w:val="center"/>
        <w:rPr>
          <w:rFonts w:ascii="Times New Roman" w:hAnsi="Times New Roman"/>
          <w:b/>
          <w:szCs w:val="21"/>
        </w:rPr>
      </w:pPr>
      <w:r w:rsidRPr="0064642A">
        <w:rPr>
          <w:rFonts w:ascii="Times New Roman" w:hAnsi="Times New Roman" w:hint="eastAsia"/>
          <w:b/>
          <w:szCs w:val="21"/>
        </w:rPr>
        <w:t>图</w:t>
      </w:r>
      <w:r w:rsidRPr="0064642A">
        <w:rPr>
          <w:rFonts w:ascii="Times New Roman" w:hAnsi="Times New Roman"/>
          <w:b/>
          <w:szCs w:val="21"/>
        </w:rPr>
        <w:t>1</w:t>
      </w:r>
      <w:r>
        <w:rPr>
          <w:rFonts w:ascii="Times New Roman" w:hAnsi="Times New Roman" w:hint="eastAsia"/>
          <w:b/>
          <w:szCs w:val="21"/>
        </w:rPr>
        <w:t>6</w:t>
      </w:r>
      <w:r w:rsidRPr="0064642A">
        <w:rPr>
          <w:rFonts w:ascii="Times New Roman" w:hAnsi="Times New Roman" w:hint="eastAsia"/>
          <w:b/>
          <w:szCs w:val="21"/>
        </w:rPr>
        <w:t>：国内焦炭产量与同比走势</w:t>
      </w:r>
    </w:p>
    <w:p w:rsidR="0064642A" w:rsidRDefault="0064642A" w:rsidP="0064642A">
      <w:pPr>
        <w:jc w:val="center"/>
      </w:pPr>
      <w:r>
        <w:rPr>
          <w:noProof/>
        </w:rPr>
        <w:drawing>
          <wp:inline distT="0" distB="0" distL="0" distR="0" wp14:anchorId="5A5C8070" wp14:editId="29B831AA">
            <wp:extent cx="4084320" cy="2339340"/>
            <wp:effectExtent l="0" t="0" r="0" b="3810"/>
            <wp:docPr id="25" name="图片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表 9"/>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84320" cy="2339340"/>
                    </a:xfrm>
                    <a:prstGeom prst="rect">
                      <a:avLst/>
                    </a:prstGeom>
                    <a:noFill/>
                    <a:ln>
                      <a:noFill/>
                    </a:ln>
                  </pic:spPr>
                </pic:pic>
              </a:graphicData>
            </a:graphic>
          </wp:inline>
        </w:drawing>
      </w:r>
    </w:p>
    <w:p w:rsidR="0064642A" w:rsidRPr="0064642A" w:rsidRDefault="0064642A" w:rsidP="0064642A">
      <w:pPr>
        <w:spacing w:line="360" w:lineRule="auto"/>
        <w:ind w:leftChars="-270" w:left="-567" w:rightChars="-108" w:right="-227"/>
        <w:jc w:val="center"/>
        <w:rPr>
          <w:rFonts w:ascii="Times New Roman" w:hAnsi="Times New Roman"/>
          <w:b/>
          <w:szCs w:val="21"/>
        </w:rPr>
      </w:pPr>
      <w:r w:rsidRPr="0064642A">
        <w:rPr>
          <w:rFonts w:ascii="Times New Roman" w:hAnsi="Times New Roman" w:hint="eastAsia"/>
          <w:b/>
          <w:szCs w:val="21"/>
        </w:rPr>
        <w:t>数据来源：</w:t>
      </w:r>
      <w:r w:rsidRPr="0064642A">
        <w:rPr>
          <w:rFonts w:ascii="Times New Roman" w:hAnsi="Times New Roman" w:hint="eastAsia"/>
          <w:b/>
          <w:szCs w:val="21"/>
        </w:rPr>
        <w:t>wind</w:t>
      </w:r>
      <w:r w:rsidRPr="0064642A">
        <w:rPr>
          <w:rFonts w:ascii="Times New Roman" w:hAnsi="Times New Roman" w:hint="eastAsia"/>
          <w:b/>
          <w:szCs w:val="21"/>
        </w:rPr>
        <w:t>、国家统计局、方正中期期货研究院整</w:t>
      </w:r>
    </w:p>
    <w:p w:rsidR="0064642A" w:rsidRPr="0064642A" w:rsidRDefault="0064642A" w:rsidP="0064642A">
      <w:pPr>
        <w:spacing w:line="360" w:lineRule="auto"/>
        <w:ind w:leftChars="-270" w:left="-567" w:rightChars="-108" w:right="-227"/>
        <w:jc w:val="center"/>
        <w:rPr>
          <w:rFonts w:ascii="Times New Roman" w:hAnsi="Times New Roman"/>
          <w:b/>
          <w:szCs w:val="21"/>
        </w:rPr>
      </w:pPr>
      <w:r w:rsidRPr="0064642A">
        <w:rPr>
          <w:rFonts w:ascii="Times New Roman" w:hAnsi="Times New Roman" w:hint="eastAsia"/>
          <w:b/>
          <w:szCs w:val="21"/>
        </w:rPr>
        <w:t>图</w:t>
      </w:r>
      <w:r w:rsidRPr="0064642A">
        <w:rPr>
          <w:rFonts w:ascii="Times New Roman" w:hAnsi="Times New Roman"/>
          <w:b/>
          <w:szCs w:val="21"/>
        </w:rPr>
        <w:t>1</w:t>
      </w:r>
      <w:r>
        <w:rPr>
          <w:rFonts w:ascii="Times New Roman" w:hAnsi="Times New Roman" w:hint="eastAsia"/>
          <w:b/>
          <w:szCs w:val="21"/>
        </w:rPr>
        <w:t>7</w:t>
      </w:r>
      <w:r w:rsidRPr="0064642A">
        <w:rPr>
          <w:rFonts w:ascii="Times New Roman" w:hAnsi="Times New Roman" w:hint="eastAsia"/>
          <w:b/>
          <w:szCs w:val="21"/>
        </w:rPr>
        <w:t>：国内焦炭价格走势</w:t>
      </w:r>
    </w:p>
    <w:p w:rsidR="0064642A" w:rsidRDefault="0064642A" w:rsidP="0064642A">
      <w:pPr>
        <w:jc w:val="center"/>
      </w:pPr>
      <w:r>
        <w:rPr>
          <w:noProof/>
        </w:rPr>
        <w:lastRenderedPageBreak/>
        <w:drawing>
          <wp:inline distT="0" distB="0" distL="0" distR="0" wp14:anchorId="1A560C98" wp14:editId="722DE1C8">
            <wp:extent cx="4168140" cy="2217420"/>
            <wp:effectExtent l="0" t="0" r="0" b="0"/>
            <wp:docPr id="26" name="图片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表 8"/>
                    <pic:cNvPicPr>
                      <a:picLocks noChangeArrowheads="1"/>
                    </pic:cNvPicPr>
                  </pic:nvPicPr>
                  <pic:blipFill>
                    <a:blip r:embed="rId24">
                      <a:extLst>
                        <a:ext uri="{28A0092B-C50C-407E-A947-70E740481C1C}">
                          <a14:useLocalDpi xmlns:a14="http://schemas.microsoft.com/office/drawing/2010/main" val="0"/>
                        </a:ext>
                      </a:extLst>
                    </a:blip>
                    <a:srcRect l="-1691" t="-1207" r="-3127" b="-9781"/>
                    <a:stretch>
                      <a:fillRect/>
                    </a:stretch>
                  </pic:blipFill>
                  <pic:spPr bwMode="auto">
                    <a:xfrm>
                      <a:off x="0" y="0"/>
                      <a:ext cx="4168140" cy="2217420"/>
                    </a:xfrm>
                    <a:prstGeom prst="rect">
                      <a:avLst/>
                    </a:prstGeom>
                    <a:noFill/>
                    <a:ln>
                      <a:noFill/>
                    </a:ln>
                  </pic:spPr>
                </pic:pic>
              </a:graphicData>
            </a:graphic>
          </wp:inline>
        </w:drawing>
      </w:r>
    </w:p>
    <w:p w:rsidR="00CB458A" w:rsidRPr="0064642A" w:rsidRDefault="0064642A" w:rsidP="0064642A">
      <w:pPr>
        <w:spacing w:line="360" w:lineRule="auto"/>
        <w:ind w:leftChars="-270" w:left="-567" w:rightChars="-108" w:right="-227"/>
        <w:jc w:val="center"/>
        <w:rPr>
          <w:rFonts w:ascii="Times New Roman" w:hAnsi="Times New Roman"/>
          <w:b/>
          <w:szCs w:val="21"/>
        </w:rPr>
      </w:pPr>
      <w:r w:rsidRPr="0064642A">
        <w:rPr>
          <w:rFonts w:ascii="Times New Roman" w:hAnsi="Times New Roman" w:hint="eastAsia"/>
          <w:b/>
          <w:szCs w:val="21"/>
        </w:rPr>
        <w:t>数据来源：方正中期期货研究院整理</w:t>
      </w:r>
    </w:p>
    <w:p w:rsidR="00CB458A" w:rsidRPr="0064642A" w:rsidRDefault="0064642A" w:rsidP="0064642A">
      <w:pPr>
        <w:rPr>
          <w:b/>
          <w:sz w:val="28"/>
          <w:szCs w:val="28"/>
        </w:rPr>
      </w:pPr>
      <w:r>
        <w:rPr>
          <w:rFonts w:hint="eastAsia"/>
          <w:b/>
          <w:sz w:val="28"/>
          <w:szCs w:val="28"/>
        </w:rPr>
        <w:t>三、</w:t>
      </w:r>
      <w:r w:rsidR="00DF043A">
        <w:rPr>
          <w:rFonts w:hint="eastAsia"/>
          <w:b/>
          <w:sz w:val="28"/>
          <w:szCs w:val="28"/>
        </w:rPr>
        <w:t>煤焦期货价格料较长时间维持底部震荡</w:t>
      </w:r>
    </w:p>
    <w:p w:rsidR="00866477" w:rsidRPr="00866477" w:rsidRDefault="00DF043A" w:rsidP="00866477">
      <w:pPr>
        <w:spacing w:line="360" w:lineRule="auto"/>
        <w:ind w:firstLineChars="200" w:firstLine="480"/>
        <w:rPr>
          <w:rFonts w:ascii="宋体" w:hAnsi="宋体"/>
          <w:sz w:val="24"/>
        </w:rPr>
      </w:pPr>
      <w:r>
        <w:rPr>
          <w:rFonts w:ascii="宋体" w:hAnsi="宋体" w:hint="eastAsia"/>
          <w:sz w:val="24"/>
        </w:rPr>
        <w:t>随着国内经济增速的下滑和房地产行业对于建材品种价格的压力，</w:t>
      </w:r>
      <w:r>
        <w:rPr>
          <w:rFonts w:ascii="宋体" w:hAnsi="宋体" w:hint="eastAsia"/>
          <w:sz w:val="24"/>
        </w:rPr>
        <w:t>在钢厂长期去库存的背景下，</w:t>
      </w:r>
      <w:r>
        <w:rPr>
          <w:rFonts w:ascii="宋体" w:hAnsi="宋体" w:hint="eastAsia"/>
          <w:sz w:val="24"/>
        </w:rPr>
        <w:t>煤焦期货价格难有像样的反弹，但连续下跌后成本支撑显现，下方空间不断缩小。而</w:t>
      </w:r>
      <w:r w:rsidRPr="0064642A">
        <w:rPr>
          <w:rFonts w:ascii="宋体" w:hAnsi="宋体" w:hint="eastAsia"/>
          <w:sz w:val="24"/>
        </w:rPr>
        <w:t>一些利好因素也在持续发酵</w:t>
      </w:r>
      <w:r>
        <w:rPr>
          <w:rFonts w:ascii="宋体" w:hAnsi="宋体" w:hint="eastAsia"/>
          <w:sz w:val="24"/>
        </w:rPr>
        <w:t>，</w:t>
      </w:r>
      <w:r w:rsidRPr="0064642A">
        <w:rPr>
          <w:rFonts w:ascii="宋体" w:hAnsi="宋体" w:hint="eastAsia"/>
          <w:sz w:val="24"/>
        </w:rPr>
        <w:t>房贷新政的推出，楼市销量已有回暖迹象。央行继续加大定向宽松力度，四季度经济走稳的概率较大。</w:t>
      </w:r>
      <w:r>
        <w:rPr>
          <w:rFonts w:ascii="宋体" w:hAnsi="宋体" w:hint="eastAsia"/>
          <w:sz w:val="24"/>
        </w:rPr>
        <w:t>因此，我们认为年底前煤焦期货价格将面临下有支撑上有压力的状态，</w:t>
      </w:r>
      <w:r w:rsidRPr="00DF043A">
        <w:rPr>
          <w:rFonts w:ascii="宋体" w:hAnsi="宋体" w:hint="eastAsia"/>
          <w:sz w:val="24"/>
        </w:rPr>
        <w:t>煤焦期货价格料较长时间维持底部震荡</w:t>
      </w:r>
      <w:r>
        <w:rPr>
          <w:rFonts w:ascii="宋体" w:hAnsi="宋体" w:hint="eastAsia"/>
          <w:sz w:val="24"/>
        </w:rPr>
        <w:t>。</w:t>
      </w:r>
      <w:bookmarkStart w:id="0" w:name="_GoBack"/>
      <w:bookmarkEnd w:id="0"/>
    </w:p>
    <w:sectPr w:rsidR="00866477" w:rsidRPr="008664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A2C" w:rsidRDefault="00C54A2C" w:rsidP="00CB458A">
      <w:r>
        <w:separator/>
      </w:r>
    </w:p>
  </w:endnote>
  <w:endnote w:type="continuationSeparator" w:id="0">
    <w:p w:rsidR="00C54A2C" w:rsidRDefault="00C54A2C" w:rsidP="00CB4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A2C" w:rsidRDefault="00C54A2C" w:rsidP="00CB458A">
      <w:r>
        <w:separator/>
      </w:r>
    </w:p>
  </w:footnote>
  <w:footnote w:type="continuationSeparator" w:id="0">
    <w:p w:rsidR="00C54A2C" w:rsidRDefault="00C54A2C" w:rsidP="00CB45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F69C4"/>
    <w:multiLevelType w:val="hybridMultilevel"/>
    <w:tmpl w:val="915A8DAE"/>
    <w:lvl w:ilvl="0" w:tplc="0A384856">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CCD0F07"/>
    <w:multiLevelType w:val="hybridMultilevel"/>
    <w:tmpl w:val="BD0E34B2"/>
    <w:lvl w:ilvl="0" w:tplc="C5223D0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1DB4F30"/>
    <w:multiLevelType w:val="hybridMultilevel"/>
    <w:tmpl w:val="4CFE2EC6"/>
    <w:lvl w:ilvl="0" w:tplc="D9869356">
      <w:start w:val="1"/>
      <w:numFmt w:val="japaneseCounting"/>
      <w:lvlText w:val="%1、"/>
      <w:lvlJc w:val="left"/>
      <w:pPr>
        <w:ind w:left="432" w:hanging="432"/>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6E430D"/>
    <w:multiLevelType w:val="hybridMultilevel"/>
    <w:tmpl w:val="7E18015C"/>
    <w:lvl w:ilvl="0" w:tplc="96942742">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65D21DD"/>
    <w:multiLevelType w:val="hybridMultilevel"/>
    <w:tmpl w:val="B45A5F4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231"/>
    <w:rsid w:val="003667F5"/>
    <w:rsid w:val="0064642A"/>
    <w:rsid w:val="00785BBC"/>
    <w:rsid w:val="00866477"/>
    <w:rsid w:val="00C54A2C"/>
    <w:rsid w:val="00CB458A"/>
    <w:rsid w:val="00D77231"/>
    <w:rsid w:val="00DF043A"/>
    <w:rsid w:val="00FD5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5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45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B458A"/>
    <w:rPr>
      <w:sz w:val="18"/>
      <w:szCs w:val="18"/>
    </w:rPr>
  </w:style>
  <w:style w:type="paragraph" w:styleId="a4">
    <w:name w:val="footer"/>
    <w:basedOn w:val="a"/>
    <w:link w:val="Char0"/>
    <w:uiPriority w:val="99"/>
    <w:unhideWhenUsed/>
    <w:rsid w:val="00CB458A"/>
    <w:pPr>
      <w:tabs>
        <w:tab w:val="center" w:pos="4153"/>
        <w:tab w:val="right" w:pos="8306"/>
      </w:tabs>
      <w:snapToGrid w:val="0"/>
      <w:jc w:val="left"/>
    </w:pPr>
    <w:rPr>
      <w:sz w:val="18"/>
      <w:szCs w:val="18"/>
    </w:rPr>
  </w:style>
  <w:style w:type="character" w:customStyle="1" w:styleId="Char0">
    <w:name w:val="页脚 Char"/>
    <w:basedOn w:val="a0"/>
    <w:link w:val="a4"/>
    <w:uiPriority w:val="99"/>
    <w:rsid w:val="00CB458A"/>
    <w:rPr>
      <w:sz w:val="18"/>
      <w:szCs w:val="18"/>
    </w:rPr>
  </w:style>
  <w:style w:type="paragraph" w:styleId="a5">
    <w:name w:val="List Paragraph"/>
    <w:basedOn w:val="a"/>
    <w:uiPriority w:val="34"/>
    <w:qFormat/>
    <w:rsid w:val="00CB458A"/>
    <w:pPr>
      <w:ind w:firstLineChars="200" w:firstLine="420"/>
    </w:pPr>
  </w:style>
  <w:style w:type="paragraph" w:styleId="a6">
    <w:name w:val="Balloon Text"/>
    <w:basedOn w:val="a"/>
    <w:link w:val="Char1"/>
    <w:uiPriority w:val="99"/>
    <w:semiHidden/>
    <w:unhideWhenUsed/>
    <w:rsid w:val="00CB458A"/>
    <w:rPr>
      <w:sz w:val="18"/>
      <w:szCs w:val="18"/>
    </w:rPr>
  </w:style>
  <w:style w:type="character" w:customStyle="1" w:styleId="Char1">
    <w:name w:val="批注框文本 Char"/>
    <w:basedOn w:val="a0"/>
    <w:link w:val="a6"/>
    <w:uiPriority w:val="99"/>
    <w:semiHidden/>
    <w:rsid w:val="00CB458A"/>
    <w:rPr>
      <w:sz w:val="18"/>
      <w:szCs w:val="18"/>
    </w:rPr>
  </w:style>
  <w:style w:type="character" w:customStyle="1" w:styleId="Char2">
    <w:name w:val="普通(网站) Char"/>
    <w:aliases w:val="普通 (Web) Char"/>
    <w:link w:val="a7"/>
    <w:locked/>
    <w:rsid w:val="0064642A"/>
    <w:rPr>
      <w:rFonts w:ascii="宋体" w:eastAsia="宋体" w:hAnsi="宋体"/>
      <w:sz w:val="24"/>
    </w:rPr>
  </w:style>
  <w:style w:type="paragraph" w:styleId="a7">
    <w:name w:val="Normal (Web)"/>
    <w:aliases w:val="普通 (Web)"/>
    <w:basedOn w:val="a"/>
    <w:link w:val="Char2"/>
    <w:rsid w:val="0064642A"/>
    <w:pPr>
      <w:widowControl/>
      <w:spacing w:before="100" w:beforeAutospacing="1" w:after="100" w:afterAutospacing="1"/>
      <w:jc w:val="left"/>
    </w:pPr>
    <w:rPr>
      <w:rFonts w:ascii="宋体" w:eastAsia="宋体" w:hAnsi="宋体"/>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5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45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B458A"/>
    <w:rPr>
      <w:sz w:val="18"/>
      <w:szCs w:val="18"/>
    </w:rPr>
  </w:style>
  <w:style w:type="paragraph" w:styleId="a4">
    <w:name w:val="footer"/>
    <w:basedOn w:val="a"/>
    <w:link w:val="Char0"/>
    <w:uiPriority w:val="99"/>
    <w:unhideWhenUsed/>
    <w:rsid w:val="00CB458A"/>
    <w:pPr>
      <w:tabs>
        <w:tab w:val="center" w:pos="4153"/>
        <w:tab w:val="right" w:pos="8306"/>
      </w:tabs>
      <w:snapToGrid w:val="0"/>
      <w:jc w:val="left"/>
    </w:pPr>
    <w:rPr>
      <w:sz w:val="18"/>
      <w:szCs w:val="18"/>
    </w:rPr>
  </w:style>
  <w:style w:type="character" w:customStyle="1" w:styleId="Char0">
    <w:name w:val="页脚 Char"/>
    <w:basedOn w:val="a0"/>
    <w:link w:val="a4"/>
    <w:uiPriority w:val="99"/>
    <w:rsid w:val="00CB458A"/>
    <w:rPr>
      <w:sz w:val="18"/>
      <w:szCs w:val="18"/>
    </w:rPr>
  </w:style>
  <w:style w:type="paragraph" w:styleId="a5">
    <w:name w:val="List Paragraph"/>
    <w:basedOn w:val="a"/>
    <w:uiPriority w:val="34"/>
    <w:qFormat/>
    <w:rsid w:val="00CB458A"/>
    <w:pPr>
      <w:ind w:firstLineChars="200" w:firstLine="420"/>
    </w:pPr>
  </w:style>
  <w:style w:type="paragraph" w:styleId="a6">
    <w:name w:val="Balloon Text"/>
    <w:basedOn w:val="a"/>
    <w:link w:val="Char1"/>
    <w:uiPriority w:val="99"/>
    <w:semiHidden/>
    <w:unhideWhenUsed/>
    <w:rsid w:val="00CB458A"/>
    <w:rPr>
      <w:sz w:val="18"/>
      <w:szCs w:val="18"/>
    </w:rPr>
  </w:style>
  <w:style w:type="character" w:customStyle="1" w:styleId="Char1">
    <w:name w:val="批注框文本 Char"/>
    <w:basedOn w:val="a0"/>
    <w:link w:val="a6"/>
    <w:uiPriority w:val="99"/>
    <w:semiHidden/>
    <w:rsid w:val="00CB458A"/>
    <w:rPr>
      <w:sz w:val="18"/>
      <w:szCs w:val="18"/>
    </w:rPr>
  </w:style>
  <w:style w:type="character" w:customStyle="1" w:styleId="Char2">
    <w:name w:val="普通(网站) Char"/>
    <w:aliases w:val="普通 (Web) Char"/>
    <w:link w:val="a7"/>
    <w:locked/>
    <w:rsid w:val="0064642A"/>
    <w:rPr>
      <w:rFonts w:ascii="宋体" w:eastAsia="宋体" w:hAnsi="宋体"/>
      <w:sz w:val="24"/>
    </w:rPr>
  </w:style>
  <w:style w:type="paragraph" w:styleId="a7">
    <w:name w:val="Normal (Web)"/>
    <w:aliases w:val="普通 (Web)"/>
    <w:basedOn w:val="a"/>
    <w:link w:val="Char2"/>
    <w:rsid w:val="0064642A"/>
    <w:pPr>
      <w:widowControl/>
      <w:spacing w:before="100" w:beforeAutospacing="1" w:after="100" w:afterAutospacing="1"/>
      <w:jc w:val="left"/>
    </w:pPr>
    <w:rPr>
      <w:rFonts w:ascii="宋体" w:eastAsia="宋体" w:hAnsi="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image" Target="media/image11.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emf"/><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617</Words>
  <Characters>3520</Characters>
  <Application>Microsoft Office Word</Application>
  <DocSecurity>0</DocSecurity>
  <Lines>29</Lines>
  <Paragraphs>8</Paragraphs>
  <ScaleCrop>false</ScaleCrop>
  <Company/>
  <LinksUpToDate>false</LinksUpToDate>
  <CharactersWithSpaces>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niu</dc:creator>
  <cp:lastModifiedBy>niu</cp:lastModifiedBy>
  <cp:revision>2</cp:revision>
  <dcterms:created xsi:type="dcterms:W3CDTF">2014-11-20T02:05:00Z</dcterms:created>
  <dcterms:modified xsi:type="dcterms:W3CDTF">2014-11-20T02:05:00Z</dcterms:modified>
</cp:coreProperties>
</file>