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E36" w:rsidRPr="00667FBE" w:rsidRDefault="00592244">
      <w:pPr>
        <w:rPr>
          <w:b/>
          <w:sz w:val="44"/>
          <w:szCs w:val="44"/>
        </w:rPr>
      </w:pPr>
      <w:r>
        <w:rPr>
          <w:rFonts w:hint="eastAsia"/>
        </w:rPr>
        <w:t xml:space="preserve">           </w:t>
      </w:r>
      <w:r>
        <w:rPr>
          <w:rFonts w:hint="eastAsia"/>
          <w:b/>
          <w:sz w:val="44"/>
          <w:szCs w:val="44"/>
        </w:rPr>
        <w:t>煤焦基本面坚挺，贴水有修复需求</w:t>
      </w:r>
    </w:p>
    <w:p w:rsidR="00AC4D4C" w:rsidRPr="00107296" w:rsidRDefault="00AC4D4C" w:rsidP="00D95D11">
      <w:pPr>
        <w:spacing w:beforeLines="150" w:before="468"/>
        <w:rPr>
          <w:b/>
          <w:szCs w:val="21"/>
        </w:rPr>
      </w:pPr>
      <w:r w:rsidRPr="00107296">
        <w:rPr>
          <w:rFonts w:hint="eastAsia"/>
          <w:b/>
          <w:szCs w:val="21"/>
        </w:rPr>
        <w:t xml:space="preserve">               </w:t>
      </w:r>
    </w:p>
    <w:p w:rsidR="008E7F93" w:rsidRDefault="008E7F93" w:rsidP="002F0709">
      <w:pPr>
        <w:pStyle w:val="a3"/>
        <w:numPr>
          <w:ilvl w:val="0"/>
          <w:numId w:val="2"/>
        </w:numPr>
        <w:spacing w:afterLines="50" w:after="156"/>
        <w:ind w:firstLineChars="0"/>
        <w:rPr>
          <w:b/>
        </w:rPr>
      </w:pPr>
      <w:r w:rsidRPr="008D2F3D">
        <w:rPr>
          <w:rFonts w:hint="eastAsia"/>
          <w:b/>
        </w:rPr>
        <w:t>焦炭产量分析</w:t>
      </w:r>
    </w:p>
    <w:p w:rsidR="00552050" w:rsidRDefault="00552050" w:rsidP="00946B4A">
      <w:pPr>
        <w:spacing w:line="360" w:lineRule="auto"/>
        <w:ind w:firstLineChars="400" w:firstLine="840"/>
      </w:pPr>
      <w:r>
        <w:rPr>
          <w:rFonts w:hint="eastAsia"/>
        </w:rPr>
        <w:t>1</w:t>
      </w:r>
      <w:r>
        <w:rPr>
          <w:rFonts w:hint="eastAsia"/>
        </w:rPr>
        <w:t>、焦炭产量</w:t>
      </w:r>
    </w:p>
    <w:p w:rsidR="00B12668" w:rsidRDefault="000A4078" w:rsidP="00BD5C8F">
      <w:pPr>
        <w:spacing w:line="360" w:lineRule="auto"/>
        <w:ind w:firstLineChars="400" w:firstLine="840"/>
      </w:pPr>
      <w:r w:rsidRPr="000A4078">
        <w:rPr>
          <w:rFonts w:hint="eastAsia"/>
        </w:rPr>
        <w:t>2013</w:t>
      </w:r>
      <w:r>
        <w:rPr>
          <w:rFonts w:hint="eastAsia"/>
        </w:rPr>
        <w:t>年</w:t>
      </w:r>
      <w:r w:rsidRPr="000A4078">
        <w:rPr>
          <w:rFonts w:hint="eastAsia"/>
        </w:rPr>
        <w:t>我国新投产焦炉</w:t>
      </w:r>
      <w:r w:rsidRPr="000A4078">
        <w:rPr>
          <w:rFonts w:hint="eastAsia"/>
        </w:rPr>
        <w:t>43</w:t>
      </w:r>
      <w:r w:rsidRPr="000A4078">
        <w:rPr>
          <w:rFonts w:hint="eastAsia"/>
        </w:rPr>
        <w:t>座、新增焦炭产能</w:t>
      </w:r>
      <w:r w:rsidRPr="000A4078">
        <w:rPr>
          <w:rFonts w:hint="eastAsia"/>
        </w:rPr>
        <w:t>2660</w:t>
      </w:r>
      <w:r w:rsidRPr="000A4078">
        <w:rPr>
          <w:rFonts w:hint="eastAsia"/>
        </w:rPr>
        <w:t>万吨。</w:t>
      </w:r>
      <w:r w:rsidRPr="000A4078">
        <w:rPr>
          <w:rFonts w:hint="eastAsia"/>
        </w:rPr>
        <w:t>2014</w:t>
      </w:r>
      <w:r w:rsidRPr="000A4078">
        <w:rPr>
          <w:rFonts w:hint="eastAsia"/>
        </w:rPr>
        <w:t>年淘汰焦炭产能</w:t>
      </w:r>
      <w:r w:rsidRPr="000A4078">
        <w:rPr>
          <w:rFonts w:hint="eastAsia"/>
        </w:rPr>
        <w:t>1200</w:t>
      </w:r>
      <w:r>
        <w:rPr>
          <w:rFonts w:hint="eastAsia"/>
        </w:rPr>
        <w:t>万吨。我国</w:t>
      </w:r>
      <w:r>
        <w:rPr>
          <w:rFonts w:hint="eastAsia"/>
        </w:rPr>
        <w:t>2011</w:t>
      </w:r>
      <w:r>
        <w:rPr>
          <w:rFonts w:hint="eastAsia"/>
        </w:rPr>
        <w:t>年焦炭产能为</w:t>
      </w:r>
      <w:r>
        <w:rPr>
          <w:rFonts w:hint="eastAsia"/>
        </w:rPr>
        <w:t>4.26</w:t>
      </w:r>
      <w:r>
        <w:rPr>
          <w:rFonts w:hint="eastAsia"/>
        </w:rPr>
        <w:t>亿吨，</w:t>
      </w:r>
      <w:r>
        <w:rPr>
          <w:rFonts w:hint="eastAsia"/>
        </w:rPr>
        <w:t>2012</w:t>
      </w:r>
      <w:r>
        <w:rPr>
          <w:rFonts w:hint="eastAsia"/>
        </w:rPr>
        <w:t>年为</w:t>
      </w:r>
      <w:r>
        <w:rPr>
          <w:rFonts w:hint="eastAsia"/>
        </w:rPr>
        <w:t>4.42</w:t>
      </w:r>
      <w:r>
        <w:rPr>
          <w:rFonts w:hint="eastAsia"/>
        </w:rPr>
        <w:t>亿吨，</w:t>
      </w:r>
      <w:r>
        <w:rPr>
          <w:rFonts w:hint="eastAsia"/>
        </w:rPr>
        <w:t>2013</w:t>
      </w:r>
      <w:r>
        <w:rPr>
          <w:rFonts w:hint="eastAsia"/>
        </w:rPr>
        <w:t>年为</w:t>
      </w:r>
      <w:r>
        <w:rPr>
          <w:rFonts w:hint="eastAsia"/>
        </w:rPr>
        <w:t>4.73</w:t>
      </w:r>
      <w:r>
        <w:rPr>
          <w:rFonts w:hint="eastAsia"/>
        </w:rPr>
        <w:t>亿吨，平稳增长。</w:t>
      </w:r>
      <w:r w:rsidR="00BD5C8F">
        <w:rPr>
          <w:rFonts w:hint="eastAsia"/>
        </w:rPr>
        <w:t xml:space="preserve">2014 </w:t>
      </w:r>
      <w:r w:rsidR="00BD5C8F">
        <w:rPr>
          <w:rFonts w:hint="eastAsia"/>
        </w:rPr>
        <w:t>年</w:t>
      </w:r>
      <w:r w:rsidR="00BD5C8F">
        <w:rPr>
          <w:rFonts w:hint="eastAsia"/>
        </w:rPr>
        <w:t xml:space="preserve"> 1-6 </w:t>
      </w:r>
      <w:r w:rsidR="00BD5C8F">
        <w:rPr>
          <w:rFonts w:hint="eastAsia"/>
        </w:rPr>
        <w:t>月份，中国焦炭产量为</w:t>
      </w:r>
      <w:r w:rsidR="00BD5C8F">
        <w:rPr>
          <w:rFonts w:hint="eastAsia"/>
        </w:rPr>
        <w:t xml:space="preserve"> 2.3 </w:t>
      </w:r>
      <w:r w:rsidR="00BD5C8F">
        <w:rPr>
          <w:rFonts w:hint="eastAsia"/>
        </w:rPr>
        <w:t>亿吨基本与去年同期下降</w:t>
      </w:r>
      <w:r w:rsidR="00BD5C8F">
        <w:rPr>
          <w:rFonts w:hint="eastAsia"/>
        </w:rPr>
        <w:t xml:space="preserve"> 1.1%</w:t>
      </w:r>
      <w:r w:rsidR="00BD5C8F">
        <w:rPr>
          <w:rFonts w:hint="eastAsia"/>
        </w:rPr>
        <w:t>，同比数据出现近年来少有的回落现象说明拉动焦炭增长的动力已经明显减弱，尤其</w:t>
      </w:r>
      <w:r w:rsidR="00BD5C8F">
        <w:rPr>
          <w:rFonts w:hint="eastAsia"/>
        </w:rPr>
        <w:t>3</w:t>
      </w:r>
      <w:r w:rsidR="00BD5C8F">
        <w:rPr>
          <w:rFonts w:hint="eastAsia"/>
        </w:rPr>
        <w:t>、</w:t>
      </w:r>
      <w:r w:rsidR="00BD5C8F">
        <w:rPr>
          <w:rFonts w:hint="eastAsia"/>
        </w:rPr>
        <w:t>4</w:t>
      </w:r>
      <w:r w:rsidR="00BD5C8F">
        <w:rPr>
          <w:rFonts w:hint="eastAsia"/>
        </w:rPr>
        <w:t>、</w:t>
      </w:r>
      <w:r w:rsidR="00BD5C8F">
        <w:rPr>
          <w:rFonts w:hint="eastAsia"/>
        </w:rPr>
        <w:t xml:space="preserve">5 </w:t>
      </w:r>
      <w:r w:rsidR="00BD5C8F">
        <w:rPr>
          <w:rFonts w:hint="eastAsia"/>
        </w:rPr>
        <w:t>月份连续三个月出现同比下降的特征为</w:t>
      </w:r>
      <w:r w:rsidR="00BD5C8F">
        <w:rPr>
          <w:rFonts w:hint="eastAsia"/>
        </w:rPr>
        <w:t xml:space="preserve"> 08 </w:t>
      </w:r>
      <w:r w:rsidR="00BD5C8F">
        <w:rPr>
          <w:rFonts w:hint="eastAsia"/>
        </w:rPr>
        <w:t>年以来较为罕见的情形。数据显示，</w:t>
      </w:r>
      <w:r w:rsidR="00BD5C8F">
        <w:rPr>
          <w:rFonts w:hint="eastAsia"/>
        </w:rPr>
        <w:t xml:space="preserve">2014 </w:t>
      </w:r>
      <w:r w:rsidR="00BD5C8F">
        <w:rPr>
          <w:rFonts w:hint="eastAsia"/>
        </w:rPr>
        <w:t>年</w:t>
      </w:r>
      <w:r w:rsidR="00BD5C8F">
        <w:rPr>
          <w:rFonts w:hint="eastAsia"/>
        </w:rPr>
        <w:t xml:space="preserve"> 1-6 </w:t>
      </w:r>
      <w:r w:rsidR="00BD5C8F">
        <w:rPr>
          <w:rFonts w:hint="eastAsia"/>
        </w:rPr>
        <w:t>月份，中国生铁产量为</w:t>
      </w:r>
      <w:r w:rsidR="00BD5C8F">
        <w:rPr>
          <w:rFonts w:hint="eastAsia"/>
        </w:rPr>
        <w:t xml:space="preserve"> 3.6 </w:t>
      </w:r>
      <w:r w:rsidR="00BD5C8F">
        <w:rPr>
          <w:rFonts w:hint="eastAsia"/>
        </w:rPr>
        <w:t>亿吨，同比去年零增长。</w:t>
      </w:r>
    </w:p>
    <w:p w:rsidR="000D1EE2" w:rsidRDefault="00552050" w:rsidP="00946B4A">
      <w:pPr>
        <w:pStyle w:val="a3"/>
        <w:spacing w:line="360" w:lineRule="auto"/>
        <w:ind w:left="360"/>
      </w:pPr>
      <w:r>
        <w:rPr>
          <w:rFonts w:hint="eastAsia"/>
        </w:rPr>
        <w:t>2</w:t>
      </w:r>
      <w:r>
        <w:rPr>
          <w:rFonts w:hint="eastAsia"/>
        </w:rPr>
        <w:t>、焦煤产量</w:t>
      </w:r>
    </w:p>
    <w:p w:rsidR="005920C3" w:rsidRDefault="005920C3" w:rsidP="00946B4A">
      <w:pPr>
        <w:pStyle w:val="a3"/>
        <w:spacing w:line="360" w:lineRule="auto"/>
        <w:ind w:left="360"/>
      </w:pPr>
      <w:r>
        <w:rPr>
          <w:rFonts w:hint="eastAsia"/>
        </w:rPr>
        <w:t>2013</w:t>
      </w:r>
      <w:r>
        <w:rPr>
          <w:rFonts w:hint="eastAsia"/>
        </w:rPr>
        <w:t>年我国炼焦</w:t>
      </w:r>
      <w:proofErr w:type="gramStart"/>
      <w:r>
        <w:rPr>
          <w:rFonts w:hint="eastAsia"/>
        </w:rPr>
        <w:t>精煤总</w:t>
      </w:r>
      <w:proofErr w:type="gramEnd"/>
      <w:r>
        <w:rPr>
          <w:rFonts w:hint="eastAsia"/>
        </w:rPr>
        <w:t>供给为</w:t>
      </w:r>
      <w:r>
        <w:rPr>
          <w:rFonts w:hint="eastAsia"/>
        </w:rPr>
        <w:t>6.45</w:t>
      </w:r>
      <w:r>
        <w:rPr>
          <w:rFonts w:hint="eastAsia"/>
        </w:rPr>
        <w:t>亿吨，其中国产炼焦精煤</w:t>
      </w:r>
      <w:r>
        <w:rPr>
          <w:rFonts w:hint="eastAsia"/>
        </w:rPr>
        <w:t>5.7</w:t>
      </w:r>
      <w:r>
        <w:rPr>
          <w:rFonts w:hint="eastAsia"/>
        </w:rPr>
        <w:t>亿吨，进口焦煤</w:t>
      </w:r>
      <w:r>
        <w:rPr>
          <w:rFonts w:hint="eastAsia"/>
        </w:rPr>
        <w:t>0.75</w:t>
      </w:r>
      <w:r>
        <w:rPr>
          <w:rFonts w:hint="eastAsia"/>
        </w:rPr>
        <w:t>亿吨</w:t>
      </w:r>
      <w:r w:rsidR="002F717F">
        <w:rPr>
          <w:rFonts w:hint="eastAsia"/>
        </w:rPr>
        <w:t>，出口</w:t>
      </w:r>
      <w:r w:rsidR="002F717F">
        <w:rPr>
          <w:rFonts w:hint="eastAsia"/>
        </w:rPr>
        <w:t>100</w:t>
      </w:r>
      <w:r w:rsidR="002F717F">
        <w:rPr>
          <w:rFonts w:hint="eastAsia"/>
        </w:rPr>
        <w:t>万吨左右，去年炼焦煤过剩</w:t>
      </w:r>
      <w:r w:rsidR="002F717F">
        <w:rPr>
          <w:rFonts w:hint="eastAsia"/>
        </w:rPr>
        <w:t>1000</w:t>
      </w:r>
      <w:r w:rsidR="002F717F">
        <w:rPr>
          <w:rFonts w:hint="eastAsia"/>
        </w:rPr>
        <w:t>万吨</w:t>
      </w:r>
      <w:r>
        <w:rPr>
          <w:rFonts w:hint="eastAsia"/>
        </w:rPr>
        <w:t>。</w:t>
      </w:r>
      <w:r>
        <w:rPr>
          <w:rFonts w:hint="eastAsia"/>
        </w:rPr>
        <w:t>2014</w:t>
      </w:r>
      <w:r>
        <w:rPr>
          <w:rFonts w:hint="eastAsia"/>
        </w:rPr>
        <w:t>年</w:t>
      </w:r>
      <w:proofErr w:type="gramStart"/>
      <w:r>
        <w:rPr>
          <w:rFonts w:hint="eastAsia"/>
        </w:rPr>
        <w:t>前三月</w:t>
      </w:r>
      <w:proofErr w:type="gramEnd"/>
      <w:r>
        <w:rPr>
          <w:rFonts w:hint="eastAsia"/>
        </w:rPr>
        <w:t>我国焦煤总供给为</w:t>
      </w:r>
      <w:r>
        <w:rPr>
          <w:rFonts w:hint="eastAsia"/>
        </w:rPr>
        <w:t>1.5</w:t>
      </w:r>
      <w:r>
        <w:rPr>
          <w:rFonts w:hint="eastAsia"/>
        </w:rPr>
        <w:t>亿吨，较去年增加</w:t>
      </w:r>
      <w:r>
        <w:rPr>
          <w:rFonts w:hint="eastAsia"/>
        </w:rPr>
        <w:t>600</w:t>
      </w:r>
      <w:r>
        <w:rPr>
          <w:rFonts w:hint="eastAsia"/>
        </w:rPr>
        <w:t>万吨。其中国产煤增加，而进口煤减少。而</w:t>
      </w:r>
      <w:r>
        <w:rPr>
          <w:rFonts w:hint="eastAsia"/>
        </w:rPr>
        <w:t>3</w:t>
      </w:r>
      <w:r>
        <w:rPr>
          <w:rFonts w:hint="eastAsia"/>
        </w:rPr>
        <w:t>月份后焦煤的供给量增加明显，国内矿开工率上升。</w:t>
      </w:r>
    </w:p>
    <w:p w:rsidR="003C3A31" w:rsidRDefault="003C3A31" w:rsidP="00946B4A">
      <w:pPr>
        <w:pStyle w:val="a3"/>
        <w:spacing w:line="360" w:lineRule="auto"/>
        <w:ind w:left="360"/>
      </w:pPr>
    </w:p>
    <w:p w:rsidR="008D2F3D" w:rsidRPr="002F0709" w:rsidRDefault="002C1D15" w:rsidP="00946B4A">
      <w:pPr>
        <w:pStyle w:val="a3"/>
        <w:numPr>
          <w:ilvl w:val="0"/>
          <w:numId w:val="2"/>
        </w:numPr>
        <w:spacing w:afterLines="50" w:after="156" w:line="360" w:lineRule="auto"/>
        <w:ind w:firstLineChars="0"/>
        <w:rPr>
          <w:b/>
        </w:rPr>
      </w:pPr>
      <w:r w:rsidRPr="002F0709">
        <w:rPr>
          <w:rFonts w:hint="eastAsia"/>
          <w:b/>
        </w:rPr>
        <w:t>各地焦炭开工率</w:t>
      </w:r>
    </w:p>
    <w:tbl>
      <w:tblPr>
        <w:tblStyle w:val="a4"/>
        <w:tblW w:w="0" w:type="auto"/>
        <w:tblInd w:w="420" w:type="dxa"/>
        <w:tblLayout w:type="fixed"/>
        <w:tblLook w:val="04A0" w:firstRow="1" w:lastRow="0" w:firstColumn="1" w:lastColumn="0" w:noHBand="0" w:noVBand="1"/>
      </w:tblPr>
      <w:tblGrid>
        <w:gridCol w:w="964"/>
        <w:gridCol w:w="709"/>
        <w:gridCol w:w="828"/>
        <w:gridCol w:w="780"/>
        <w:gridCol w:w="780"/>
        <w:gridCol w:w="730"/>
        <w:gridCol w:w="851"/>
        <w:gridCol w:w="898"/>
        <w:gridCol w:w="781"/>
        <w:gridCol w:w="781"/>
      </w:tblGrid>
      <w:tr w:rsidR="00880D75" w:rsidTr="00880D75">
        <w:tc>
          <w:tcPr>
            <w:tcW w:w="964" w:type="dxa"/>
          </w:tcPr>
          <w:p w:rsidR="00D53AD2" w:rsidRDefault="00880D75" w:rsidP="00946B4A">
            <w:pPr>
              <w:pStyle w:val="a3"/>
              <w:spacing w:line="360" w:lineRule="auto"/>
              <w:ind w:firstLineChars="0" w:firstLine="0"/>
              <w:rPr>
                <w:szCs w:val="21"/>
              </w:rPr>
            </w:pPr>
            <w:r>
              <w:rPr>
                <w:rFonts w:hint="eastAsia"/>
                <w:szCs w:val="21"/>
              </w:rPr>
              <w:t>年度</w:t>
            </w:r>
            <w:r>
              <w:rPr>
                <w:rFonts w:hint="eastAsia"/>
                <w:szCs w:val="21"/>
              </w:rPr>
              <w:t>/</w:t>
            </w:r>
            <w:r>
              <w:rPr>
                <w:rFonts w:hint="eastAsia"/>
                <w:szCs w:val="21"/>
              </w:rPr>
              <w:t>开工率</w:t>
            </w:r>
          </w:p>
        </w:tc>
        <w:tc>
          <w:tcPr>
            <w:tcW w:w="709" w:type="dxa"/>
          </w:tcPr>
          <w:p w:rsidR="00D53AD2" w:rsidRDefault="0099513D" w:rsidP="00946B4A">
            <w:pPr>
              <w:pStyle w:val="a3"/>
              <w:spacing w:line="360" w:lineRule="auto"/>
              <w:ind w:firstLineChars="0" w:firstLine="0"/>
              <w:rPr>
                <w:szCs w:val="21"/>
              </w:rPr>
            </w:pPr>
            <w:r>
              <w:rPr>
                <w:rFonts w:hint="eastAsia"/>
                <w:szCs w:val="21"/>
              </w:rPr>
              <w:t>3</w:t>
            </w:r>
            <w:r>
              <w:rPr>
                <w:rFonts w:hint="eastAsia"/>
                <w:szCs w:val="21"/>
              </w:rPr>
              <w:t>月</w:t>
            </w:r>
            <w:r w:rsidR="00D53AD2">
              <w:rPr>
                <w:rFonts w:hint="eastAsia"/>
                <w:szCs w:val="21"/>
              </w:rPr>
              <w:t>100</w:t>
            </w:r>
            <w:r w:rsidR="00D53AD2">
              <w:rPr>
                <w:rFonts w:hint="eastAsia"/>
                <w:szCs w:val="21"/>
              </w:rPr>
              <w:t>万以下</w:t>
            </w:r>
            <w:r w:rsidR="00880D75">
              <w:rPr>
                <w:rFonts w:hint="eastAsia"/>
                <w:szCs w:val="21"/>
              </w:rPr>
              <w:t>(%)</w:t>
            </w:r>
          </w:p>
        </w:tc>
        <w:tc>
          <w:tcPr>
            <w:tcW w:w="828" w:type="dxa"/>
          </w:tcPr>
          <w:p w:rsidR="00D53AD2" w:rsidRDefault="0099513D" w:rsidP="00946B4A">
            <w:pPr>
              <w:pStyle w:val="a3"/>
              <w:spacing w:line="360" w:lineRule="auto"/>
              <w:ind w:firstLineChars="0" w:firstLine="0"/>
              <w:rPr>
                <w:szCs w:val="21"/>
              </w:rPr>
            </w:pPr>
            <w:r>
              <w:rPr>
                <w:rFonts w:hint="eastAsia"/>
                <w:szCs w:val="21"/>
              </w:rPr>
              <w:t>3</w:t>
            </w:r>
            <w:r>
              <w:rPr>
                <w:rFonts w:hint="eastAsia"/>
                <w:szCs w:val="21"/>
              </w:rPr>
              <w:t>月</w:t>
            </w:r>
            <w:r w:rsidR="00D53AD2">
              <w:rPr>
                <w:rFonts w:hint="eastAsia"/>
                <w:szCs w:val="21"/>
              </w:rPr>
              <w:t>100-200</w:t>
            </w:r>
            <w:r w:rsidR="00D53AD2">
              <w:rPr>
                <w:rFonts w:hint="eastAsia"/>
                <w:szCs w:val="21"/>
              </w:rPr>
              <w:t>万</w:t>
            </w:r>
            <w:r w:rsidR="00880D75">
              <w:rPr>
                <w:rFonts w:hint="eastAsia"/>
                <w:szCs w:val="21"/>
              </w:rPr>
              <w:t>(%)</w:t>
            </w:r>
          </w:p>
        </w:tc>
        <w:tc>
          <w:tcPr>
            <w:tcW w:w="780" w:type="dxa"/>
          </w:tcPr>
          <w:p w:rsidR="00D53AD2" w:rsidRDefault="0099513D" w:rsidP="00946B4A">
            <w:pPr>
              <w:pStyle w:val="a3"/>
              <w:spacing w:line="360" w:lineRule="auto"/>
              <w:ind w:firstLineChars="0" w:firstLine="0"/>
              <w:rPr>
                <w:szCs w:val="21"/>
              </w:rPr>
            </w:pPr>
            <w:r>
              <w:rPr>
                <w:rFonts w:hint="eastAsia"/>
                <w:szCs w:val="21"/>
              </w:rPr>
              <w:t>3</w:t>
            </w:r>
            <w:r>
              <w:rPr>
                <w:rFonts w:hint="eastAsia"/>
                <w:szCs w:val="21"/>
              </w:rPr>
              <w:t>月</w:t>
            </w:r>
            <w:r w:rsidR="00D53AD2">
              <w:rPr>
                <w:rFonts w:hint="eastAsia"/>
                <w:szCs w:val="21"/>
              </w:rPr>
              <w:t>200</w:t>
            </w:r>
            <w:r w:rsidR="00D53AD2">
              <w:rPr>
                <w:rFonts w:hint="eastAsia"/>
                <w:szCs w:val="21"/>
              </w:rPr>
              <w:t>万以上</w:t>
            </w:r>
            <w:r w:rsidR="00880D75">
              <w:rPr>
                <w:rFonts w:hint="eastAsia"/>
                <w:szCs w:val="21"/>
              </w:rPr>
              <w:t>(%)</w:t>
            </w:r>
          </w:p>
        </w:tc>
        <w:tc>
          <w:tcPr>
            <w:tcW w:w="780" w:type="dxa"/>
          </w:tcPr>
          <w:p w:rsidR="00D53AD2" w:rsidRDefault="0099513D" w:rsidP="00946B4A">
            <w:pPr>
              <w:pStyle w:val="a3"/>
              <w:spacing w:line="360" w:lineRule="auto"/>
              <w:ind w:firstLineChars="0" w:firstLine="0"/>
              <w:rPr>
                <w:szCs w:val="21"/>
              </w:rPr>
            </w:pPr>
            <w:r>
              <w:rPr>
                <w:rFonts w:hint="eastAsia"/>
                <w:szCs w:val="21"/>
              </w:rPr>
              <w:t>4</w:t>
            </w:r>
            <w:r>
              <w:rPr>
                <w:rFonts w:hint="eastAsia"/>
                <w:szCs w:val="21"/>
              </w:rPr>
              <w:t>月</w:t>
            </w:r>
            <w:r w:rsidR="00D53AD2" w:rsidRPr="00D53AD2">
              <w:rPr>
                <w:rFonts w:hint="eastAsia"/>
                <w:szCs w:val="21"/>
              </w:rPr>
              <w:t>100</w:t>
            </w:r>
            <w:r w:rsidR="00D53AD2" w:rsidRPr="00D53AD2">
              <w:rPr>
                <w:rFonts w:hint="eastAsia"/>
                <w:szCs w:val="21"/>
              </w:rPr>
              <w:t>万以下</w:t>
            </w:r>
            <w:r w:rsidR="00880D75" w:rsidRPr="00880D75">
              <w:rPr>
                <w:szCs w:val="21"/>
              </w:rPr>
              <w:t>(%)</w:t>
            </w:r>
          </w:p>
        </w:tc>
        <w:tc>
          <w:tcPr>
            <w:tcW w:w="730" w:type="dxa"/>
          </w:tcPr>
          <w:p w:rsidR="00D53AD2" w:rsidRDefault="0099513D" w:rsidP="00946B4A">
            <w:pPr>
              <w:pStyle w:val="a3"/>
              <w:spacing w:line="360" w:lineRule="auto"/>
              <w:ind w:firstLineChars="0" w:firstLine="0"/>
              <w:rPr>
                <w:szCs w:val="21"/>
              </w:rPr>
            </w:pPr>
            <w:r>
              <w:rPr>
                <w:rFonts w:hint="eastAsia"/>
                <w:szCs w:val="21"/>
              </w:rPr>
              <w:t>4</w:t>
            </w:r>
            <w:r>
              <w:rPr>
                <w:rFonts w:hint="eastAsia"/>
                <w:szCs w:val="21"/>
              </w:rPr>
              <w:t>月</w:t>
            </w:r>
            <w:r w:rsidR="00D53AD2" w:rsidRPr="00D53AD2">
              <w:rPr>
                <w:rFonts w:hint="eastAsia"/>
                <w:szCs w:val="21"/>
              </w:rPr>
              <w:t>100-200</w:t>
            </w:r>
            <w:r w:rsidR="00D53AD2" w:rsidRPr="00D53AD2">
              <w:rPr>
                <w:rFonts w:hint="eastAsia"/>
                <w:szCs w:val="21"/>
              </w:rPr>
              <w:t>万</w:t>
            </w:r>
            <w:r w:rsidR="00880D75" w:rsidRPr="00880D75">
              <w:rPr>
                <w:szCs w:val="21"/>
              </w:rPr>
              <w:t>(%)</w:t>
            </w:r>
          </w:p>
        </w:tc>
        <w:tc>
          <w:tcPr>
            <w:tcW w:w="851" w:type="dxa"/>
          </w:tcPr>
          <w:p w:rsidR="00D53AD2" w:rsidRDefault="0099513D" w:rsidP="00946B4A">
            <w:pPr>
              <w:pStyle w:val="a3"/>
              <w:spacing w:line="360" w:lineRule="auto"/>
              <w:ind w:firstLineChars="0" w:firstLine="0"/>
              <w:rPr>
                <w:szCs w:val="21"/>
              </w:rPr>
            </w:pPr>
            <w:r>
              <w:rPr>
                <w:rFonts w:hint="eastAsia"/>
                <w:szCs w:val="21"/>
              </w:rPr>
              <w:t>4</w:t>
            </w:r>
            <w:r>
              <w:rPr>
                <w:rFonts w:hint="eastAsia"/>
                <w:szCs w:val="21"/>
              </w:rPr>
              <w:t>月</w:t>
            </w:r>
            <w:r w:rsidR="00D53AD2" w:rsidRPr="00D53AD2">
              <w:rPr>
                <w:rFonts w:hint="eastAsia"/>
                <w:szCs w:val="21"/>
              </w:rPr>
              <w:t>200</w:t>
            </w:r>
            <w:r w:rsidR="00D53AD2" w:rsidRPr="00D53AD2">
              <w:rPr>
                <w:rFonts w:hint="eastAsia"/>
                <w:szCs w:val="21"/>
              </w:rPr>
              <w:t>万以上</w:t>
            </w:r>
            <w:r w:rsidR="00880D75" w:rsidRPr="00880D75">
              <w:rPr>
                <w:szCs w:val="21"/>
              </w:rPr>
              <w:t>(%)</w:t>
            </w:r>
          </w:p>
        </w:tc>
        <w:tc>
          <w:tcPr>
            <w:tcW w:w="898" w:type="dxa"/>
          </w:tcPr>
          <w:p w:rsidR="00D53AD2" w:rsidRDefault="0099513D" w:rsidP="00946B4A">
            <w:pPr>
              <w:pStyle w:val="a3"/>
              <w:spacing w:line="360" w:lineRule="auto"/>
              <w:ind w:firstLineChars="0" w:firstLine="0"/>
              <w:rPr>
                <w:szCs w:val="21"/>
              </w:rPr>
            </w:pPr>
            <w:r>
              <w:rPr>
                <w:rFonts w:hint="eastAsia"/>
                <w:szCs w:val="21"/>
              </w:rPr>
              <w:t>5</w:t>
            </w:r>
            <w:r>
              <w:rPr>
                <w:rFonts w:hint="eastAsia"/>
                <w:szCs w:val="21"/>
              </w:rPr>
              <w:t>月</w:t>
            </w:r>
            <w:r w:rsidR="00D53AD2" w:rsidRPr="00D53AD2">
              <w:rPr>
                <w:rFonts w:hint="eastAsia"/>
                <w:szCs w:val="21"/>
              </w:rPr>
              <w:t>100</w:t>
            </w:r>
            <w:r w:rsidR="00D53AD2" w:rsidRPr="00D53AD2">
              <w:rPr>
                <w:rFonts w:hint="eastAsia"/>
                <w:szCs w:val="21"/>
              </w:rPr>
              <w:t>万以下</w:t>
            </w:r>
            <w:r w:rsidR="00880D75" w:rsidRPr="00880D75">
              <w:rPr>
                <w:szCs w:val="21"/>
              </w:rPr>
              <w:t>(%)</w:t>
            </w:r>
          </w:p>
        </w:tc>
        <w:tc>
          <w:tcPr>
            <w:tcW w:w="781" w:type="dxa"/>
          </w:tcPr>
          <w:p w:rsidR="00D53AD2" w:rsidRDefault="0099513D" w:rsidP="00946B4A">
            <w:pPr>
              <w:pStyle w:val="a3"/>
              <w:spacing w:line="360" w:lineRule="auto"/>
              <w:ind w:firstLineChars="0" w:firstLine="0"/>
              <w:rPr>
                <w:szCs w:val="21"/>
              </w:rPr>
            </w:pPr>
            <w:r>
              <w:rPr>
                <w:rFonts w:hint="eastAsia"/>
                <w:szCs w:val="21"/>
              </w:rPr>
              <w:t>5</w:t>
            </w:r>
            <w:r>
              <w:rPr>
                <w:rFonts w:hint="eastAsia"/>
                <w:szCs w:val="21"/>
              </w:rPr>
              <w:t>月</w:t>
            </w:r>
            <w:r w:rsidR="00D53AD2" w:rsidRPr="00D53AD2">
              <w:rPr>
                <w:rFonts w:hint="eastAsia"/>
                <w:szCs w:val="21"/>
              </w:rPr>
              <w:t>200</w:t>
            </w:r>
            <w:r w:rsidR="00D53AD2" w:rsidRPr="00D53AD2">
              <w:rPr>
                <w:rFonts w:hint="eastAsia"/>
                <w:szCs w:val="21"/>
              </w:rPr>
              <w:t>万以上</w:t>
            </w:r>
            <w:r w:rsidR="00880D75" w:rsidRPr="00880D75">
              <w:rPr>
                <w:szCs w:val="21"/>
              </w:rPr>
              <w:t>(%)</w:t>
            </w:r>
          </w:p>
        </w:tc>
        <w:tc>
          <w:tcPr>
            <w:tcW w:w="781" w:type="dxa"/>
          </w:tcPr>
          <w:p w:rsidR="00D53AD2" w:rsidRDefault="0099513D" w:rsidP="00946B4A">
            <w:pPr>
              <w:pStyle w:val="a3"/>
              <w:spacing w:line="360" w:lineRule="auto"/>
              <w:ind w:firstLineChars="0" w:firstLine="0"/>
              <w:rPr>
                <w:szCs w:val="21"/>
              </w:rPr>
            </w:pPr>
            <w:r>
              <w:rPr>
                <w:rFonts w:hint="eastAsia"/>
                <w:szCs w:val="21"/>
              </w:rPr>
              <w:t>5</w:t>
            </w:r>
            <w:r>
              <w:rPr>
                <w:rFonts w:hint="eastAsia"/>
                <w:szCs w:val="21"/>
              </w:rPr>
              <w:t>月</w:t>
            </w:r>
            <w:r w:rsidR="00D53AD2" w:rsidRPr="00D53AD2">
              <w:rPr>
                <w:rFonts w:hint="eastAsia"/>
                <w:szCs w:val="21"/>
              </w:rPr>
              <w:t>200</w:t>
            </w:r>
            <w:r w:rsidR="00D53AD2" w:rsidRPr="00D53AD2">
              <w:rPr>
                <w:rFonts w:hint="eastAsia"/>
                <w:szCs w:val="21"/>
              </w:rPr>
              <w:t>万以上</w:t>
            </w:r>
            <w:r w:rsidR="00880D75" w:rsidRPr="00880D75">
              <w:rPr>
                <w:szCs w:val="21"/>
              </w:rPr>
              <w:t>(%)</w:t>
            </w:r>
          </w:p>
        </w:tc>
      </w:tr>
      <w:tr w:rsidR="00880D75" w:rsidTr="00880D75">
        <w:tc>
          <w:tcPr>
            <w:tcW w:w="964" w:type="dxa"/>
          </w:tcPr>
          <w:p w:rsidR="00D53AD2" w:rsidRDefault="00D53AD2" w:rsidP="00946B4A">
            <w:pPr>
              <w:pStyle w:val="a3"/>
              <w:spacing w:line="360" w:lineRule="auto"/>
              <w:ind w:firstLineChars="0" w:firstLine="0"/>
              <w:rPr>
                <w:szCs w:val="21"/>
              </w:rPr>
            </w:pPr>
            <w:r>
              <w:rPr>
                <w:rFonts w:hint="eastAsia"/>
                <w:szCs w:val="21"/>
              </w:rPr>
              <w:t>2013</w:t>
            </w:r>
            <w:r>
              <w:rPr>
                <w:rFonts w:hint="eastAsia"/>
                <w:szCs w:val="21"/>
              </w:rPr>
              <w:t>年</w:t>
            </w:r>
          </w:p>
        </w:tc>
        <w:tc>
          <w:tcPr>
            <w:tcW w:w="709" w:type="dxa"/>
          </w:tcPr>
          <w:p w:rsidR="00D53AD2" w:rsidRDefault="00D53AD2" w:rsidP="00946B4A">
            <w:pPr>
              <w:pStyle w:val="a3"/>
              <w:spacing w:line="360" w:lineRule="auto"/>
              <w:ind w:firstLineChars="0" w:firstLine="0"/>
              <w:rPr>
                <w:szCs w:val="21"/>
              </w:rPr>
            </w:pPr>
            <w:r>
              <w:rPr>
                <w:rFonts w:hint="eastAsia"/>
                <w:szCs w:val="21"/>
              </w:rPr>
              <w:t>79</w:t>
            </w:r>
          </w:p>
        </w:tc>
        <w:tc>
          <w:tcPr>
            <w:tcW w:w="828" w:type="dxa"/>
          </w:tcPr>
          <w:p w:rsidR="00D53AD2" w:rsidRDefault="00D53AD2" w:rsidP="00946B4A">
            <w:pPr>
              <w:pStyle w:val="a3"/>
              <w:spacing w:line="360" w:lineRule="auto"/>
              <w:ind w:firstLineChars="0" w:firstLine="0"/>
              <w:rPr>
                <w:szCs w:val="21"/>
              </w:rPr>
            </w:pPr>
            <w:r>
              <w:rPr>
                <w:rFonts w:hint="eastAsia"/>
                <w:szCs w:val="21"/>
              </w:rPr>
              <w:t>76</w:t>
            </w:r>
          </w:p>
        </w:tc>
        <w:tc>
          <w:tcPr>
            <w:tcW w:w="780" w:type="dxa"/>
          </w:tcPr>
          <w:p w:rsidR="00D53AD2" w:rsidRDefault="00D53AD2" w:rsidP="00946B4A">
            <w:pPr>
              <w:pStyle w:val="a3"/>
              <w:spacing w:line="360" w:lineRule="auto"/>
              <w:ind w:firstLineChars="0" w:firstLine="0"/>
              <w:rPr>
                <w:szCs w:val="21"/>
              </w:rPr>
            </w:pPr>
            <w:r>
              <w:rPr>
                <w:rFonts w:hint="eastAsia"/>
                <w:szCs w:val="21"/>
              </w:rPr>
              <w:t>83</w:t>
            </w:r>
          </w:p>
        </w:tc>
        <w:tc>
          <w:tcPr>
            <w:tcW w:w="780" w:type="dxa"/>
          </w:tcPr>
          <w:p w:rsidR="00D53AD2" w:rsidRDefault="00D53AD2" w:rsidP="00946B4A">
            <w:pPr>
              <w:pStyle w:val="a3"/>
              <w:spacing w:line="360" w:lineRule="auto"/>
              <w:ind w:firstLineChars="0" w:firstLine="0"/>
              <w:rPr>
                <w:szCs w:val="21"/>
              </w:rPr>
            </w:pPr>
            <w:r>
              <w:rPr>
                <w:rFonts w:hint="eastAsia"/>
                <w:szCs w:val="21"/>
              </w:rPr>
              <w:t>70</w:t>
            </w:r>
          </w:p>
        </w:tc>
        <w:tc>
          <w:tcPr>
            <w:tcW w:w="730" w:type="dxa"/>
          </w:tcPr>
          <w:p w:rsidR="00D53AD2" w:rsidRDefault="00D53AD2" w:rsidP="00946B4A">
            <w:pPr>
              <w:pStyle w:val="a3"/>
              <w:spacing w:line="360" w:lineRule="auto"/>
              <w:ind w:firstLineChars="0" w:firstLine="0"/>
              <w:rPr>
                <w:szCs w:val="21"/>
              </w:rPr>
            </w:pPr>
            <w:r>
              <w:rPr>
                <w:rFonts w:hint="eastAsia"/>
                <w:szCs w:val="21"/>
              </w:rPr>
              <w:t>69</w:t>
            </w:r>
          </w:p>
        </w:tc>
        <w:tc>
          <w:tcPr>
            <w:tcW w:w="851" w:type="dxa"/>
          </w:tcPr>
          <w:p w:rsidR="00D53AD2" w:rsidRDefault="00D53AD2" w:rsidP="00946B4A">
            <w:pPr>
              <w:pStyle w:val="a3"/>
              <w:spacing w:line="360" w:lineRule="auto"/>
              <w:ind w:firstLineChars="0" w:firstLine="0"/>
              <w:rPr>
                <w:szCs w:val="21"/>
              </w:rPr>
            </w:pPr>
            <w:r>
              <w:rPr>
                <w:rFonts w:hint="eastAsia"/>
                <w:szCs w:val="21"/>
              </w:rPr>
              <w:t>80</w:t>
            </w:r>
          </w:p>
        </w:tc>
        <w:tc>
          <w:tcPr>
            <w:tcW w:w="898" w:type="dxa"/>
          </w:tcPr>
          <w:p w:rsidR="00D53AD2" w:rsidRDefault="00D53AD2" w:rsidP="00946B4A">
            <w:pPr>
              <w:pStyle w:val="a3"/>
              <w:spacing w:line="360" w:lineRule="auto"/>
              <w:ind w:firstLineChars="0" w:firstLine="0"/>
              <w:rPr>
                <w:szCs w:val="21"/>
              </w:rPr>
            </w:pPr>
            <w:r>
              <w:rPr>
                <w:rFonts w:hint="eastAsia"/>
                <w:szCs w:val="21"/>
              </w:rPr>
              <w:t>70</w:t>
            </w:r>
          </w:p>
        </w:tc>
        <w:tc>
          <w:tcPr>
            <w:tcW w:w="781" w:type="dxa"/>
          </w:tcPr>
          <w:p w:rsidR="00D53AD2" w:rsidRDefault="00D53AD2" w:rsidP="00946B4A">
            <w:pPr>
              <w:pStyle w:val="a3"/>
              <w:spacing w:line="360" w:lineRule="auto"/>
              <w:ind w:firstLineChars="0" w:firstLine="0"/>
              <w:rPr>
                <w:szCs w:val="21"/>
              </w:rPr>
            </w:pPr>
            <w:r>
              <w:rPr>
                <w:rFonts w:hint="eastAsia"/>
                <w:szCs w:val="21"/>
              </w:rPr>
              <w:t>70</w:t>
            </w:r>
          </w:p>
        </w:tc>
        <w:tc>
          <w:tcPr>
            <w:tcW w:w="781" w:type="dxa"/>
          </w:tcPr>
          <w:p w:rsidR="00D53AD2" w:rsidRDefault="00D53AD2" w:rsidP="00946B4A">
            <w:pPr>
              <w:pStyle w:val="a3"/>
              <w:spacing w:line="360" w:lineRule="auto"/>
              <w:ind w:firstLineChars="0" w:firstLine="0"/>
              <w:rPr>
                <w:szCs w:val="21"/>
              </w:rPr>
            </w:pPr>
            <w:r>
              <w:rPr>
                <w:rFonts w:hint="eastAsia"/>
                <w:szCs w:val="21"/>
              </w:rPr>
              <w:t>81</w:t>
            </w:r>
          </w:p>
        </w:tc>
      </w:tr>
      <w:tr w:rsidR="00880D75" w:rsidTr="00880D75">
        <w:tc>
          <w:tcPr>
            <w:tcW w:w="964" w:type="dxa"/>
          </w:tcPr>
          <w:p w:rsidR="00D53AD2" w:rsidRDefault="00D53AD2" w:rsidP="00946B4A">
            <w:pPr>
              <w:pStyle w:val="a3"/>
              <w:spacing w:line="360" w:lineRule="auto"/>
              <w:ind w:firstLineChars="0" w:firstLine="0"/>
              <w:rPr>
                <w:szCs w:val="21"/>
              </w:rPr>
            </w:pPr>
            <w:r>
              <w:rPr>
                <w:rFonts w:hint="eastAsia"/>
                <w:szCs w:val="21"/>
              </w:rPr>
              <w:t>2014</w:t>
            </w:r>
            <w:r>
              <w:rPr>
                <w:rFonts w:hint="eastAsia"/>
                <w:szCs w:val="21"/>
              </w:rPr>
              <w:t>年</w:t>
            </w:r>
          </w:p>
        </w:tc>
        <w:tc>
          <w:tcPr>
            <w:tcW w:w="709" w:type="dxa"/>
          </w:tcPr>
          <w:p w:rsidR="00D53AD2" w:rsidRDefault="00D53AD2" w:rsidP="00946B4A">
            <w:pPr>
              <w:pStyle w:val="a3"/>
              <w:spacing w:line="360" w:lineRule="auto"/>
              <w:ind w:firstLineChars="0" w:firstLine="0"/>
              <w:rPr>
                <w:szCs w:val="21"/>
              </w:rPr>
            </w:pPr>
            <w:r>
              <w:rPr>
                <w:rFonts w:hint="eastAsia"/>
                <w:szCs w:val="21"/>
              </w:rPr>
              <w:t>71</w:t>
            </w:r>
          </w:p>
        </w:tc>
        <w:tc>
          <w:tcPr>
            <w:tcW w:w="828" w:type="dxa"/>
          </w:tcPr>
          <w:p w:rsidR="00D53AD2" w:rsidRDefault="00D53AD2" w:rsidP="00946B4A">
            <w:pPr>
              <w:pStyle w:val="a3"/>
              <w:spacing w:line="360" w:lineRule="auto"/>
              <w:ind w:firstLineChars="0" w:firstLine="0"/>
              <w:rPr>
                <w:szCs w:val="21"/>
              </w:rPr>
            </w:pPr>
            <w:r>
              <w:rPr>
                <w:rFonts w:hint="eastAsia"/>
                <w:szCs w:val="21"/>
              </w:rPr>
              <w:t>73</w:t>
            </w:r>
          </w:p>
        </w:tc>
        <w:tc>
          <w:tcPr>
            <w:tcW w:w="780" w:type="dxa"/>
          </w:tcPr>
          <w:p w:rsidR="00D53AD2" w:rsidRDefault="00D53AD2" w:rsidP="00946B4A">
            <w:pPr>
              <w:pStyle w:val="a3"/>
              <w:spacing w:line="360" w:lineRule="auto"/>
              <w:ind w:firstLineChars="0" w:firstLine="0"/>
              <w:rPr>
                <w:szCs w:val="21"/>
              </w:rPr>
            </w:pPr>
            <w:r>
              <w:rPr>
                <w:rFonts w:hint="eastAsia"/>
                <w:szCs w:val="21"/>
              </w:rPr>
              <w:t>86</w:t>
            </w:r>
          </w:p>
        </w:tc>
        <w:tc>
          <w:tcPr>
            <w:tcW w:w="780" w:type="dxa"/>
          </w:tcPr>
          <w:p w:rsidR="00D53AD2" w:rsidRDefault="00D53AD2" w:rsidP="00946B4A">
            <w:pPr>
              <w:pStyle w:val="a3"/>
              <w:spacing w:line="360" w:lineRule="auto"/>
              <w:ind w:firstLineChars="0" w:firstLine="0"/>
              <w:rPr>
                <w:szCs w:val="21"/>
              </w:rPr>
            </w:pPr>
            <w:r>
              <w:rPr>
                <w:rFonts w:hint="eastAsia"/>
                <w:szCs w:val="21"/>
              </w:rPr>
              <w:t>70</w:t>
            </w:r>
          </w:p>
        </w:tc>
        <w:tc>
          <w:tcPr>
            <w:tcW w:w="730" w:type="dxa"/>
          </w:tcPr>
          <w:p w:rsidR="00D53AD2" w:rsidRDefault="00D53AD2" w:rsidP="00946B4A">
            <w:pPr>
              <w:pStyle w:val="a3"/>
              <w:spacing w:line="360" w:lineRule="auto"/>
              <w:ind w:firstLineChars="0" w:firstLine="0"/>
              <w:rPr>
                <w:szCs w:val="21"/>
              </w:rPr>
            </w:pPr>
            <w:r>
              <w:rPr>
                <w:rFonts w:hint="eastAsia"/>
                <w:szCs w:val="21"/>
              </w:rPr>
              <w:t>72</w:t>
            </w:r>
          </w:p>
        </w:tc>
        <w:tc>
          <w:tcPr>
            <w:tcW w:w="851" w:type="dxa"/>
          </w:tcPr>
          <w:p w:rsidR="00D53AD2" w:rsidRDefault="00D53AD2" w:rsidP="00946B4A">
            <w:pPr>
              <w:pStyle w:val="a3"/>
              <w:spacing w:line="360" w:lineRule="auto"/>
              <w:ind w:firstLineChars="0" w:firstLine="0"/>
              <w:rPr>
                <w:szCs w:val="21"/>
              </w:rPr>
            </w:pPr>
            <w:r>
              <w:rPr>
                <w:rFonts w:hint="eastAsia"/>
                <w:szCs w:val="21"/>
              </w:rPr>
              <w:t>84</w:t>
            </w:r>
          </w:p>
        </w:tc>
        <w:tc>
          <w:tcPr>
            <w:tcW w:w="898" w:type="dxa"/>
          </w:tcPr>
          <w:p w:rsidR="00D53AD2" w:rsidRDefault="00D53AD2" w:rsidP="00946B4A">
            <w:pPr>
              <w:pStyle w:val="a3"/>
              <w:spacing w:line="360" w:lineRule="auto"/>
              <w:ind w:firstLineChars="0" w:firstLine="0"/>
              <w:rPr>
                <w:szCs w:val="21"/>
              </w:rPr>
            </w:pPr>
            <w:r>
              <w:rPr>
                <w:rFonts w:hint="eastAsia"/>
                <w:szCs w:val="21"/>
              </w:rPr>
              <w:t>76</w:t>
            </w:r>
          </w:p>
        </w:tc>
        <w:tc>
          <w:tcPr>
            <w:tcW w:w="781" w:type="dxa"/>
          </w:tcPr>
          <w:p w:rsidR="00D53AD2" w:rsidRDefault="00D53AD2" w:rsidP="00946B4A">
            <w:pPr>
              <w:pStyle w:val="a3"/>
              <w:spacing w:line="360" w:lineRule="auto"/>
              <w:ind w:firstLineChars="0" w:firstLine="0"/>
              <w:rPr>
                <w:szCs w:val="21"/>
              </w:rPr>
            </w:pPr>
            <w:r>
              <w:rPr>
                <w:rFonts w:hint="eastAsia"/>
                <w:szCs w:val="21"/>
              </w:rPr>
              <w:t>72</w:t>
            </w:r>
          </w:p>
        </w:tc>
        <w:tc>
          <w:tcPr>
            <w:tcW w:w="781" w:type="dxa"/>
          </w:tcPr>
          <w:p w:rsidR="00D53AD2" w:rsidRDefault="00D53AD2" w:rsidP="00946B4A">
            <w:pPr>
              <w:pStyle w:val="a3"/>
              <w:spacing w:line="360" w:lineRule="auto"/>
              <w:ind w:firstLineChars="0" w:firstLine="0"/>
              <w:rPr>
                <w:szCs w:val="21"/>
              </w:rPr>
            </w:pPr>
            <w:r>
              <w:rPr>
                <w:rFonts w:hint="eastAsia"/>
                <w:szCs w:val="21"/>
              </w:rPr>
              <w:t>84</w:t>
            </w:r>
          </w:p>
        </w:tc>
      </w:tr>
      <w:tr w:rsidR="0099513D" w:rsidTr="00880D75">
        <w:tc>
          <w:tcPr>
            <w:tcW w:w="964" w:type="dxa"/>
          </w:tcPr>
          <w:p w:rsidR="0099513D" w:rsidRDefault="0099513D" w:rsidP="00946B4A">
            <w:pPr>
              <w:pStyle w:val="a3"/>
              <w:spacing w:line="360" w:lineRule="auto"/>
              <w:ind w:firstLineChars="0" w:firstLine="0"/>
              <w:rPr>
                <w:szCs w:val="21"/>
              </w:rPr>
            </w:pPr>
            <w:r>
              <w:rPr>
                <w:rFonts w:hint="eastAsia"/>
                <w:szCs w:val="21"/>
              </w:rPr>
              <w:t>开工率比较</w:t>
            </w:r>
          </w:p>
        </w:tc>
        <w:tc>
          <w:tcPr>
            <w:tcW w:w="2317" w:type="dxa"/>
            <w:gridSpan w:val="3"/>
          </w:tcPr>
          <w:p w:rsidR="0099513D" w:rsidRDefault="0099513D" w:rsidP="00946B4A">
            <w:pPr>
              <w:pStyle w:val="a3"/>
              <w:spacing w:line="360" w:lineRule="auto"/>
              <w:ind w:firstLineChars="0" w:firstLine="0"/>
              <w:rPr>
                <w:szCs w:val="21"/>
              </w:rPr>
            </w:pPr>
            <w:r>
              <w:rPr>
                <w:rFonts w:hint="eastAsia"/>
                <w:szCs w:val="21"/>
              </w:rPr>
              <w:t>略有下降</w:t>
            </w:r>
          </w:p>
        </w:tc>
        <w:tc>
          <w:tcPr>
            <w:tcW w:w="2361" w:type="dxa"/>
            <w:gridSpan w:val="3"/>
          </w:tcPr>
          <w:p w:rsidR="0099513D" w:rsidRDefault="0099513D" w:rsidP="00946B4A">
            <w:pPr>
              <w:pStyle w:val="a3"/>
              <w:spacing w:line="360" w:lineRule="auto"/>
              <w:ind w:firstLineChars="300" w:firstLine="630"/>
              <w:rPr>
                <w:szCs w:val="21"/>
              </w:rPr>
            </w:pPr>
            <w:r>
              <w:rPr>
                <w:rFonts w:hint="eastAsia"/>
                <w:szCs w:val="21"/>
              </w:rPr>
              <w:t>略有上升</w:t>
            </w:r>
          </w:p>
        </w:tc>
        <w:tc>
          <w:tcPr>
            <w:tcW w:w="2460" w:type="dxa"/>
            <w:gridSpan w:val="3"/>
          </w:tcPr>
          <w:p w:rsidR="0099513D" w:rsidRDefault="0099513D" w:rsidP="00946B4A">
            <w:pPr>
              <w:pStyle w:val="a3"/>
              <w:spacing w:line="360" w:lineRule="auto"/>
              <w:rPr>
                <w:szCs w:val="21"/>
              </w:rPr>
            </w:pPr>
            <w:r>
              <w:rPr>
                <w:rFonts w:hint="eastAsia"/>
                <w:szCs w:val="21"/>
              </w:rPr>
              <w:t>上升</w:t>
            </w:r>
          </w:p>
        </w:tc>
      </w:tr>
    </w:tbl>
    <w:p w:rsidR="00285C0A" w:rsidRDefault="0099513D" w:rsidP="00285C0A">
      <w:pPr>
        <w:pStyle w:val="a3"/>
        <w:spacing w:line="360" w:lineRule="auto"/>
        <w:ind w:left="420" w:firstLineChars="250" w:firstLine="525"/>
        <w:rPr>
          <w:szCs w:val="21"/>
        </w:rPr>
      </w:pPr>
      <w:r>
        <w:rPr>
          <w:rFonts w:hint="eastAsia"/>
          <w:szCs w:val="21"/>
        </w:rPr>
        <w:t>5</w:t>
      </w:r>
      <w:r>
        <w:rPr>
          <w:rFonts w:hint="eastAsia"/>
          <w:szCs w:val="21"/>
        </w:rPr>
        <w:t>月独立焦化产开工率，去年为</w:t>
      </w:r>
      <w:r>
        <w:rPr>
          <w:rFonts w:hint="eastAsia"/>
          <w:szCs w:val="21"/>
        </w:rPr>
        <w:t>73.6%</w:t>
      </w:r>
      <w:r>
        <w:rPr>
          <w:rFonts w:hint="eastAsia"/>
          <w:szCs w:val="21"/>
        </w:rPr>
        <w:t>，今年为</w:t>
      </w:r>
      <w:r>
        <w:rPr>
          <w:rFonts w:hint="eastAsia"/>
          <w:szCs w:val="21"/>
        </w:rPr>
        <w:t>77%</w:t>
      </w:r>
      <w:r>
        <w:rPr>
          <w:rFonts w:hint="eastAsia"/>
          <w:szCs w:val="21"/>
        </w:rPr>
        <w:t>，其中华东地区的为</w:t>
      </w:r>
      <w:r>
        <w:rPr>
          <w:rFonts w:hint="eastAsia"/>
          <w:szCs w:val="21"/>
        </w:rPr>
        <w:t>86%</w:t>
      </w:r>
      <w:r>
        <w:rPr>
          <w:rFonts w:hint="eastAsia"/>
          <w:szCs w:val="21"/>
        </w:rPr>
        <w:t>，比去年同期</w:t>
      </w:r>
      <w:r>
        <w:rPr>
          <w:rFonts w:hint="eastAsia"/>
          <w:szCs w:val="21"/>
        </w:rPr>
        <w:t>76%</w:t>
      </w:r>
      <w:r>
        <w:rPr>
          <w:rFonts w:hint="eastAsia"/>
          <w:szCs w:val="21"/>
        </w:rPr>
        <w:t>增长不少，华北地区持平</w:t>
      </w:r>
      <w:r w:rsidR="00B64E0C">
        <w:rPr>
          <w:rFonts w:hint="eastAsia"/>
          <w:szCs w:val="21"/>
        </w:rPr>
        <w:t>。</w:t>
      </w:r>
      <w:r w:rsidR="00285C0A">
        <w:rPr>
          <w:rFonts w:hint="eastAsia"/>
          <w:szCs w:val="21"/>
        </w:rPr>
        <w:t>而到了</w:t>
      </w:r>
      <w:r w:rsidR="00285C0A">
        <w:rPr>
          <w:rFonts w:hint="eastAsia"/>
          <w:szCs w:val="21"/>
        </w:rPr>
        <w:t>8</w:t>
      </w:r>
      <w:r w:rsidR="003C3A31">
        <w:rPr>
          <w:rFonts w:hint="eastAsia"/>
          <w:szCs w:val="21"/>
        </w:rPr>
        <w:t>月</w:t>
      </w:r>
      <w:r w:rsidR="00285C0A">
        <w:rPr>
          <w:rFonts w:hint="eastAsia"/>
          <w:szCs w:val="21"/>
        </w:rPr>
        <w:t>100</w:t>
      </w:r>
      <w:r w:rsidR="00285C0A">
        <w:rPr>
          <w:rFonts w:hint="eastAsia"/>
          <w:szCs w:val="21"/>
        </w:rPr>
        <w:t>万吨以下产能利用率为</w:t>
      </w:r>
      <w:r w:rsidR="00285C0A">
        <w:rPr>
          <w:rFonts w:hint="eastAsia"/>
          <w:szCs w:val="21"/>
        </w:rPr>
        <w:t>77%</w:t>
      </w:r>
      <w:r w:rsidR="00285C0A">
        <w:rPr>
          <w:rFonts w:hint="eastAsia"/>
          <w:szCs w:val="21"/>
        </w:rPr>
        <w:t>，</w:t>
      </w:r>
      <w:r w:rsidR="00285C0A">
        <w:rPr>
          <w:rFonts w:hint="eastAsia"/>
          <w:szCs w:val="21"/>
        </w:rPr>
        <w:lastRenderedPageBreak/>
        <w:t>100-200</w:t>
      </w:r>
      <w:r w:rsidR="00285C0A">
        <w:rPr>
          <w:rFonts w:hint="eastAsia"/>
          <w:szCs w:val="21"/>
        </w:rPr>
        <w:t>万吨产能利用率为</w:t>
      </w:r>
      <w:r w:rsidR="00285C0A">
        <w:rPr>
          <w:rFonts w:hint="eastAsia"/>
          <w:szCs w:val="21"/>
        </w:rPr>
        <w:t>77%</w:t>
      </w:r>
      <w:r w:rsidR="00285C0A">
        <w:rPr>
          <w:rFonts w:hint="eastAsia"/>
          <w:szCs w:val="21"/>
        </w:rPr>
        <w:t>，</w:t>
      </w:r>
      <w:r w:rsidR="00285C0A">
        <w:rPr>
          <w:rFonts w:hint="eastAsia"/>
          <w:szCs w:val="21"/>
        </w:rPr>
        <w:t>200</w:t>
      </w:r>
      <w:r w:rsidR="00285C0A">
        <w:rPr>
          <w:rFonts w:hint="eastAsia"/>
          <w:szCs w:val="21"/>
        </w:rPr>
        <w:t>万以上产能利用率为</w:t>
      </w:r>
      <w:r w:rsidR="00285C0A">
        <w:rPr>
          <w:rFonts w:hint="eastAsia"/>
          <w:szCs w:val="21"/>
        </w:rPr>
        <w:t>89%</w:t>
      </w:r>
      <w:r w:rsidR="00285C0A">
        <w:rPr>
          <w:rFonts w:hint="eastAsia"/>
          <w:szCs w:val="21"/>
        </w:rPr>
        <w:t>。都比前半年有所上升，在</w:t>
      </w:r>
      <w:r w:rsidR="003C3A31">
        <w:rPr>
          <w:rFonts w:hint="eastAsia"/>
          <w:szCs w:val="21"/>
        </w:rPr>
        <w:t>8</w:t>
      </w:r>
      <w:r w:rsidR="003C3A31">
        <w:rPr>
          <w:rFonts w:hint="eastAsia"/>
          <w:szCs w:val="21"/>
        </w:rPr>
        <w:t>月份焦炭开始跌破平台，</w:t>
      </w:r>
      <w:proofErr w:type="gramStart"/>
      <w:r w:rsidR="00F07DC2">
        <w:rPr>
          <w:rFonts w:hint="eastAsia"/>
          <w:szCs w:val="21"/>
        </w:rPr>
        <w:t>吨炭</w:t>
      </w:r>
      <w:r w:rsidR="003C3A31">
        <w:rPr>
          <w:rFonts w:hint="eastAsia"/>
          <w:szCs w:val="21"/>
        </w:rPr>
        <w:t>由</w:t>
      </w:r>
      <w:proofErr w:type="gramEnd"/>
      <w:r w:rsidR="003C3A31">
        <w:rPr>
          <w:rFonts w:hint="eastAsia"/>
          <w:szCs w:val="21"/>
        </w:rPr>
        <w:t>1200</w:t>
      </w:r>
      <w:r w:rsidR="00F07DC2">
        <w:rPr>
          <w:rFonts w:hint="eastAsia"/>
          <w:szCs w:val="21"/>
        </w:rPr>
        <w:t>元</w:t>
      </w:r>
      <w:r w:rsidR="008151DC">
        <w:rPr>
          <w:rFonts w:hint="eastAsia"/>
          <w:szCs w:val="21"/>
        </w:rPr>
        <w:t>朝</w:t>
      </w:r>
      <w:r w:rsidR="00A24526">
        <w:rPr>
          <w:rFonts w:hint="eastAsia"/>
          <w:szCs w:val="21"/>
        </w:rPr>
        <w:t>1</w:t>
      </w:r>
      <w:r w:rsidR="003C3A31">
        <w:rPr>
          <w:rFonts w:hint="eastAsia"/>
          <w:szCs w:val="21"/>
        </w:rPr>
        <w:t>0</w:t>
      </w:r>
      <w:r w:rsidR="00A24526">
        <w:rPr>
          <w:rFonts w:hint="eastAsia"/>
          <w:szCs w:val="21"/>
        </w:rPr>
        <w:t>80</w:t>
      </w:r>
      <w:r w:rsidR="00F07DC2">
        <w:rPr>
          <w:rFonts w:hint="eastAsia"/>
          <w:szCs w:val="21"/>
        </w:rPr>
        <w:t>元</w:t>
      </w:r>
      <w:r w:rsidR="003C3A31">
        <w:rPr>
          <w:rFonts w:hint="eastAsia"/>
          <w:szCs w:val="21"/>
        </w:rPr>
        <w:t>的方向奔去。</w:t>
      </w:r>
    </w:p>
    <w:p w:rsidR="00285C0A" w:rsidRPr="008151DC" w:rsidRDefault="00285C0A" w:rsidP="00285C0A">
      <w:pPr>
        <w:pStyle w:val="a3"/>
        <w:spacing w:line="360" w:lineRule="auto"/>
        <w:ind w:left="420" w:firstLineChars="250" w:firstLine="525"/>
        <w:rPr>
          <w:szCs w:val="21"/>
        </w:rPr>
      </w:pPr>
    </w:p>
    <w:p w:rsidR="002C1D15" w:rsidRPr="009E12B3" w:rsidRDefault="00A24526" w:rsidP="009E12B3">
      <w:pPr>
        <w:spacing w:line="360" w:lineRule="auto"/>
        <w:ind w:firstLineChars="199" w:firstLine="420"/>
        <w:rPr>
          <w:b/>
        </w:rPr>
      </w:pPr>
      <w:r>
        <w:rPr>
          <w:rFonts w:hint="eastAsia"/>
          <w:b/>
        </w:rPr>
        <w:t>三</w:t>
      </w:r>
      <w:r w:rsidR="009E12B3" w:rsidRPr="009E12B3">
        <w:rPr>
          <w:rFonts w:hint="eastAsia"/>
          <w:b/>
        </w:rPr>
        <w:t>、</w:t>
      </w:r>
      <w:r w:rsidR="00393BBF" w:rsidRPr="009E12B3">
        <w:rPr>
          <w:rFonts w:hint="eastAsia"/>
          <w:b/>
        </w:rPr>
        <w:t>进出口数量</w:t>
      </w:r>
    </w:p>
    <w:p w:rsidR="00552050" w:rsidRDefault="00552050" w:rsidP="00946B4A">
      <w:pPr>
        <w:pStyle w:val="a3"/>
        <w:spacing w:line="360" w:lineRule="auto"/>
        <w:ind w:left="360"/>
        <w:rPr>
          <w:szCs w:val="21"/>
        </w:rPr>
      </w:pPr>
      <w:r>
        <w:rPr>
          <w:rFonts w:hint="eastAsia"/>
          <w:szCs w:val="21"/>
        </w:rPr>
        <w:t>1</w:t>
      </w:r>
      <w:r>
        <w:rPr>
          <w:rFonts w:hint="eastAsia"/>
          <w:szCs w:val="21"/>
        </w:rPr>
        <w:t>、焦炭进出口</w:t>
      </w:r>
    </w:p>
    <w:p w:rsidR="000A4078" w:rsidRDefault="000A4078" w:rsidP="00946B4A">
      <w:pPr>
        <w:pStyle w:val="a3"/>
        <w:spacing w:line="360" w:lineRule="auto"/>
        <w:ind w:left="360" w:firstLineChars="350" w:firstLine="735"/>
        <w:rPr>
          <w:szCs w:val="21"/>
        </w:rPr>
      </w:pPr>
      <w:r>
        <w:rPr>
          <w:rFonts w:hint="eastAsia"/>
          <w:szCs w:val="21"/>
        </w:rPr>
        <w:t>国家取消焦炭出口关税，焦炭出口增长较为明显</w:t>
      </w:r>
      <w:r w:rsidR="00B64E0C">
        <w:rPr>
          <w:rFonts w:hint="eastAsia"/>
          <w:szCs w:val="21"/>
        </w:rPr>
        <w:t>。</w:t>
      </w:r>
      <w:r w:rsidR="00422778" w:rsidRPr="00422778">
        <w:rPr>
          <w:rFonts w:hint="eastAsia"/>
          <w:szCs w:val="21"/>
        </w:rPr>
        <w:t>中国</w:t>
      </w:r>
      <w:r w:rsidR="00422778" w:rsidRPr="00422778">
        <w:rPr>
          <w:rFonts w:hint="eastAsia"/>
          <w:szCs w:val="21"/>
        </w:rPr>
        <w:t>4</w:t>
      </w:r>
      <w:r w:rsidR="00422778" w:rsidRPr="00422778">
        <w:rPr>
          <w:rFonts w:hint="eastAsia"/>
          <w:szCs w:val="21"/>
        </w:rPr>
        <w:t>月份出口焦炭及半焦炭</w:t>
      </w:r>
      <w:r w:rsidR="00422778" w:rsidRPr="00422778">
        <w:rPr>
          <w:rFonts w:hint="eastAsia"/>
          <w:szCs w:val="21"/>
        </w:rPr>
        <w:t>47</w:t>
      </w:r>
      <w:r w:rsidR="00BE55B8">
        <w:rPr>
          <w:rFonts w:hint="eastAsia"/>
          <w:szCs w:val="21"/>
        </w:rPr>
        <w:t>万吨，</w:t>
      </w:r>
      <w:r w:rsidR="00422778" w:rsidRPr="00422778">
        <w:rPr>
          <w:rFonts w:hint="eastAsia"/>
          <w:szCs w:val="21"/>
        </w:rPr>
        <w:t>3</w:t>
      </w:r>
      <w:r w:rsidR="00422778" w:rsidRPr="00422778">
        <w:rPr>
          <w:rFonts w:hint="eastAsia"/>
          <w:szCs w:val="21"/>
        </w:rPr>
        <w:t>月份出口焦炭及半焦炭</w:t>
      </w:r>
      <w:r w:rsidR="00422778" w:rsidRPr="00422778">
        <w:rPr>
          <w:rFonts w:hint="eastAsia"/>
          <w:szCs w:val="21"/>
        </w:rPr>
        <w:t>65</w:t>
      </w:r>
      <w:r w:rsidR="00422778" w:rsidRPr="00422778">
        <w:rPr>
          <w:rFonts w:hint="eastAsia"/>
          <w:szCs w:val="21"/>
        </w:rPr>
        <w:t>万吨</w:t>
      </w:r>
      <w:r w:rsidR="00422778">
        <w:rPr>
          <w:rFonts w:hint="eastAsia"/>
          <w:szCs w:val="21"/>
        </w:rPr>
        <w:t>。</w:t>
      </w:r>
      <w:r w:rsidR="00422778">
        <w:rPr>
          <w:rFonts w:hint="eastAsia"/>
          <w:szCs w:val="21"/>
        </w:rPr>
        <w:t>1</w:t>
      </w:r>
      <w:r w:rsidR="00422778" w:rsidRPr="00422778">
        <w:rPr>
          <w:rFonts w:hint="eastAsia"/>
          <w:szCs w:val="21"/>
        </w:rPr>
        <w:t>-4</w:t>
      </w:r>
      <w:r w:rsidR="00422778" w:rsidRPr="00422778">
        <w:rPr>
          <w:rFonts w:hint="eastAsia"/>
          <w:szCs w:val="21"/>
        </w:rPr>
        <w:t>月份焦炭及半焦炭出口总量为</w:t>
      </w:r>
      <w:r w:rsidR="00422778" w:rsidRPr="00422778">
        <w:rPr>
          <w:rFonts w:hint="eastAsia"/>
          <w:szCs w:val="21"/>
        </w:rPr>
        <w:t>241</w:t>
      </w:r>
      <w:r w:rsidR="00422778" w:rsidRPr="00422778">
        <w:rPr>
          <w:rFonts w:hint="eastAsia"/>
          <w:szCs w:val="21"/>
        </w:rPr>
        <w:t>万吨，去年同期累计为</w:t>
      </w:r>
      <w:r w:rsidR="00422778" w:rsidRPr="00422778">
        <w:rPr>
          <w:rFonts w:hint="eastAsia"/>
          <w:szCs w:val="21"/>
        </w:rPr>
        <w:t>56</w:t>
      </w:r>
      <w:r w:rsidR="00422778" w:rsidRPr="00422778">
        <w:rPr>
          <w:rFonts w:hint="eastAsia"/>
          <w:szCs w:val="21"/>
        </w:rPr>
        <w:t>万吨，同比上涨</w:t>
      </w:r>
      <w:r w:rsidR="00422778" w:rsidRPr="00422778">
        <w:rPr>
          <w:rFonts w:hint="eastAsia"/>
          <w:szCs w:val="21"/>
        </w:rPr>
        <w:t>333.4%</w:t>
      </w:r>
      <w:r w:rsidR="00422778" w:rsidRPr="00422778">
        <w:rPr>
          <w:rFonts w:hint="eastAsia"/>
          <w:szCs w:val="21"/>
        </w:rPr>
        <w:t>。山西省出口焦炭</w:t>
      </w:r>
      <w:r w:rsidR="00422778" w:rsidRPr="00422778">
        <w:rPr>
          <w:rFonts w:hint="eastAsia"/>
          <w:szCs w:val="21"/>
        </w:rPr>
        <w:t>181.7</w:t>
      </w:r>
      <w:r w:rsidR="00422778" w:rsidRPr="00422778">
        <w:rPr>
          <w:rFonts w:hint="eastAsia"/>
          <w:szCs w:val="21"/>
        </w:rPr>
        <w:t>万吨</w:t>
      </w:r>
      <w:r w:rsidR="00422778" w:rsidRPr="00422778">
        <w:rPr>
          <w:rFonts w:hint="eastAsia"/>
          <w:szCs w:val="21"/>
        </w:rPr>
        <w:t>,</w:t>
      </w:r>
      <w:r w:rsidR="00422778" w:rsidRPr="00422778">
        <w:rPr>
          <w:rFonts w:hint="eastAsia"/>
          <w:szCs w:val="21"/>
        </w:rPr>
        <w:t>占全国焦炭出口总量的</w:t>
      </w:r>
      <w:r w:rsidR="00422778" w:rsidRPr="00422778">
        <w:rPr>
          <w:rFonts w:hint="eastAsia"/>
          <w:szCs w:val="21"/>
        </w:rPr>
        <w:t>93.7%,</w:t>
      </w:r>
      <w:r w:rsidR="00422778" w:rsidRPr="00422778">
        <w:rPr>
          <w:rFonts w:hint="eastAsia"/>
          <w:szCs w:val="21"/>
        </w:rPr>
        <w:t>是全国出口焦炭最主要的货源地。</w:t>
      </w:r>
      <w:r w:rsidR="00393BBF">
        <w:rPr>
          <w:rFonts w:hint="eastAsia"/>
          <w:szCs w:val="21"/>
        </w:rPr>
        <w:t>进口焦炭可以忽略。</w:t>
      </w:r>
    </w:p>
    <w:p w:rsidR="00552050" w:rsidRDefault="00552050" w:rsidP="00946B4A">
      <w:pPr>
        <w:pStyle w:val="a3"/>
        <w:spacing w:line="360" w:lineRule="auto"/>
        <w:ind w:left="360"/>
        <w:rPr>
          <w:szCs w:val="21"/>
        </w:rPr>
      </w:pPr>
      <w:r>
        <w:rPr>
          <w:rFonts w:hint="eastAsia"/>
          <w:szCs w:val="21"/>
        </w:rPr>
        <w:t>2</w:t>
      </w:r>
      <w:r>
        <w:rPr>
          <w:rFonts w:hint="eastAsia"/>
          <w:szCs w:val="21"/>
        </w:rPr>
        <w:t>、焦煤进出口</w:t>
      </w:r>
    </w:p>
    <w:p w:rsidR="009E12B3" w:rsidRDefault="00B12668" w:rsidP="00946B4A">
      <w:pPr>
        <w:pStyle w:val="a3"/>
        <w:spacing w:line="360" w:lineRule="auto"/>
        <w:ind w:left="360"/>
        <w:rPr>
          <w:szCs w:val="21"/>
        </w:rPr>
      </w:pPr>
      <w:r>
        <w:rPr>
          <w:rFonts w:hint="eastAsia"/>
          <w:szCs w:val="21"/>
        </w:rPr>
        <w:t xml:space="preserve">   </w:t>
      </w:r>
      <w:r>
        <w:rPr>
          <w:rFonts w:hint="eastAsia"/>
          <w:szCs w:val="21"/>
        </w:rPr>
        <w:t>一季度我国焦煤进口</w:t>
      </w:r>
      <w:r>
        <w:rPr>
          <w:rFonts w:hint="eastAsia"/>
          <w:szCs w:val="21"/>
        </w:rPr>
        <w:t>1294</w:t>
      </w:r>
      <w:r>
        <w:rPr>
          <w:rFonts w:hint="eastAsia"/>
          <w:szCs w:val="21"/>
        </w:rPr>
        <w:t>万吨，比去年同期减少，出口可以忽略。</w:t>
      </w:r>
      <w:r w:rsidR="00A31ACE">
        <w:rPr>
          <w:rFonts w:hint="eastAsia"/>
          <w:szCs w:val="21"/>
        </w:rPr>
        <w:t xml:space="preserve">   </w:t>
      </w:r>
      <w:r w:rsidR="009D6FD5">
        <w:rPr>
          <w:rFonts w:hint="eastAsia"/>
          <w:szCs w:val="21"/>
        </w:rPr>
        <w:t xml:space="preserve">  </w:t>
      </w:r>
    </w:p>
    <w:p w:rsidR="00C37ED0" w:rsidRDefault="009D6FD5" w:rsidP="00946B4A">
      <w:pPr>
        <w:pStyle w:val="a3"/>
        <w:spacing w:line="360" w:lineRule="auto"/>
        <w:ind w:left="360"/>
        <w:rPr>
          <w:szCs w:val="21"/>
        </w:rPr>
      </w:pPr>
      <w:r>
        <w:rPr>
          <w:rFonts w:hint="eastAsia"/>
          <w:szCs w:val="21"/>
        </w:rPr>
        <w:t xml:space="preserve">  </w:t>
      </w:r>
    </w:p>
    <w:p w:rsidR="00C37ED0" w:rsidRPr="002F0709" w:rsidRDefault="00A24526" w:rsidP="00A24526">
      <w:pPr>
        <w:spacing w:line="360" w:lineRule="auto"/>
        <w:ind w:firstLineChars="199" w:firstLine="420"/>
        <w:rPr>
          <w:b/>
        </w:rPr>
      </w:pPr>
      <w:r>
        <w:rPr>
          <w:rFonts w:hint="eastAsia"/>
          <w:b/>
        </w:rPr>
        <w:t>四、</w:t>
      </w:r>
      <w:r w:rsidR="00A31ACE" w:rsidRPr="002F0709">
        <w:rPr>
          <w:rFonts w:hint="eastAsia"/>
          <w:b/>
        </w:rPr>
        <w:t>库存</w:t>
      </w:r>
    </w:p>
    <w:p w:rsidR="00AB4C48" w:rsidRPr="008D2F3D" w:rsidRDefault="00AB4C48" w:rsidP="00946B4A">
      <w:pPr>
        <w:spacing w:line="360" w:lineRule="auto"/>
        <w:ind w:firstLineChars="300" w:firstLine="630"/>
        <w:rPr>
          <w:szCs w:val="21"/>
        </w:rPr>
      </w:pPr>
      <w:r w:rsidRPr="008D2F3D">
        <w:rPr>
          <w:rFonts w:hint="eastAsia"/>
          <w:szCs w:val="21"/>
        </w:rPr>
        <w:t>1</w:t>
      </w:r>
      <w:r w:rsidRPr="008D2F3D">
        <w:rPr>
          <w:rFonts w:hint="eastAsia"/>
          <w:szCs w:val="21"/>
        </w:rPr>
        <w:t>、焦炭库存</w:t>
      </w:r>
    </w:p>
    <w:p w:rsidR="00206BCA" w:rsidRDefault="00A31ACE" w:rsidP="009E12B3">
      <w:pPr>
        <w:pStyle w:val="a3"/>
        <w:spacing w:line="360" w:lineRule="auto"/>
        <w:ind w:left="420" w:firstLineChars="350" w:firstLine="735"/>
        <w:jc w:val="left"/>
        <w:rPr>
          <w:szCs w:val="21"/>
        </w:rPr>
      </w:pPr>
      <w:r>
        <w:rPr>
          <w:rFonts w:hint="eastAsia"/>
          <w:szCs w:val="21"/>
        </w:rPr>
        <w:t>2014</w:t>
      </w:r>
      <w:r>
        <w:rPr>
          <w:rFonts w:hint="eastAsia"/>
          <w:szCs w:val="21"/>
        </w:rPr>
        <w:t>年</w:t>
      </w:r>
      <w:r w:rsidR="00285C0A">
        <w:rPr>
          <w:rFonts w:hint="eastAsia"/>
          <w:szCs w:val="21"/>
        </w:rPr>
        <w:t>6</w:t>
      </w:r>
      <w:r w:rsidR="00285C0A">
        <w:rPr>
          <w:rFonts w:hint="eastAsia"/>
          <w:szCs w:val="21"/>
        </w:rPr>
        <w:t>月份以来，由于钢材销售不畅的预期，国内钢厂的焦炭库存逐步下降。尤其华东的钢厂下降尤为严重。在</w:t>
      </w:r>
      <w:r w:rsidR="00285C0A">
        <w:rPr>
          <w:rFonts w:hint="eastAsia"/>
          <w:szCs w:val="21"/>
        </w:rPr>
        <w:t>7</w:t>
      </w:r>
      <w:r w:rsidR="00285C0A">
        <w:rPr>
          <w:rFonts w:hint="eastAsia"/>
          <w:szCs w:val="21"/>
        </w:rPr>
        <w:t>月经济数据的大利空出现后，钢材和铁矿石遭遇了重创，一路狂泻不止。而焦炭的确较为坚挺，一方面由于前期焦炭已经深跌，目前的价位几乎已触及成本，仅能靠副产物的盈利来平衡。另一方面，钢厂的库存减少，也给了焦炭底气。</w:t>
      </w:r>
      <w:r w:rsidR="003C3A31">
        <w:rPr>
          <w:rFonts w:hint="eastAsia"/>
          <w:szCs w:val="21"/>
        </w:rPr>
        <w:t>在</w:t>
      </w:r>
      <w:r w:rsidR="003C3A31">
        <w:rPr>
          <w:rFonts w:hint="eastAsia"/>
          <w:szCs w:val="21"/>
        </w:rPr>
        <w:t>8</w:t>
      </w:r>
      <w:r w:rsidR="003C3A31">
        <w:rPr>
          <w:rFonts w:hint="eastAsia"/>
          <w:szCs w:val="21"/>
        </w:rPr>
        <w:t>月底到</w:t>
      </w:r>
      <w:r w:rsidR="003C3A31">
        <w:rPr>
          <w:rFonts w:hint="eastAsia"/>
          <w:szCs w:val="21"/>
        </w:rPr>
        <w:t>9</w:t>
      </w:r>
      <w:r w:rsidR="003C3A31">
        <w:rPr>
          <w:rFonts w:hint="eastAsia"/>
          <w:szCs w:val="21"/>
        </w:rPr>
        <w:t>月初焦炭焦煤成本几乎成了黑色产业链的独苗，走出了自己“焦坚强”的行情。</w:t>
      </w:r>
      <w:r w:rsidR="00285C0A">
        <w:rPr>
          <w:rFonts w:hint="eastAsia"/>
          <w:szCs w:val="21"/>
        </w:rPr>
        <w:t xml:space="preserve"> </w:t>
      </w:r>
      <w:r w:rsidR="009E12B3">
        <w:rPr>
          <w:rFonts w:hint="eastAsia"/>
          <w:szCs w:val="21"/>
        </w:rPr>
        <w:t>目前僵持不下的原因有三点：一是由于房地产下滑对于钢材消费预期的大幅降低会减弱焦炭的需求预期。二是目前焦炭焦煤在大集团限产减产和行业自救的呼声中供应减少的预期。三是目前钢厂焦炭现货库存下降，补库的驱动力较强。天津港的焦炭库存也从</w:t>
      </w:r>
      <w:r w:rsidR="009E12B3">
        <w:rPr>
          <w:rFonts w:hint="eastAsia"/>
          <w:szCs w:val="21"/>
        </w:rPr>
        <w:t>8</w:t>
      </w:r>
      <w:r w:rsidR="009E12B3">
        <w:rPr>
          <w:rFonts w:hint="eastAsia"/>
          <w:szCs w:val="21"/>
        </w:rPr>
        <w:t>月中旬的</w:t>
      </w:r>
      <w:r w:rsidR="009E12B3">
        <w:rPr>
          <w:rFonts w:hint="eastAsia"/>
          <w:szCs w:val="21"/>
        </w:rPr>
        <w:t>310</w:t>
      </w:r>
      <w:r w:rsidR="009E12B3">
        <w:rPr>
          <w:rFonts w:hint="eastAsia"/>
          <w:szCs w:val="21"/>
        </w:rPr>
        <w:t>万吨降到了</w:t>
      </w:r>
      <w:r w:rsidR="009E12B3">
        <w:rPr>
          <w:rFonts w:hint="eastAsia"/>
          <w:szCs w:val="21"/>
        </w:rPr>
        <w:t>280</w:t>
      </w:r>
      <w:r w:rsidR="009E12B3">
        <w:rPr>
          <w:rFonts w:hint="eastAsia"/>
          <w:szCs w:val="21"/>
        </w:rPr>
        <w:t>万吨左右。总体来说，目前焦炭处于去库存化阶段。</w:t>
      </w:r>
      <w:r w:rsidR="00285C0A">
        <w:rPr>
          <w:rFonts w:hint="eastAsia"/>
          <w:szCs w:val="21"/>
        </w:rPr>
        <w:t xml:space="preserve">    </w:t>
      </w:r>
      <w:r w:rsidR="00206BCA">
        <w:rPr>
          <w:noProof/>
        </w:rPr>
        <w:lastRenderedPageBreak/>
        <w:drawing>
          <wp:inline distT="0" distB="0" distL="0" distR="0" wp14:anchorId="2CA11B20" wp14:editId="2DBDDE90">
            <wp:extent cx="4484217" cy="2055571"/>
            <wp:effectExtent l="0" t="0" r="12065"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54EC" w:rsidRPr="002A54EC" w:rsidRDefault="00657A25" w:rsidP="00657A25">
      <w:pPr>
        <w:pStyle w:val="a3"/>
        <w:spacing w:line="360" w:lineRule="auto"/>
        <w:ind w:left="420" w:firstLineChars="0" w:firstLine="0"/>
        <w:rPr>
          <w:b/>
          <w:szCs w:val="21"/>
        </w:rPr>
      </w:pPr>
      <w:r>
        <w:rPr>
          <w:rFonts w:hint="eastAsia"/>
          <w:szCs w:val="21"/>
        </w:rPr>
        <w:t xml:space="preserve">  </w:t>
      </w:r>
    </w:p>
    <w:p w:rsidR="00A31ACE" w:rsidRDefault="00A24526" w:rsidP="00A24526">
      <w:pPr>
        <w:spacing w:line="360" w:lineRule="auto"/>
        <w:ind w:firstLineChars="199" w:firstLine="420"/>
        <w:rPr>
          <w:b/>
        </w:rPr>
      </w:pPr>
      <w:r>
        <w:rPr>
          <w:rFonts w:hint="eastAsia"/>
          <w:b/>
        </w:rPr>
        <w:t>五、</w:t>
      </w:r>
      <w:r w:rsidR="008D2F3D" w:rsidRPr="008D2F3D">
        <w:rPr>
          <w:rFonts w:hint="eastAsia"/>
          <w:b/>
        </w:rPr>
        <w:t>消费需求</w:t>
      </w:r>
      <w:r w:rsidR="00552050">
        <w:rPr>
          <w:rFonts w:hint="eastAsia"/>
          <w:b/>
        </w:rPr>
        <w:t>及产能过剩量预估</w:t>
      </w:r>
    </w:p>
    <w:p w:rsidR="009F6CC4" w:rsidRDefault="00F06665" w:rsidP="00946B4A">
      <w:pPr>
        <w:pStyle w:val="a3"/>
        <w:spacing w:line="360" w:lineRule="auto"/>
        <w:ind w:firstLine="422"/>
        <w:rPr>
          <w:szCs w:val="21"/>
        </w:rPr>
      </w:pPr>
      <w:r>
        <w:rPr>
          <w:rFonts w:hint="eastAsia"/>
          <w:b/>
        </w:rPr>
        <w:t xml:space="preserve">  </w:t>
      </w:r>
      <w:r w:rsidRPr="00F06665">
        <w:rPr>
          <w:rFonts w:hint="eastAsia"/>
          <w:szCs w:val="21"/>
        </w:rPr>
        <w:t xml:space="preserve">  2013</w:t>
      </w:r>
      <w:r w:rsidRPr="00F06665">
        <w:rPr>
          <w:rFonts w:hint="eastAsia"/>
          <w:szCs w:val="21"/>
        </w:rPr>
        <w:t>年我国粗钢产量</w:t>
      </w:r>
      <w:r w:rsidRPr="00F06665">
        <w:rPr>
          <w:rFonts w:hint="eastAsia"/>
          <w:szCs w:val="21"/>
        </w:rPr>
        <w:t>7.8</w:t>
      </w:r>
      <w:r w:rsidRPr="00F06665">
        <w:rPr>
          <w:rFonts w:hint="eastAsia"/>
          <w:szCs w:val="21"/>
        </w:rPr>
        <w:t>亿吨，</w:t>
      </w:r>
      <w:r w:rsidRPr="00F06665">
        <w:rPr>
          <w:rFonts w:hint="eastAsia"/>
          <w:szCs w:val="21"/>
        </w:rPr>
        <w:t>2014</w:t>
      </w:r>
      <w:r w:rsidRPr="00F06665">
        <w:rPr>
          <w:rFonts w:hint="eastAsia"/>
          <w:szCs w:val="21"/>
        </w:rPr>
        <w:t>年第一季度我国钢产量为</w:t>
      </w:r>
      <w:r w:rsidRPr="00F06665">
        <w:rPr>
          <w:rFonts w:hint="eastAsia"/>
          <w:szCs w:val="21"/>
        </w:rPr>
        <w:t>2.02</w:t>
      </w:r>
      <w:r w:rsidRPr="00F06665">
        <w:rPr>
          <w:rFonts w:hint="eastAsia"/>
          <w:szCs w:val="21"/>
        </w:rPr>
        <w:t>亿吨，</w:t>
      </w:r>
      <w:r w:rsidR="00724B6F">
        <w:rPr>
          <w:rFonts w:hint="eastAsia"/>
          <w:szCs w:val="21"/>
        </w:rPr>
        <w:t>去年同期为</w:t>
      </w:r>
      <w:r w:rsidR="00724B6F">
        <w:rPr>
          <w:rFonts w:hint="eastAsia"/>
          <w:szCs w:val="21"/>
        </w:rPr>
        <w:t>1.97</w:t>
      </w:r>
      <w:r w:rsidR="00724B6F">
        <w:rPr>
          <w:rFonts w:hint="eastAsia"/>
          <w:szCs w:val="21"/>
        </w:rPr>
        <w:t>亿吨，</w:t>
      </w:r>
      <w:r w:rsidR="009F6CC4" w:rsidRPr="009F6CC4">
        <w:rPr>
          <w:rFonts w:hint="eastAsia"/>
          <w:szCs w:val="21"/>
        </w:rPr>
        <w:t>同比增长</w:t>
      </w:r>
      <w:r w:rsidR="009F6CC4" w:rsidRPr="009F6CC4">
        <w:rPr>
          <w:rFonts w:hint="eastAsia"/>
          <w:szCs w:val="21"/>
        </w:rPr>
        <w:t>2.4%</w:t>
      </w:r>
      <w:r w:rsidR="008C1634">
        <w:rPr>
          <w:rFonts w:hint="eastAsia"/>
          <w:szCs w:val="21"/>
        </w:rPr>
        <w:t>。</w:t>
      </w:r>
      <w:r w:rsidRPr="00F06665">
        <w:rPr>
          <w:rFonts w:hint="eastAsia"/>
          <w:szCs w:val="21"/>
        </w:rPr>
        <w:t>预计</w:t>
      </w:r>
      <w:r w:rsidRPr="00F06665">
        <w:rPr>
          <w:rFonts w:hint="eastAsia"/>
          <w:szCs w:val="21"/>
        </w:rPr>
        <w:t>2014</w:t>
      </w:r>
      <w:r w:rsidRPr="00F06665">
        <w:rPr>
          <w:rFonts w:hint="eastAsia"/>
          <w:szCs w:val="21"/>
        </w:rPr>
        <w:t>年中国粗钢产量在</w:t>
      </w:r>
      <w:r w:rsidRPr="00F06665">
        <w:rPr>
          <w:rFonts w:hint="eastAsia"/>
          <w:szCs w:val="21"/>
        </w:rPr>
        <w:t>8</w:t>
      </w:r>
      <w:r w:rsidR="009F6CC4">
        <w:rPr>
          <w:rFonts w:hint="eastAsia"/>
          <w:szCs w:val="21"/>
        </w:rPr>
        <w:t>.1</w:t>
      </w:r>
      <w:r w:rsidRPr="00F06665">
        <w:rPr>
          <w:rFonts w:hint="eastAsia"/>
          <w:szCs w:val="21"/>
        </w:rPr>
        <w:t>亿吨左右</w:t>
      </w:r>
      <w:r>
        <w:rPr>
          <w:rFonts w:hint="eastAsia"/>
          <w:szCs w:val="21"/>
        </w:rPr>
        <w:t>。</w:t>
      </w:r>
      <w:r w:rsidRPr="00F06665">
        <w:rPr>
          <w:rFonts w:hint="eastAsia"/>
          <w:szCs w:val="21"/>
        </w:rPr>
        <w:t>考虑到投产时间和产能利用率的提升，我们认为粗钢产量仍有增长，但幅度在减少</w:t>
      </w:r>
      <w:r w:rsidR="00B625EE">
        <w:rPr>
          <w:rFonts w:hint="eastAsia"/>
          <w:szCs w:val="21"/>
        </w:rPr>
        <w:t>。从一季度的经济数据分析，作为用钢</w:t>
      </w:r>
      <w:r>
        <w:rPr>
          <w:rFonts w:hint="eastAsia"/>
          <w:szCs w:val="21"/>
        </w:rPr>
        <w:t>主力的房地产投资建设有大幅下滑。仅仅依靠棚户区改造和铁路投资及机械装备增长来消化</w:t>
      </w:r>
      <w:r w:rsidR="009F6CC4">
        <w:rPr>
          <w:rFonts w:hint="eastAsia"/>
          <w:szCs w:val="21"/>
        </w:rPr>
        <w:t>。预计今年的</w:t>
      </w:r>
      <w:r w:rsidR="009D6FD5">
        <w:rPr>
          <w:rFonts w:hint="eastAsia"/>
          <w:szCs w:val="21"/>
        </w:rPr>
        <w:t>钢材</w:t>
      </w:r>
      <w:r w:rsidR="009F6CC4">
        <w:rPr>
          <w:rFonts w:hint="eastAsia"/>
          <w:szCs w:val="21"/>
        </w:rPr>
        <w:t>产能过剩依旧加剧。</w:t>
      </w:r>
      <w:r w:rsidR="008626C9">
        <w:rPr>
          <w:rFonts w:hint="eastAsia"/>
          <w:szCs w:val="21"/>
        </w:rPr>
        <w:t>按照焦比</w:t>
      </w:r>
      <w:r w:rsidR="007C78AA">
        <w:rPr>
          <w:rFonts w:hint="eastAsia"/>
          <w:szCs w:val="21"/>
        </w:rPr>
        <w:t>0.</w:t>
      </w:r>
      <w:r w:rsidR="008626C9">
        <w:rPr>
          <w:rFonts w:hint="eastAsia"/>
          <w:szCs w:val="21"/>
        </w:rPr>
        <w:t>5</w:t>
      </w:r>
      <w:r w:rsidR="008626C9">
        <w:rPr>
          <w:rFonts w:hint="eastAsia"/>
          <w:szCs w:val="21"/>
        </w:rPr>
        <w:t>计算，</w:t>
      </w:r>
      <w:r w:rsidR="001F488B">
        <w:rPr>
          <w:rFonts w:hint="eastAsia"/>
          <w:szCs w:val="21"/>
        </w:rPr>
        <w:t>90%</w:t>
      </w:r>
      <w:r w:rsidR="001F488B">
        <w:rPr>
          <w:rFonts w:hint="eastAsia"/>
          <w:szCs w:val="21"/>
        </w:rPr>
        <w:t>为</w:t>
      </w:r>
      <w:r w:rsidR="008626C9">
        <w:rPr>
          <w:rFonts w:hint="eastAsia"/>
          <w:szCs w:val="21"/>
        </w:rPr>
        <w:t>冶金焦炭</w:t>
      </w:r>
      <w:r w:rsidR="001F488B">
        <w:rPr>
          <w:rFonts w:hint="eastAsia"/>
          <w:szCs w:val="21"/>
        </w:rPr>
        <w:t>，预计</w:t>
      </w:r>
      <w:r w:rsidR="001F488B">
        <w:rPr>
          <w:rFonts w:hint="eastAsia"/>
          <w:szCs w:val="21"/>
        </w:rPr>
        <w:t>4.05</w:t>
      </w:r>
      <w:r w:rsidR="001F488B">
        <w:rPr>
          <w:rFonts w:hint="eastAsia"/>
          <w:szCs w:val="21"/>
        </w:rPr>
        <w:t>亿吨的消费量</w:t>
      </w:r>
      <w:r w:rsidR="001455F1">
        <w:rPr>
          <w:rFonts w:hint="eastAsia"/>
          <w:szCs w:val="21"/>
        </w:rPr>
        <w:t>，今年</w:t>
      </w:r>
      <w:r w:rsidR="001455F1">
        <w:rPr>
          <w:rFonts w:hint="eastAsia"/>
          <w:szCs w:val="21"/>
        </w:rPr>
        <w:t>1000</w:t>
      </w:r>
      <w:r w:rsidR="001455F1">
        <w:rPr>
          <w:rFonts w:hint="eastAsia"/>
          <w:szCs w:val="21"/>
        </w:rPr>
        <w:t>万吨的出口，</w:t>
      </w:r>
      <w:r w:rsidR="001455F1">
        <w:rPr>
          <w:rFonts w:hint="eastAsia"/>
          <w:szCs w:val="21"/>
        </w:rPr>
        <w:t>1200</w:t>
      </w:r>
      <w:r w:rsidR="001455F1">
        <w:rPr>
          <w:rFonts w:hint="eastAsia"/>
          <w:szCs w:val="21"/>
        </w:rPr>
        <w:t>万吨的淘汰产能，预计全年有</w:t>
      </w:r>
      <w:r w:rsidR="001455F1">
        <w:rPr>
          <w:rFonts w:hint="eastAsia"/>
          <w:szCs w:val="21"/>
        </w:rPr>
        <w:t>6000</w:t>
      </w:r>
      <w:r w:rsidR="001455F1">
        <w:rPr>
          <w:rFonts w:hint="eastAsia"/>
          <w:szCs w:val="21"/>
        </w:rPr>
        <w:t>万吨的焦炭</w:t>
      </w:r>
      <w:r w:rsidR="00C93D67">
        <w:rPr>
          <w:rFonts w:hint="eastAsia"/>
          <w:szCs w:val="21"/>
        </w:rPr>
        <w:t>过剩。</w:t>
      </w:r>
    </w:p>
    <w:p w:rsidR="00B12668" w:rsidRDefault="00B12668" w:rsidP="00946B4A">
      <w:pPr>
        <w:pStyle w:val="a3"/>
        <w:spacing w:line="360" w:lineRule="auto"/>
        <w:rPr>
          <w:szCs w:val="21"/>
        </w:rPr>
      </w:pPr>
      <w:r>
        <w:rPr>
          <w:rFonts w:hint="eastAsia"/>
          <w:szCs w:val="21"/>
        </w:rPr>
        <w:t xml:space="preserve">    </w:t>
      </w:r>
      <w:r w:rsidRPr="00B12668">
        <w:rPr>
          <w:rFonts w:hint="eastAsia"/>
          <w:szCs w:val="21"/>
        </w:rPr>
        <w:t>预计</w:t>
      </w:r>
      <w:r w:rsidRPr="00B12668">
        <w:rPr>
          <w:rFonts w:hint="eastAsia"/>
          <w:szCs w:val="21"/>
        </w:rPr>
        <w:t>2014</w:t>
      </w:r>
      <w:r w:rsidRPr="00B12668">
        <w:rPr>
          <w:rFonts w:hint="eastAsia"/>
          <w:szCs w:val="21"/>
        </w:rPr>
        <w:t>年焦煤全年产量为</w:t>
      </w:r>
      <w:r w:rsidRPr="00B12668">
        <w:rPr>
          <w:rFonts w:hint="eastAsia"/>
          <w:szCs w:val="21"/>
        </w:rPr>
        <w:t>6.7</w:t>
      </w:r>
      <w:r w:rsidRPr="00B12668">
        <w:rPr>
          <w:rFonts w:hint="eastAsia"/>
          <w:szCs w:val="21"/>
        </w:rPr>
        <w:t>亿吨，按照焦炭产量预估需要</w:t>
      </w:r>
      <w:r w:rsidRPr="00B12668">
        <w:rPr>
          <w:rFonts w:hint="eastAsia"/>
          <w:szCs w:val="21"/>
        </w:rPr>
        <w:t>6.57</w:t>
      </w:r>
      <w:r w:rsidRPr="00B12668">
        <w:rPr>
          <w:rFonts w:hint="eastAsia"/>
          <w:szCs w:val="21"/>
        </w:rPr>
        <w:t>亿吨焦煤，依然过剩</w:t>
      </w:r>
      <w:r w:rsidRPr="00B12668">
        <w:rPr>
          <w:rFonts w:hint="eastAsia"/>
          <w:szCs w:val="21"/>
        </w:rPr>
        <w:t>1200</w:t>
      </w:r>
      <w:r w:rsidRPr="00B12668">
        <w:rPr>
          <w:rFonts w:hint="eastAsia"/>
          <w:szCs w:val="21"/>
        </w:rPr>
        <w:t>万吨。</w:t>
      </w:r>
    </w:p>
    <w:p w:rsidR="00F06665" w:rsidRPr="00F06665" w:rsidRDefault="00F06665" w:rsidP="00946B4A">
      <w:pPr>
        <w:pStyle w:val="a3"/>
        <w:spacing w:line="360" w:lineRule="auto"/>
        <w:rPr>
          <w:szCs w:val="21"/>
        </w:rPr>
      </w:pPr>
    </w:p>
    <w:p w:rsidR="00552050" w:rsidRDefault="007130CC" w:rsidP="00D510A5">
      <w:pPr>
        <w:spacing w:line="360" w:lineRule="auto"/>
        <w:ind w:firstLineChars="199" w:firstLine="420"/>
        <w:rPr>
          <w:b/>
        </w:rPr>
      </w:pPr>
      <w:r>
        <w:rPr>
          <w:rFonts w:hint="eastAsia"/>
          <w:b/>
        </w:rPr>
        <w:t>六</w:t>
      </w:r>
      <w:r w:rsidR="00D510A5">
        <w:rPr>
          <w:rFonts w:hint="eastAsia"/>
          <w:b/>
        </w:rPr>
        <w:t>、</w:t>
      </w:r>
      <w:proofErr w:type="gramStart"/>
      <w:r w:rsidR="00F914F4" w:rsidRPr="00FE45CA">
        <w:rPr>
          <w:rFonts w:hint="eastAsia"/>
          <w:b/>
        </w:rPr>
        <w:t>期货</w:t>
      </w:r>
      <w:r w:rsidR="00A24526">
        <w:rPr>
          <w:rFonts w:hint="eastAsia"/>
          <w:b/>
        </w:rPr>
        <w:t>基差分析</w:t>
      </w:r>
      <w:proofErr w:type="gramEnd"/>
    </w:p>
    <w:p w:rsidR="00552050" w:rsidRPr="00AA021D" w:rsidRDefault="000613DC" w:rsidP="00F257C1">
      <w:pPr>
        <w:pStyle w:val="a3"/>
        <w:spacing w:line="360" w:lineRule="auto"/>
        <w:ind w:firstLineChars="250" w:firstLine="525"/>
        <w:rPr>
          <w:szCs w:val="21"/>
        </w:rPr>
      </w:pPr>
      <w:r w:rsidRPr="00AA021D">
        <w:rPr>
          <w:rFonts w:hint="eastAsia"/>
          <w:szCs w:val="21"/>
        </w:rPr>
        <w:t>目前</w:t>
      </w:r>
      <w:r w:rsidR="009F246E">
        <w:rPr>
          <w:rFonts w:hint="eastAsia"/>
          <w:szCs w:val="21"/>
        </w:rPr>
        <w:t>焦炭期货与对标的市场价格，唐山准一级焦和天津港口焦炭</w:t>
      </w:r>
      <w:proofErr w:type="gramStart"/>
      <w:r w:rsidR="009F246E">
        <w:rPr>
          <w:rFonts w:hint="eastAsia"/>
          <w:szCs w:val="21"/>
        </w:rPr>
        <w:t>的基差偏离</w:t>
      </w:r>
      <w:proofErr w:type="gramEnd"/>
      <w:r w:rsidR="009F246E">
        <w:rPr>
          <w:rFonts w:hint="eastAsia"/>
          <w:szCs w:val="21"/>
        </w:rPr>
        <w:t>度很高，相对于前期的历史数据已经处于边界徘徊。有两种可能：一是焦炭现货稳。那么期货上升，</w:t>
      </w:r>
      <w:proofErr w:type="gramStart"/>
      <w:r w:rsidR="009F246E">
        <w:rPr>
          <w:rFonts w:hint="eastAsia"/>
          <w:szCs w:val="21"/>
        </w:rPr>
        <w:t>基差回归</w:t>
      </w:r>
      <w:proofErr w:type="gramEnd"/>
      <w:r w:rsidR="009F246E">
        <w:rPr>
          <w:rFonts w:hint="eastAsia"/>
          <w:szCs w:val="21"/>
        </w:rPr>
        <w:t>正常范围内。二是在目前钢坯现货下跌未稳的情况下，</w:t>
      </w:r>
      <w:r w:rsidR="00D510A5">
        <w:rPr>
          <w:rFonts w:hint="eastAsia"/>
          <w:szCs w:val="21"/>
        </w:rPr>
        <w:t>现货焦炭的压力大增，从而被动降价，</w:t>
      </w:r>
      <w:proofErr w:type="gramStart"/>
      <w:r w:rsidR="00D510A5">
        <w:rPr>
          <w:rFonts w:hint="eastAsia"/>
          <w:szCs w:val="21"/>
        </w:rPr>
        <w:t>带动基差回归</w:t>
      </w:r>
      <w:proofErr w:type="gramEnd"/>
      <w:r w:rsidR="00D510A5">
        <w:rPr>
          <w:rFonts w:hint="eastAsia"/>
          <w:szCs w:val="21"/>
        </w:rPr>
        <w:t>。鉴于目前的焦炭行业限产减产的预期和钢材补库的需要，认为第一种可能性较大。</w:t>
      </w:r>
    </w:p>
    <w:p w:rsidR="000613DC" w:rsidRPr="000613DC" w:rsidRDefault="000613DC" w:rsidP="00946B4A">
      <w:pPr>
        <w:pStyle w:val="a3"/>
        <w:spacing w:line="360" w:lineRule="auto"/>
        <w:ind w:firstLine="422"/>
        <w:rPr>
          <w:b/>
        </w:rPr>
      </w:pPr>
    </w:p>
    <w:p w:rsidR="007A5166" w:rsidRPr="00A47574" w:rsidRDefault="007130CC" w:rsidP="007A5166">
      <w:pPr>
        <w:spacing w:line="360" w:lineRule="auto"/>
        <w:ind w:firstLineChars="200" w:firstLine="422"/>
        <w:jc w:val="left"/>
        <w:rPr>
          <w:b/>
        </w:rPr>
      </w:pPr>
      <w:r>
        <w:rPr>
          <w:rFonts w:hint="eastAsia"/>
          <w:b/>
        </w:rPr>
        <w:t>七</w:t>
      </w:r>
      <w:r w:rsidR="007A5166">
        <w:rPr>
          <w:rFonts w:hint="eastAsia"/>
          <w:b/>
        </w:rPr>
        <w:t>、交易</w:t>
      </w:r>
      <w:r>
        <w:rPr>
          <w:rFonts w:hint="eastAsia"/>
          <w:b/>
        </w:rPr>
        <w:t>分析</w:t>
      </w:r>
      <w:r w:rsidR="007A5166">
        <w:rPr>
          <w:rFonts w:hint="eastAsia"/>
          <w:b/>
        </w:rPr>
        <w:t xml:space="preserve">  </w:t>
      </w:r>
    </w:p>
    <w:p w:rsidR="00552050" w:rsidRDefault="007130CC" w:rsidP="007130CC">
      <w:pPr>
        <w:pStyle w:val="a3"/>
        <w:spacing w:line="360" w:lineRule="auto"/>
        <w:ind w:firstLineChars="250" w:firstLine="525"/>
        <w:rPr>
          <w:szCs w:val="21"/>
        </w:rPr>
      </w:pPr>
      <w:r>
        <w:rPr>
          <w:rFonts w:hint="eastAsia"/>
          <w:szCs w:val="21"/>
        </w:rPr>
        <w:t>1</w:t>
      </w:r>
      <w:r>
        <w:rPr>
          <w:rFonts w:hint="eastAsia"/>
          <w:szCs w:val="21"/>
        </w:rPr>
        <w:t>、</w:t>
      </w:r>
      <w:r w:rsidR="007A5166">
        <w:rPr>
          <w:rFonts w:hint="eastAsia"/>
          <w:szCs w:val="21"/>
        </w:rPr>
        <w:t>在</w:t>
      </w:r>
      <w:r w:rsidR="007A5166">
        <w:rPr>
          <w:rFonts w:hint="eastAsia"/>
          <w:szCs w:val="21"/>
        </w:rPr>
        <w:t>9</w:t>
      </w:r>
      <w:r w:rsidR="007A5166">
        <w:rPr>
          <w:rFonts w:hint="eastAsia"/>
          <w:szCs w:val="21"/>
        </w:rPr>
        <w:t>月初到</w:t>
      </w:r>
      <w:r w:rsidR="007A5166">
        <w:rPr>
          <w:rFonts w:hint="eastAsia"/>
          <w:szCs w:val="21"/>
        </w:rPr>
        <w:t>10</w:t>
      </w:r>
      <w:r w:rsidR="007A5166">
        <w:rPr>
          <w:rFonts w:hint="eastAsia"/>
          <w:szCs w:val="21"/>
        </w:rPr>
        <w:t>月这个周期，宏观政策面临着最后一个季末投放点，螺纹铁矿石</w:t>
      </w:r>
      <w:r w:rsidR="008151DC">
        <w:rPr>
          <w:rFonts w:hint="eastAsia"/>
          <w:szCs w:val="21"/>
        </w:rPr>
        <w:t>快要</w:t>
      </w:r>
      <w:r w:rsidR="007A5166">
        <w:rPr>
          <w:rFonts w:hint="eastAsia"/>
          <w:szCs w:val="21"/>
        </w:rPr>
        <w:t>跌完各自的利润空间，</w:t>
      </w:r>
      <w:r w:rsidR="008151DC">
        <w:rPr>
          <w:rFonts w:hint="eastAsia"/>
          <w:szCs w:val="21"/>
        </w:rPr>
        <w:t>在</w:t>
      </w:r>
      <w:r w:rsidR="007A5166">
        <w:rPr>
          <w:rFonts w:hint="eastAsia"/>
          <w:szCs w:val="21"/>
        </w:rPr>
        <w:t>现货企稳后，可以借势做一波反弹。而</w:t>
      </w:r>
      <w:r w:rsidR="008151DC">
        <w:rPr>
          <w:rFonts w:hint="eastAsia"/>
          <w:szCs w:val="21"/>
        </w:rPr>
        <w:t>黑色的</w:t>
      </w:r>
      <w:r w:rsidR="007A5166">
        <w:rPr>
          <w:rFonts w:hint="eastAsia"/>
          <w:szCs w:val="21"/>
        </w:rPr>
        <w:t>这波的反弹的领头</w:t>
      </w:r>
      <w:proofErr w:type="gramStart"/>
      <w:r w:rsidR="007A5166">
        <w:rPr>
          <w:rFonts w:hint="eastAsia"/>
          <w:szCs w:val="21"/>
        </w:rPr>
        <w:lastRenderedPageBreak/>
        <w:t>羊一定</w:t>
      </w:r>
      <w:proofErr w:type="gramEnd"/>
      <w:r w:rsidR="007A5166">
        <w:rPr>
          <w:rFonts w:hint="eastAsia"/>
          <w:szCs w:val="21"/>
        </w:rPr>
        <w:t>是双焦。</w:t>
      </w:r>
    </w:p>
    <w:p w:rsidR="00314342" w:rsidRDefault="007130CC" w:rsidP="007130CC">
      <w:pPr>
        <w:pStyle w:val="a3"/>
        <w:spacing w:line="360" w:lineRule="auto"/>
        <w:ind w:firstLineChars="250" w:firstLine="525"/>
        <w:rPr>
          <w:szCs w:val="21"/>
        </w:rPr>
      </w:pPr>
      <w:r>
        <w:rPr>
          <w:rFonts w:hint="eastAsia"/>
          <w:szCs w:val="21"/>
        </w:rPr>
        <w:t>2</w:t>
      </w:r>
      <w:r>
        <w:rPr>
          <w:rFonts w:hint="eastAsia"/>
          <w:szCs w:val="21"/>
        </w:rPr>
        <w:t>、</w:t>
      </w:r>
      <w:r w:rsidR="007A5166">
        <w:rPr>
          <w:rFonts w:hint="eastAsia"/>
          <w:szCs w:val="21"/>
        </w:rPr>
        <w:t>虽说</w:t>
      </w:r>
      <w:r>
        <w:rPr>
          <w:rFonts w:hint="eastAsia"/>
          <w:szCs w:val="21"/>
        </w:rPr>
        <w:t>近年</w:t>
      </w:r>
      <w:r w:rsidR="007A5166">
        <w:rPr>
          <w:rFonts w:hint="eastAsia"/>
          <w:szCs w:val="21"/>
        </w:rPr>
        <w:t>冬储有很大的弱化，但是运输不畅和高炉连续生产等原因对焦炭依然有一定支撑。</w:t>
      </w:r>
      <w:r>
        <w:rPr>
          <w:rFonts w:hint="eastAsia"/>
          <w:szCs w:val="21"/>
        </w:rPr>
        <w:t>对</w:t>
      </w:r>
      <w:r>
        <w:rPr>
          <w:rFonts w:hint="eastAsia"/>
          <w:szCs w:val="21"/>
        </w:rPr>
        <w:t>1</w:t>
      </w:r>
      <w:r>
        <w:rPr>
          <w:rFonts w:hint="eastAsia"/>
          <w:szCs w:val="21"/>
        </w:rPr>
        <w:t>月交割的焦炭有一定的利好。</w:t>
      </w:r>
    </w:p>
    <w:p w:rsidR="00886238" w:rsidRDefault="007130CC" w:rsidP="007130CC">
      <w:pPr>
        <w:pStyle w:val="a3"/>
        <w:spacing w:line="360" w:lineRule="auto"/>
        <w:ind w:firstLineChars="250" w:firstLine="525"/>
        <w:rPr>
          <w:szCs w:val="21"/>
        </w:rPr>
      </w:pPr>
      <w:r>
        <w:rPr>
          <w:rFonts w:hint="eastAsia"/>
          <w:szCs w:val="21"/>
        </w:rPr>
        <w:t>3</w:t>
      </w:r>
      <w:r>
        <w:rPr>
          <w:rFonts w:hint="eastAsia"/>
          <w:szCs w:val="21"/>
        </w:rPr>
        <w:t>、</w:t>
      </w:r>
      <w:r w:rsidR="007A5166">
        <w:rPr>
          <w:rFonts w:hint="eastAsia"/>
          <w:szCs w:val="21"/>
        </w:rPr>
        <w:t>煤焦产业</w:t>
      </w:r>
      <w:proofErr w:type="gramStart"/>
      <w:r w:rsidR="007A5166">
        <w:rPr>
          <w:rFonts w:hint="eastAsia"/>
          <w:szCs w:val="21"/>
        </w:rPr>
        <w:t>链处于</w:t>
      </w:r>
      <w:proofErr w:type="gramEnd"/>
      <w:r w:rsidR="007A5166">
        <w:rPr>
          <w:rFonts w:hint="eastAsia"/>
          <w:szCs w:val="21"/>
        </w:rPr>
        <w:t>微过剩状态，但是在</w:t>
      </w:r>
      <w:r w:rsidR="007A5166">
        <w:rPr>
          <w:rFonts w:hint="eastAsia"/>
          <w:szCs w:val="21"/>
        </w:rPr>
        <w:t>8</w:t>
      </w:r>
      <w:r w:rsidR="007A5166">
        <w:rPr>
          <w:rFonts w:hint="eastAsia"/>
          <w:szCs w:val="21"/>
        </w:rPr>
        <w:t>月下旬钢材产量大幅减少的状态下也不宜过分看高煤焦的反弹。而</w:t>
      </w:r>
      <w:r>
        <w:rPr>
          <w:rFonts w:hint="eastAsia"/>
          <w:szCs w:val="21"/>
        </w:rPr>
        <w:t>想抄底煤焦最大的风险就是钢厂由于银行坏账的提升而出现的限贷，从而卡住钢厂的资金血脉。到时焦炭行业的所有利好在钢厂的整合的倒闭潮中都不具同级别的平衡性。工业品始终是</w:t>
      </w:r>
      <w:proofErr w:type="gramStart"/>
      <w:r>
        <w:rPr>
          <w:rFonts w:hint="eastAsia"/>
          <w:szCs w:val="21"/>
        </w:rPr>
        <w:t>看需求</w:t>
      </w:r>
      <w:proofErr w:type="gramEnd"/>
      <w:r>
        <w:rPr>
          <w:rFonts w:hint="eastAsia"/>
          <w:szCs w:val="21"/>
        </w:rPr>
        <w:t>的。</w:t>
      </w:r>
    </w:p>
    <w:p w:rsidR="007130CC" w:rsidRDefault="007130CC" w:rsidP="007130CC">
      <w:pPr>
        <w:pStyle w:val="a3"/>
        <w:spacing w:line="360" w:lineRule="auto"/>
        <w:ind w:firstLineChars="250" w:firstLine="525"/>
        <w:rPr>
          <w:szCs w:val="21"/>
        </w:rPr>
      </w:pPr>
      <w:r>
        <w:rPr>
          <w:rFonts w:hint="eastAsia"/>
          <w:szCs w:val="21"/>
        </w:rPr>
        <w:t>4</w:t>
      </w:r>
      <w:r>
        <w:rPr>
          <w:rFonts w:hint="eastAsia"/>
          <w:szCs w:val="21"/>
        </w:rPr>
        <w:t>、</w:t>
      </w:r>
      <w:proofErr w:type="gramStart"/>
      <w:r>
        <w:rPr>
          <w:rFonts w:hint="eastAsia"/>
          <w:szCs w:val="21"/>
        </w:rPr>
        <w:t>通过基差分析</w:t>
      </w:r>
      <w:proofErr w:type="gramEnd"/>
      <w:r>
        <w:rPr>
          <w:rFonts w:hint="eastAsia"/>
          <w:szCs w:val="21"/>
        </w:rPr>
        <w:t>，目前焦炭期货与挂钩的唐山现货</w:t>
      </w:r>
      <w:proofErr w:type="gramStart"/>
      <w:r>
        <w:rPr>
          <w:rFonts w:hint="eastAsia"/>
          <w:szCs w:val="21"/>
        </w:rPr>
        <w:t>的基差出于</w:t>
      </w:r>
      <w:proofErr w:type="gramEnd"/>
      <w:r>
        <w:rPr>
          <w:rFonts w:hint="eastAsia"/>
          <w:szCs w:val="21"/>
        </w:rPr>
        <w:t>极端边际，是小概率事件，不具有稳定性。可以视现货是否稳定，来做期货。如现货稳定，焦炭期货有较强的反弹能量回到中间的置信范围内。</w:t>
      </w:r>
    </w:p>
    <w:p w:rsidR="007130CC" w:rsidRDefault="007130CC" w:rsidP="007130CC">
      <w:pPr>
        <w:spacing w:line="360" w:lineRule="auto"/>
        <w:rPr>
          <w:szCs w:val="21"/>
        </w:rPr>
      </w:pPr>
    </w:p>
    <w:p w:rsidR="007130CC" w:rsidRPr="00A47574" w:rsidRDefault="008151DC" w:rsidP="007130CC">
      <w:pPr>
        <w:spacing w:line="360" w:lineRule="auto"/>
        <w:ind w:firstLineChars="200" w:firstLine="422"/>
        <w:jc w:val="left"/>
        <w:rPr>
          <w:b/>
        </w:rPr>
      </w:pPr>
      <w:r>
        <w:rPr>
          <w:rFonts w:hint="eastAsia"/>
          <w:b/>
        </w:rPr>
        <w:t>八、交易策略</w:t>
      </w:r>
    </w:p>
    <w:p w:rsidR="008151DC" w:rsidRDefault="007130CC" w:rsidP="007130CC">
      <w:pPr>
        <w:spacing w:line="360" w:lineRule="auto"/>
        <w:rPr>
          <w:szCs w:val="21"/>
        </w:rPr>
      </w:pPr>
      <w:r>
        <w:rPr>
          <w:rFonts w:hint="eastAsia"/>
          <w:szCs w:val="21"/>
        </w:rPr>
        <w:t xml:space="preserve">   1</w:t>
      </w:r>
      <w:r>
        <w:rPr>
          <w:rFonts w:hint="eastAsia"/>
          <w:szCs w:val="21"/>
        </w:rPr>
        <w:t>、</w:t>
      </w:r>
      <w:r w:rsidR="008151DC">
        <w:rPr>
          <w:rFonts w:hint="eastAsia"/>
          <w:szCs w:val="21"/>
        </w:rPr>
        <w:t>交易标的，焦炭主力合约</w:t>
      </w:r>
      <w:r w:rsidR="00592244">
        <w:rPr>
          <w:rFonts w:hint="eastAsia"/>
          <w:szCs w:val="21"/>
        </w:rPr>
        <w:t>1505</w:t>
      </w:r>
      <w:r w:rsidR="00DC78AC">
        <w:rPr>
          <w:rFonts w:hint="eastAsia"/>
          <w:szCs w:val="21"/>
        </w:rPr>
        <w:t>，焦煤</w:t>
      </w:r>
      <w:r w:rsidR="00DC78AC">
        <w:rPr>
          <w:rFonts w:hint="eastAsia"/>
          <w:szCs w:val="21"/>
        </w:rPr>
        <w:t>1505</w:t>
      </w:r>
      <w:r w:rsidR="00DC78AC">
        <w:rPr>
          <w:rFonts w:hint="eastAsia"/>
          <w:szCs w:val="21"/>
        </w:rPr>
        <w:t>合约</w:t>
      </w:r>
    </w:p>
    <w:p w:rsidR="00592244" w:rsidRDefault="008151DC" w:rsidP="008151DC">
      <w:pPr>
        <w:spacing w:line="360" w:lineRule="auto"/>
        <w:ind w:firstLineChars="150" w:firstLine="315"/>
        <w:rPr>
          <w:szCs w:val="21"/>
        </w:rPr>
      </w:pPr>
      <w:r>
        <w:rPr>
          <w:rFonts w:hint="eastAsia"/>
          <w:szCs w:val="21"/>
        </w:rPr>
        <w:t>2</w:t>
      </w:r>
      <w:r>
        <w:rPr>
          <w:rFonts w:hint="eastAsia"/>
          <w:szCs w:val="21"/>
        </w:rPr>
        <w:t>、交易计划：建仓位：</w:t>
      </w:r>
      <w:r w:rsidR="00DC78AC">
        <w:rPr>
          <w:rFonts w:hint="eastAsia"/>
          <w:szCs w:val="21"/>
        </w:rPr>
        <w:t>焦炭</w:t>
      </w:r>
      <w:r>
        <w:rPr>
          <w:rFonts w:hint="eastAsia"/>
          <w:szCs w:val="21"/>
        </w:rPr>
        <w:t>10</w:t>
      </w:r>
      <w:r w:rsidR="00592244">
        <w:rPr>
          <w:rFonts w:hint="eastAsia"/>
          <w:szCs w:val="21"/>
        </w:rPr>
        <w:t xml:space="preserve">10-1030  </w:t>
      </w:r>
      <w:r w:rsidR="00592244">
        <w:rPr>
          <w:rFonts w:hint="eastAsia"/>
          <w:szCs w:val="21"/>
        </w:rPr>
        <w:t>目标位置：</w:t>
      </w:r>
      <w:r w:rsidR="00592244">
        <w:rPr>
          <w:rFonts w:hint="eastAsia"/>
          <w:szCs w:val="21"/>
        </w:rPr>
        <w:t>1040-1050</w:t>
      </w:r>
      <w:r w:rsidR="00DC78AC">
        <w:rPr>
          <w:rFonts w:hint="eastAsia"/>
          <w:szCs w:val="21"/>
        </w:rPr>
        <w:t>。焦煤建仓位：</w:t>
      </w:r>
      <w:r w:rsidR="00DC78AC">
        <w:rPr>
          <w:rFonts w:hint="eastAsia"/>
          <w:szCs w:val="21"/>
        </w:rPr>
        <w:t>720-740</w:t>
      </w:r>
      <w:r w:rsidR="00DC78AC">
        <w:rPr>
          <w:rFonts w:hint="eastAsia"/>
          <w:szCs w:val="21"/>
        </w:rPr>
        <w:t>，目标位置</w:t>
      </w:r>
      <w:r w:rsidR="00DC78AC">
        <w:rPr>
          <w:rFonts w:hint="eastAsia"/>
          <w:szCs w:val="21"/>
        </w:rPr>
        <w:t>750-760</w:t>
      </w:r>
      <w:bookmarkStart w:id="0" w:name="_GoBack"/>
      <w:bookmarkEnd w:id="0"/>
    </w:p>
    <w:p w:rsidR="008151DC" w:rsidRDefault="008151DC" w:rsidP="008151DC">
      <w:pPr>
        <w:spacing w:line="360" w:lineRule="auto"/>
        <w:ind w:firstLineChars="150" w:firstLine="315"/>
        <w:rPr>
          <w:szCs w:val="21"/>
        </w:rPr>
      </w:pPr>
      <w:r>
        <w:rPr>
          <w:rFonts w:hint="eastAsia"/>
          <w:szCs w:val="21"/>
        </w:rPr>
        <w:t>3</w:t>
      </w:r>
      <w:r>
        <w:rPr>
          <w:rFonts w:hint="eastAsia"/>
          <w:szCs w:val="21"/>
        </w:rPr>
        <w:t>、资金管理：</w:t>
      </w:r>
      <w:r w:rsidR="00592244">
        <w:rPr>
          <w:rFonts w:hint="eastAsia"/>
          <w:szCs w:val="21"/>
        </w:rPr>
        <w:t>7</w:t>
      </w:r>
      <w:r>
        <w:rPr>
          <w:rFonts w:hint="eastAsia"/>
          <w:szCs w:val="21"/>
        </w:rPr>
        <w:t>0%</w:t>
      </w:r>
      <w:r>
        <w:rPr>
          <w:rFonts w:hint="eastAsia"/>
          <w:szCs w:val="21"/>
        </w:rPr>
        <w:t>以内，控制在</w:t>
      </w:r>
      <w:r w:rsidR="00592244">
        <w:rPr>
          <w:rFonts w:hint="eastAsia"/>
          <w:szCs w:val="21"/>
        </w:rPr>
        <w:t>8</w:t>
      </w:r>
      <w:r>
        <w:rPr>
          <w:rFonts w:hint="eastAsia"/>
          <w:szCs w:val="21"/>
        </w:rPr>
        <w:t>00</w:t>
      </w:r>
      <w:r>
        <w:rPr>
          <w:rFonts w:hint="eastAsia"/>
          <w:szCs w:val="21"/>
        </w:rPr>
        <w:t>手</w:t>
      </w:r>
    </w:p>
    <w:p w:rsidR="00A33F86" w:rsidRPr="007130CC" w:rsidRDefault="00A33F86" w:rsidP="008151DC">
      <w:pPr>
        <w:spacing w:line="360" w:lineRule="auto"/>
        <w:ind w:firstLineChars="150" w:firstLine="315"/>
        <w:rPr>
          <w:szCs w:val="21"/>
        </w:rPr>
      </w:pPr>
      <w:r>
        <w:rPr>
          <w:rFonts w:hint="eastAsia"/>
          <w:szCs w:val="21"/>
        </w:rPr>
        <w:t>4</w:t>
      </w:r>
      <w:r>
        <w:rPr>
          <w:rFonts w:hint="eastAsia"/>
          <w:szCs w:val="21"/>
        </w:rPr>
        <w:t>、持仓周期：</w:t>
      </w:r>
      <w:r w:rsidR="00592244">
        <w:rPr>
          <w:rFonts w:hint="eastAsia"/>
          <w:szCs w:val="21"/>
        </w:rPr>
        <w:t>2-5</w:t>
      </w:r>
      <w:r>
        <w:rPr>
          <w:rFonts w:hint="eastAsia"/>
          <w:szCs w:val="21"/>
        </w:rPr>
        <w:t>周</w:t>
      </w:r>
    </w:p>
    <w:p w:rsidR="007130CC" w:rsidRDefault="007130CC" w:rsidP="007130CC">
      <w:pPr>
        <w:pStyle w:val="a3"/>
        <w:spacing w:line="360" w:lineRule="auto"/>
        <w:ind w:left="1200" w:firstLineChars="0" w:firstLine="0"/>
        <w:rPr>
          <w:szCs w:val="21"/>
        </w:rPr>
      </w:pPr>
    </w:p>
    <w:p w:rsidR="00C70FB8" w:rsidRPr="00DC3087" w:rsidRDefault="00C70FB8" w:rsidP="00DC3087">
      <w:pPr>
        <w:pStyle w:val="a3"/>
        <w:spacing w:line="360" w:lineRule="auto"/>
        <w:ind w:left="360" w:firstLine="422"/>
        <w:rPr>
          <w:b/>
        </w:rPr>
      </w:pPr>
      <w:r w:rsidRPr="00DC3087">
        <w:rPr>
          <w:rFonts w:hint="eastAsia"/>
          <w:b/>
        </w:rPr>
        <w:t>重要免责声明</w:t>
      </w:r>
      <w:r w:rsidRPr="00DC3087">
        <w:rPr>
          <w:rFonts w:hint="eastAsia"/>
          <w:b/>
        </w:rPr>
        <w:t xml:space="preserve"> </w:t>
      </w:r>
    </w:p>
    <w:p w:rsidR="00C70FB8" w:rsidRDefault="00C70FB8" w:rsidP="00946B4A">
      <w:pPr>
        <w:pStyle w:val="a3"/>
        <w:spacing w:line="360" w:lineRule="auto"/>
        <w:ind w:left="360"/>
      </w:pPr>
      <w:r>
        <w:rPr>
          <w:rFonts w:hint="eastAsia"/>
        </w:rPr>
        <w:t>本研究报告由新</w:t>
      </w:r>
      <w:proofErr w:type="gramStart"/>
      <w:r>
        <w:rPr>
          <w:rFonts w:hint="eastAsia"/>
        </w:rPr>
        <w:t>晟</w:t>
      </w:r>
      <w:proofErr w:type="gramEnd"/>
      <w:r w:rsidR="00F82DA4">
        <w:rPr>
          <w:rFonts w:hint="eastAsia"/>
        </w:rPr>
        <w:t>期货研发部撰写编译</w:t>
      </w:r>
      <w:r>
        <w:rPr>
          <w:rFonts w:hint="eastAsia"/>
        </w:rPr>
        <w:t>，未经书面许可，任何机构和个人不得以任何形式翻版、复制、发布及分发研究报告的全部或部分给任何其它人士。报告所引用信息和数据均来源于公开资料，新</w:t>
      </w:r>
      <w:proofErr w:type="gramStart"/>
      <w:r>
        <w:rPr>
          <w:rFonts w:hint="eastAsia"/>
        </w:rPr>
        <w:t>晟</w:t>
      </w:r>
      <w:proofErr w:type="gramEnd"/>
      <w:r>
        <w:rPr>
          <w:rFonts w:hint="eastAsia"/>
        </w:rPr>
        <w:t>期货研发部力求报告内容和引用资料和数据的客观与公正，但不对所引用资料和数据本身的准确性和完整性</w:t>
      </w:r>
      <w:proofErr w:type="gramStart"/>
      <w:r>
        <w:rPr>
          <w:rFonts w:hint="eastAsia"/>
        </w:rPr>
        <w:t>作出</w:t>
      </w:r>
      <w:proofErr w:type="gramEnd"/>
      <w:r>
        <w:rPr>
          <w:rFonts w:hint="eastAsia"/>
        </w:rPr>
        <w:t>保证。报告中的任何观点与建议仅代表报告当日的判断和建议，仅供阅读者参考</w:t>
      </w:r>
      <w:r w:rsidR="00F82DA4">
        <w:rPr>
          <w:rFonts w:hint="eastAsia"/>
        </w:rPr>
        <w:t>。期市有风险，入市要风控。</w:t>
      </w:r>
      <w:r>
        <w:rPr>
          <w:rFonts w:hint="eastAsia"/>
        </w:rPr>
        <w:t xml:space="preserve"> </w:t>
      </w:r>
    </w:p>
    <w:p w:rsidR="002C1D15" w:rsidRPr="002C1D15" w:rsidRDefault="00C70FB8" w:rsidP="00946B4A">
      <w:pPr>
        <w:pStyle w:val="a3"/>
        <w:spacing w:line="360" w:lineRule="auto"/>
        <w:ind w:left="360"/>
      </w:pPr>
      <w:r>
        <w:rPr>
          <w:rFonts w:hint="eastAsia"/>
        </w:rPr>
        <w:t>新</w:t>
      </w:r>
      <w:proofErr w:type="gramStart"/>
      <w:r>
        <w:rPr>
          <w:rFonts w:hint="eastAsia"/>
        </w:rPr>
        <w:t>晟</w:t>
      </w:r>
      <w:proofErr w:type="gramEnd"/>
      <w:r>
        <w:rPr>
          <w:rFonts w:hint="eastAsia"/>
        </w:rPr>
        <w:t>期货研发部对于本免责声明条款具有修改权和最终解释权。</w:t>
      </w:r>
    </w:p>
    <w:sectPr w:rsidR="002C1D15" w:rsidRPr="002C1D1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6B" w:rsidRDefault="00CC3B6B" w:rsidP="0041414F">
      <w:r>
        <w:separator/>
      </w:r>
    </w:p>
  </w:endnote>
  <w:endnote w:type="continuationSeparator" w:id="0">
    <w:p w:rsidR="00CC3B6B" w:rsidRDefault="00CC3B6B" w:rsidP="004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65971"/>
      <w:docPartObj>
        <w:docPartGallery w:val="Page Numbers (Bottom of Page)"/>
        <w:docPartUnique/>
      </w:docPartObj>
    </w:sdtPr>
    <w:sdtEndPr/>
    <w:sdtContent>
      <w:p w:rsidR="00607968" w:rsidRDefault="00607968">
        <w:pPr>
          <w:pStyle w:val="a7"/>
          <w:jc w:val="center"/>
        </w:pPr>
        <w:r>
          <w:fldChar w:fldCharType="begin"/>
        </w:r>
        <w:r>
          <w:instrText>PAGE   \* MERGEFORMAT</w:instrText>
        </w:r>
        <w:r>
          <w:fldChar w:fldCharType="separate"/>
        </w:r>
        <w:r w:rsidR="00DC78AC" w:rsidRPr="00DC78AC">
          <w:rPr>
            <w:noProof/>
            <w:lang w:val="zh-CN"/>
          </w:rPr>
          <w:t>4</w:t>
        </w:r>
        <w:r>
          <w:fldChar w:fldCharType="end"/>
        </w:r>
      </w:p>
    </w:sdtContent>
  </w:sdt>
  <w:p w:rsidR="00607968" w:rsidRDefault="006079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6B" w:rsidRDefault="00CC3B6B" w:rsidP="0041414F">
      <w:r>
        <w:separator/>
      </w:r>
    </w:p>
  </w:footnote>
  <w:footnote w:type="continuationSeparator" w:id="0">
    <w:p w:rsidR="00CC3B6B" w:rsidRDefault="00CC3B6B" w:rsidP="004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68" w:rsidRDefault="00DC3087">
    <w:pPr>
      <w:pStyle w:val="a6"/>
    </w:pPr>
    <w:r>
      <w:rPr>
        <w:noProof/>
      </w:rPr>
      <w:drawing>
        <wp:inline distT="0" distB="0" distL="0" distR="0" wp14:anchorId="243B549A">
          <wp:extent cx="1495425" cy="5429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1D28"/>
    <w:multiLevelType w:val="hybridMultilevel"/>
    <w:tmpl w:val="19F4015C"/>
    <w:lvl w:ilvl="0" w:tplc="3246F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DD7189"/>
    <w:multiLevelType w:val="hybridMultilevel"/>
    <w:tmpl w:val="4610202E"/>
    <w:lvl w:ilvl="0" w:tplc="9CD403E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44507E87"/>
    <w:multiLevelType w:val="hybridMultilevel"/>
    <w:tmpl w:val="C9B6C0DA"/>
    <w:lvl w:ilvl="0" w:tplc="39945694">
      <w:start w:val="1"/>
      <w:numFmt w:val="japaneseCounting"/>
      <w:lvlText w:val="%1、"/>
      <w:lvlJc w:val="left"/>
      <w:pPr>
        <w:ind w:left="70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59"/>
    <w:rsid w:val="000613DC"/>
    <w:rsid w:val="000979DF"/>
    <w:rsid w:val="000A4078"/>
    <w:rsid w:val="000C7E3F"/>
    <w:rsid w:val="000D156A"/>
    <w:rsid w:val="000D1EE2"/>
    <w:rsid w:val="000F0F83"/>
    <w:rsid w:val="000F712A"/>
    <w:rsid w:val="00107296"/>
    <w:rsid w:val="00116B24"/>
    <w:rsid w:val="001455F1"/>
    <w:rsid w:val="001F488B"/>
    <w:rsid w:val="00206BCA"/>
    <w:rsid w:val="002513D2"/>
    <w:rsid w:val="00254168"/>
    <w:rsid w:val="00285C0A"/>
    <w:rsid w:val="002965D3"/>
    <w:rsid w:val="002A28F4"/>
    <w:rsid w:val="002A54EC"/>
    <w:rsid w:val="002A5884"/>
    <w:rsid w:val="002C1D15"/>
    <w:rsid w:val="002D3252"/>
    <w:rsid w:val="002F0709"/>
    <w:rsid w:val="002F717F"/>
    <w:rsid w:val="003103E7"/>
    <w:rsid w:val="00314342"/>
    <w:rsid w:val="0034599F"/>
    <w:rsid w:val="00393BBF"/>
    <w:rsid w:val="003B1CD9"/>
    <w:rsid w:val="003C3A31"/>
    <w:rsid w:val="003F3F11"/>
    <w:rsid w:val="0041414F"/>
    <w:rsid w:val="00422778"/>
    <w:rsid w:val="0043627C"/>
    <w:rsid w:val="00453180"/>
    <w:rsid w:val="004563EE"/>
    <w:rsid w:val="00463A59"/>
    <w:rsid w:val="0047261C"/>
    <w:rsid w:val="004A7D62"/>
    <w:rsid w:val="004B0873"/>
    <w:rsid w:val="00515D8D"/>
    <w:rsid w:val="005262A4"/>
    <w:rsid w:val="00552050"/>
    <w:rsid w:val="0056600F"/>
    <w:rsid w:val="005920C3"/>
    <w:rsid w:val="00592244"/>
    <w:rsid w:val="005B6C67"/>
    <w:rsid w:val="005D7789"/>
    <w:rsid w:val="00601972"/>
    <w:rsid w:val="00607968"/>
    <w:rsid w:val="00635659"/>
    <w:rsid w:val="00657A25"/>
    <w:rsid w:val="00663D6A"/>
    <w:rsid w:val="00667FBE"/>
    <w:rsid w:val="006B01D7"/>
    <w:rsid w:val="006C11EA"/>
    <w:rsid w:val="006E1DE2"/>
    <w:rsid w:val="007130CC"/>
    <w:rsid w:val="00724B6F"/>
    <w:rsid w:val="007A5166"/>
    <w:rsid w:val="007C78AA"/>
    <w:rsid w:val="0081498A"/>
    <w:rsid w:val="008151DC"/>
    <w:rsid w:val="0084567F"/>
    <w:rsid w:val="008535DD"/>
    <w:rsid w:val="008626C9"/>
    <w:rsid w:val="0087405C"/>
    <w:rsid w:val="00880D75"/>
    <w:rsid w:val="00881A94"/>
    <w:rsid w:val="00886238"/>
    <w:rsid w:val="00892E33"/>
    <w:rsid w:val="008C1634"/>
    <w:rsid w:val="008D1CD2"/>
    <w:rsid w:val="008D2F3D"/>
    <w:rsid w:val="008E7F93"/>
    <w:rsid w:val="00904AB1"/>
    <w:rsid w:val="00946B4A"/>
    <w:rsid w:val="00954CD0"/>
    <w:rsid w:val="00975538"/>
    <w:rsid w:val="00993825"/>
    <w:rsid w:val="0099513D"/>
    <w:rsid w:val="009D48BA"/>
    <w:rsid w:val="009D6FD5"/>
    <w:rsid w:val="009E12B3"/>
    <w:rsid w:val="009F246E"/>
    <w:rsid w:val="009F6CC4"/>
    <w:rsid w:val="00A1504C"/>
    <w:rsid w:val="00A20DCA"/>
    <w:rsid w:val="00A24526"/>
    <w:rsid w:val="00A26CC4"/>
    <w:rsid w:val="00A26D4C"/>
    <w:rsid w:val="00A31ACE"/>
    <w:rsid w:val="00A33F86"/>
    <w:rsid w:val="00A47574"/>
    <w:rsid w:val="00A54DF2"/>
    <w:rsid w:val="00AA021D"/>
    <w:rsid w:val="00AB4C48"/>
    <w:rsid w:val="00AC4D4C"/>
    <w:rsid w:val="00B12668"/>
    <w:rsid w:val="00B625EE"/>
    <w:rsid w:val="00B64E0C"/>
    <w:rsid w:val="00B67EF4"/>
    <w:rsid w:val="00BB569E"/>
    <w:rsid w:val="00BD5C8F"/>
    <w:rsid w:val="00BE55B8"/>
    <w:rsid w:val="00C0122E"/>
    <w:rsid w:val="00C17A07"/>
    <w:rsid w:val="00C22CCC"/>
    <w:rsid w:val="00C37ED0"/>
    <w:rsid w:val="00C70FB8"/>
    <w:rsid w:val="00C93D67"/>
    <w:rsid w:val="00CC220D"/>
    <w:rsid w:val="00CC3B6B"/>
    <w:rsid w:val="00D00A8D"/>
    <w:rsid w:val="00D07DE3"/>
    <w:rsid w:val="00D510A5"/>
    <w:rsid w:val="00D53AD2"/>
    <w:rsid w:val="00D55DFF"/>
    <w:rsid w:val="00D95D11"/>
    <w:rsid w:val="00D97180"/>
    <w:rsid w:val="00DC3087"/>
    <w:rsid w:val="00DC78AC"/>
    <w:rsid w:val="00DE5920"/>
    <w:rsid w:val="00E06581"/>
    <w:rsid w:val="00E9186D"/>
    <w:rsid w:val="00E91E36"/>
    <w:rsid w:val="00E95B16"/>
    <w:rsid w:val="00EA2071"/>
    <w:rsid w:val="00EE1906"/>
    <w:rsid w:val="00F06665"/>
    <w:rsid w:val="00F07DC2"/>
    <w:rsid w:val="00F257C1"/>
    <w:rsid w:val="00F3108C"/>
    <w:rsid w:val="00F50BFD"/>
    <w:rsid w:val="00F61739"/>
    <w:rsid w:val="00F82DA4"/>
    <w:rsid w:val="00F914F4"/>
    <w:rsid w:val="00F929D6"/>
    <w:rsid w:val="00FC67AB"/>
    <w:rsid w:val="00FE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EE2"/>
    <w:pPr>
      <w:ind w:firstLineChars="200" w:firstLine="420"/>
    </w:pPr>
  </w:style>
  <w:style w:type="table" w:styleId="a4">
    <w:name w:val="Table Grid"/>
    <w:basedOn w:val="a1"/>
    <w:uiPriority w:val="59"/>
    <w:rsid w:val="000D1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6E1DE2"/>
    <w:rPr>
      <w:sz w:val="18"/>
      <w:szCs w:val="18"/>
    </w:rPr>
  </w:style>
  <w:style w:type="character" w:customStyle="1" w:styleId="Char">
    <w:name w:val="批注框文本 Char"/>
    <w:basedOn w:val="a0"/>
    <w:link w:val="a5"/>
    <w:uiPriority w:val="99"/>
    <w:semiHidden/>
    <w:rsid w:val="006E1DE2"/>
    <w:rPr>
      <w:sz w:val="18"/>
      <w:szCs w:val="18"/>
    </w:rPr>
  </w:style>
  <w:style w:type="paragraph" w:styleId="a6">
    <w:name w:val="header"/>
    <w:basedOn w:val="a"/>
    <w:link w:val="Char0"/>
    <w:uiPriority w:val="99"/>
    <w:unhideWhenUsed/>
    <w:rsid w:val="004141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1414F"/>
    <w:rPr>
      <w:sz w:val="18"/>
      <w:szCs w:val="18"/>
    </w:rPr>
  </w:style>
  <w:style w:type="paragraph" w:styleId="a7">
    <w:name w:val="footer"/>
    <w:basedOn w:val="a"/>
    <w:link w:val="Char1"/>
    <w:uiPriority w:val="99"/>
    <w:unhideWhenUsed/>
    <w:rsid w:val="0041414F"/>
    <w:pPr>
      <w:tabs>
        <w:tab w:val="center" w:pos="4153"/>
        <w:tab w:val="right" w:pos="8306"/>
      </w:tabs>
      <w:snapToGrid w:val="0"/>
      <w:jc w:val="left"/>
    </w:pPr>
    <w:rPr>
      <w:sz w:val="18"/>
      <w:szCs w:val="18"/>
    </w:rPr>
  </w:style>
  <w:style w:type="character" w:customStyle="1" w:styleId="Char1">
    <w:name w:val="页脚 Char"/>
    <w:basedOn w:val="a0"/>
    <w:link w:val="a7"/>
    <w:uiPriority w:val="99"/>
    <w:rsid w:val="0041414F"/>
    <w:rPr>
      <w:sz w:val="18"/>
      <w:szCs w:val="18"/>
    </w:rPr>
  </w:style>
  <w:style w:type="character" w:styleId="a8">
    <w:name w:val="Hyperlink"/>
    <w:basedOn w:val="a0"/>
    <w:uiPriority w:val="99"/>
    <w:unhideWhenUsed/>
    <w:rsid w:val="00AC4D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EE2"/>
    <w:pPr>
      <w:ind w:firstLineChars="200" w:firstLine="420"/>
    </w:pPr>
  </w:style>
  <w:style w:type="table" w:styleId="a4">
    <w:name w:val="Table Grid"/>
    <w:basedOn w:val="a1"/>
    <w:uiPriority w:val="59"/>
    <w:rsid w:val="000D1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6E1DE2"/>
    <w:rPr>
      <w:sz w:val="18"/>
      <w:szCs w:val="18"/>
    </w:rPr>
  </w:style>
  <w:style w:type="character" w:customStyle="1" w:styleId="Char">
    <w:name w:val="批注框文本 Char"/>
    <w:basedOn w:val="a0"/>
    <w:link w:val="a5"/>
    <w:uiPriority w:val="99"/>
    <w:semiHidden/>
    <w:rsid w:val="006E1DE2"/>
    <w:rPr>
      <w:sz w:val="18"/>
      <w:szCs w:val="18"/>
    </w:rPr>
  </w:style>
  <w:style w:type="paragraph" w:styleId="a6">
    <w:name w:val="header"/>
    <w:basedOn w:val="a"/>
    <w:link w:val="Char0"/>
    <w:uiPriority w:val="99"/>
    <w:unhideWhenUsed/>
    <w:rsid w:val="004141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1414F"/>
    <w:rPr>
      <w:sz w:val="18"/>
      <w:szCs w:val="18"/>
    </w:rPr>
  </w:style>
  <w:style w:type="paragraph" w:styleId="a7">
    <w:name w:val="footer"/>
    <w:basedOn w:val="a"/>
    <w:link w:val="Char1"/>
    <w:uiPriority w:val="99"/>
    <w:unhideWhenUsed/>
    <w:rsid w:val="0041414F"/>
    <w:pPr>
      <w:tabs>
        <w:tab w:val="center" w:pos="4153"/>
        <w:tab w:val="right" w:pos="8306"/>
      </w:tabs>
      <w:snapToGrid w:val="0"/>
      <w:jc w:val="left"/>
    </w:pPr>
    <w:rPr>
      <w:sz w:val="18"/>
      <w:szCs w:val="18"/>
    </w:rPr>
  </w:style>
  <w:style w:type="character" w:customStyle="1" w:styleId="Char1">
    <w:name w:val="页脚 Char"/>
    <w:basedOn w:val="a0"/>
    <w:link w:val="a7"/>
    <w:uiPriority w:val="99"/>
    <w:rsid w:val="0041414F"/>
    <w:rPr>
      <w:sz w:val="18"/>
      <w:szCs w:val="18"/>
    </w:rPr>
  </w:style>
  <w:style w:type="character" w:styleId="a8">
    <w:name w:val="Hyperlink"/>
    <w:basedOn w:val="a0"/>
    <w:uiPriority w:val="99"/>
    <w:unhideWhenUsed/>
    <w:rsid w:val="00AC4D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焦炭平均库存可用天数:华北地区</c:v>
                </c:pt>
              </c:strCache>
            </c:strRef>
          </c:tx>
          <c:marker>
            <c:symbol val="none"/>
          </c:marker>
          <c:cat>
            <c:numRef>
              <c:f>Sheet1!$A$2:$A$124</c:f>
              <c:numCache>
                <c:formatCode>yyyy\-mm\-dd;@</c:formatCode>
                <c:ptCount val="29"/>
                <c:pt idx="0">
                  <c:v>41684</c:v>
                </c:pt>
                <c:pt idx="1">
                  <c:v>41691</c:v>
                </c:pt>
                <c:pt idx="2">
                  <c:v>41698</c:v>
                </c:pt>
                <c:pt idx="3">
                  <c:v>41705</c:v>
                </c:pt>
                <c:pt idx="4">
                  <c:v>41712</c:v>
                </c:pt>
                <c:pt idx="5">
                  <c:v>41719</c:v>
                </c:pt>
                <c:pt idx="6">
                  <c:v>41726</c:v>
                </c:pt>
                <c:pt idx="7">
                  <c:v>41733</c:v>
                </c:pt>
                <c:pt idx="8">
                  <c:v>41740</c:v>
                </c:pt>
                <c:pt idx="9">
                  <c:v>41747</c:v>
                </c:pt>
                <c:pt idx="10">
                  <c:v>41754</c:v>
                </c:pt>
                <c:pt idx="11">
                  <c:v>41761</c:v>
                </c:pt>
                <c:pt idx="12">
                  <c:v>41768</c:v>
                </c:pt>
                <c:pt idx="13">
                  <c:v>41775</c:v>
                </c:pt>
                <c:pt idx="14">
                  <c:v>41782</c:v>
                </c:pt>
                <c:pt idx="15">
                  <c:v>41789</c:v>
                </c:pt>
                <c:pt idx="16">
                  <c:v>41796</c:v>
                </c:pt>
                <c:pt idx="17">
                  <c:v>41803</c:v>
                </c:pt>
                <c:pt idx="18">
                  <c:v>41810</c:v>
                </c:pt>
                <c:pt idx="19">
                  <c:v>41817</c:v>
                </c:pt>
                <c:pt idx="20">
                  <c:v>41824</c:v>
                </c:pt>
                <c:pt idx="21">
                  <c:v>41831</c:v>
                </c:pt>
                <c:pt idx="22">
                  <c:v>41838</c:v>
                </c:pt>
                <c:pt idx="23">
                  <c:v>41845</c:v>
                </c:pt>
                <c:pt idx="24">
                  <c:v>41852</c:v>
                </c:pt>
                <c:pt idx="25">
                  <c:v>41859</c:v>
                </c:pt>
                <c:pt idx="26">
                  <c:v>41866</c:v>
                </c:pt>
                <c:pt idx="27">
                  <c:v>41873</c:v>
                </c:pt>
                <c:pt idx="28">
                  <c:v>41880</c:v>
                </c:pt>
              </c:numCache>
            </c:numRef>
          </c:cat>
          <c:val>
            <c:numRef>
              <c:f>Sheet1!$B$2:$B$124</c:f>
              <c:numCache>
                <c:formatCode>###,###,###,###,##0.00_ </c:formatCode>
                <c:ptCount val="29"/>
                <c:pt idx="0">
                  <c:v>9.5</c:v>
                </c:pt>
                <c:pt idx="1">
                  <c:v>9.1999999999999993</c:v>
                </c:pt>
                <c:pt idx="2">
                  <c:v>9.8000000000000007</c:v>
                </c:pt>
                <c:pt idx="3">
                  <c:v>9.5</c:v>
                </c:pt>
                <c:pt idx="4">
                  <c:v>8.6999999999999993</c:v>
                </c:pt>
                <c:pt idx="5">
                  <c:v>8.1</c:v>
                </c:pt>
                <c:pt idx="6">
                  <c:v>8.1</c:v>
                </c:pt>
                <c:pt idx="7">
                  <c:v>7.8</c:v>
                </c:pt>
                <c:pt idx="8">
                  <c:v>8.4</c:v>
                </c:pt>
                <c:pt idx="9">
                  <c:v>8.6</c:v>
                </c:pt>
                <c:pt idx="10">
                  <c:v>9.1999999999999993</c:v>
                </c:pt>
                <c:pt idx="11">
                  <c:v>8.6</c:v>
                </c:pt>
                <c:pt idx="12">
                  <c:v>8.5</c:v>
                </c:pt>
                <c:pt idx="13">
                  <c:v>8.8000000000000007</c:v>
                </c:pt>
                <c:pt idx="14">
                  <c:v>8.4</c:v>
                </c:pt>
                <c:pt idx="15">
                  <c:v>9.1</c:v>
                </c:pt>
                <c:pt idx="16">
                  <c:v>8.6</c:v>
                </c:pt>
                <c:pt idx="17">
                  <c:v>8.3000000000000007</c:v>
                </c:pt>
                <c:pt idx="18">
                  <c:v>8.3000000000000007</c:v>
                </c:pt>
                <c:pt idx="19">
                  <c:v>7.8</c:v>
                </c:pt>
                <c:pt idx="20">
                  <c:v>7.7</c:v>
                </c:pt>
                <c:pt idx="21">
                  <c:v>7.6</c:v>
                </c:pt>
                <c:pt idx="22">
                  <c:v>7.5</c:v>
                </c:pt>
                <c:pt idx="23">
                  <c:v>8</c:v>
                </c:pt>
                <c:pt idx="24">
                  <c:v>8</c:v>
                </c:pt>
                <c:pt idx="25">
                  <c:v>8.1999999999999993</c:v>
                </c:pt>
                <c:pt idx="26">
                  <c:v>8.4</c:v>
                </c:pt>
                <c:pt idx="27">
                  <c:v>8.3000000000000007</c:v>
                </c:pt>
                <c:pt idx="28">
                  <c:v>8.4</c:v>
                </c:pt>
              </c:numCache>
            </c:numRef>
          </c:val>
          <c:smooth val="0"/>
        </c:ser>
        <c:ser>
          <c:idx val="1"/>
          <c:order val="1"/>
          <c:tx>
            <c:strRef>
              <c:f>Sheet1!$C$1</c:f>
              <c:strCache>
                <c:ptCount val="1"/>
                <c:pt idx="0">
                  <c:v>焦炭平均库存可用天数:华东地区</c:v>
                </c:pt>
              </c:strCache>
            </c:strRef>
          </c:tx>
          <c:marker>
            <c:symbol val="none"/>
          </c:marker>
          <c:cat>
            <c:numRef>
              <c:f>Sheet1!$A$2:$A$124</c:f>
              <c:numCache>
                <c:formatCode>yyyy\-mm\-dd;@</c:formatCode>
                <c:ptCount val="29"/>
                <c:pt idx="0">
                  <c:v>41684</c:v>
                </c:pt>
                <c:pt idx="1">
                  <c:v>41691</c:v>
                </c:pt>
                <c:pt idx="2">
                  <c:v>41698</c:v>
                </c:pt>
                <c:pt idx="3">
                  <c:v>41705</c:v>
                </c:pt>
                <c:pt idx="4">
                  <c:v>41712</c:v>
                </c:pt>
                <c:pt idx="5">
                  <c:v>41719</c:v>
                </c:pt>
                <c:pt idx="6">
                  <c:v>41726</c:v>
                </c:pt>
                <c:pt idx="7">
                  <c:v>41733</c:v>
                </c:pt>
                <c:pt idx="8">
                  <c:v>41740</c:v>
                </c:pt>
                <c:pt idx="9">
                  <c:v>41747</c:v>
                </c:pt>
                <c:pt idx="10">
                  <c:v>41754</c:v>
                </c:pt>
                <c:pt idx="11">
                  <c:v>41761</c:v>
                </c:pt>
                <c:pt idx="12">
                  <c:v>41768</c:v>
                </c:pt>
                <c:pt idx="13">
                  <c:v>41775</c:v>
                </c:pt>
                <c:pt idx="14">
                  <c:v>41782</c:v>
                </c:pt>
                <c:pt idx="15">
                  <c:v>41789</c:v>
                </c:pt>
                <c:pt idx="16">
                  <c:v>41796</c:v>
                </c:pt>
                <c:pt idx="17">
                  <c:v>41803</c:v>
                </c:pt>
                <c:pt idx="18">
                  <c:v>41810</c:v>
                </c:pt>
                <c:pt idx="19">
                  <c:v>41817</c:v>
                </c:pt>
                <c:pt idx="20">
                  <c:v>41824</c:v>
                </c:pt>
                <c:pt idx="21">
                  <c:v>41831</c:v>
                </c:pt>
                <c:pt idx="22">
                  <c:v>41838</c:v>
                </c:pt>
                <c:pt idx="23">
                  <c:v>41845</c:v>
                </c:pt>
                <c:pt idx="24">
                  <c:v>41852</c:v>
                </c:pt>
                <c:pt idx="25">
                  <c:v>41859</c:v>
                </c:pt>
                <c:pt idx="26">
                  <c:v>41866</c:v>
                </c:pt>
                <c:pt idx="27">
                  <c:v>41873</c:v>
                </c:pt>
                <c:pt idx="28">
                  <c:v>41880</c:v>
                </c:pt>
              </c:numCache>
            </c:numRef>
          </c:cat>
          <c:val>
            <c:numRef>
              <c:f>Sheet1!$C$2:$C$124</c:f>
              <c:numCache>
                <c:formatCode>###,###,###,###,##0.00_ </c:formatCode>
                <c:ptCount val="29"/>
                <c:pt idx="0">
                  <c:v>19</c:v>
                </c:pt>
                <c:pt idx="1">
                  <c:v>19.399999999999999</c:v>
                </c:pt>
                <c:pt idx="2">
                  <c:v>19</c:v>
                </c:pt>
                <c:pt idx="3">
                  <c:v>21.1</c:v>
                </c:pt>
                <c:pt idx="4">
                  <c:v>21</c:v>
                </c:pt>
                <c:pt idx="5">
                  <c:v>21.5</c:v>
                </c:pt>
                <c:pt idx="6">
                  <c:v>22.6</c:v>
                </c:pt>
                <c:pt idx="7">
                  <c:v>20.9</c:v>
                </c:pt>
                <c:pt idx="8">
                  <c:v>22.9</c:v>
                </c:pt>
                <c:pt idx="9">
                  <c:v>20.5</c:v>
                </c:pt>
                <c:pt idx="10">
                  <c:v>21.5</c:v>
                </c:pt>
                <c:pt idx="11">
                  <c:v>19.600000000000001</c:v>
                </c:pt>
                <c:pt idx="12">
                  <c:v>19.5</c:v>
                </c:pt>
                <c:pt idx="13">
                  <c:v>19.399999999999999</c:v>
                </c:pt>
                <c:pt idx="14">
                  <c:v>19.3</c:v>
                </c:pt>
                <c:pt idx="15">
                  <c:v>19</c:v>
                </c:pt>
                <c:pt idx="16">
                  <c:v>18.5</c:v>
                </c:pt>
                <c:pt idx="17">
                  <c:v>20</c:v>
                </c:pt>
                <c:pt idx="18">
                  <c:v>18.8</c:v>
                </c:pt>
                <c:pt idx="19">
                  <c:v>18.3</c:v>
                </c:pt>
                <c:pt idx="20">
                  <c:v>18.7</c:v>
                </c:pt>
                <c:pt idx="21">
                  <c:v>19</c:v>
                </c:pt>
                <c:pt idx="22">
                  <c:v>19.600000000000001</c:v>
                </c:pt>
                <c:pt idx="23">
                  <c:v>18.600000000000001</c:v>
                </c:pt>
                <c:pt idx="24">
                  <c:v>17.899999999999999</c:v>
                </c:pt>
                <c:pt idx="25">
                  <c:v>17.899999999999999</c:v>
                </c:pt>
                <c:pt idx="26">
                  <c:v>18</c:v>
                </c:pt>
                <c:pt idx="27">
                  <c:v>16.2</c:v>
                </c:pt>
                <c:pt idx="28">
                  <c:v>15.8</c:v>
                </c:pt>
              </c:numCache>
            </c:numRef>
          </c:val>
          <c:smooth val="0"/>
        </c:ser>
        <c:ser>
          <c:idx val="2"/>
          <c:order val="2"/>
          <c:tx>
            <c:strRef>
              <c:f>Sheet1!$D$1</c:f>
              <c:strCache>
                <c:ptCount val="1"/>
                <c:pt idx="0">
                  <c:v>焦炭平均库存:华南地区</c:v>
                </c:pt>
              </c:strCache>
            </c:strRef>
          </c:tx>
          <c:marker>
            <c:symbol val="none"/>
          </c:marker>
          <c:cat>
            <c:numRef>
              <c:f>Sheet1!$A$2:$A$124</c:f>
              <c:numCache>
                <c:formatCode>yyyy\-mm\-dd;@</c:formatCode>
                <c:ptCount val="29"/>
                <c:pt idx="0">
                  <c:v>41684</c:v>
                </c:pt>
                <c:pt idx="1">
                  <c:v>41691</c:v>
                </c:pt>
                <c:pt idx="2">
                  <c:v>41698</c:v>
                </c:pt>
                <c:pt idx="3">
                  <c:v>41705</c:v>
                </c:pt>
                <c:pt idx="4">
                  <c:v>41712</c:v>
                </c:pt>
                <c:pt idx="5">
                  <c:v>41719</c:v>
                </c:pt>
                <c:pt idx="6">
                  <c:v>41726</c:v>
                </c:pt>
                <c:pt idx="7">
                  <c:v>41733</c:v>
                </c:pt>
                <c:pt idx="8">
                  <c:v>41740</c:v>
                </c:pt>
                <c:pt idx="9">
                  <c:v>41747</c:v>
                </c:pt>
                <c:pt idx="10">
                  <c:v>41754</c:v>
                </c:pt>
                <c:pt idx="11">
                  <c:v>41761</c:v>
                </c:pt>
                <c:pt idx="12">
                  <c:v>41768</c:v>
                </c:pt>
                <c:pt idx="13">
                  <c:v>41775</c:v>
                </c:pt>
                <c:pt idx="14">
                  <c:v>41782</c:v>
                </c:pt>
                <c:pt idx="15">
                  <c:v>41789</c:v>
                </c:pt>
                <c:pt idx="16">
                  <c:v>41796</c:v>
                </c:pt>
                <c:pt idx="17">
                  <c:v>41803</c:v>
                </c:pt>
                <c:pt idx="18">
                  <c:v>41810</c:v>
                </c:pt>
                <c:pt idx="19">
                  <c:v>41817</c:v>
                </c:pt>
                <c:pt idx="20">
                  <c:v>41824</c:v>
                </c:pt>
                <c:pt idx="21">
                  <c:v>41831</c:v>
                </c:pt>
                <c:pt idx="22">
                  <c:v>41838</c:v>
                </c:pt>
                <c:pt idx="23">
                  <c:v>41845</c:v>
                </c:pt>
                <c:pt idx="24">
                  <c:v>41852</c:v>
                </c:pt>
                <c:pt idx="25">
                  <c:v>41859</c:v>
                </c:pt>
                <c:pt idx="26">
                  <c:v>41866</c:v>
                </c:pt>
                <c:pt idx="27">
                  <c:v>41873</c:v>
                </c:pt>
                <c:pt idx="28">
                  <c:v>41880</c:v>
                </c:pt>
              </c:numCache>
            </c:numRef>
          </c:cat>
          <c:val>
            <c:numRef>
              <c:f>Sheet1!$D$2:$D$124</c:f>
              <c:numCache>
                <c:formatCode>###,###,###,###,##0.00_ </c:formatCode>
                <c:ptCount val="29"/>
                <c:pt idx="0">
                  <c:v>13.1</c:v>
                </c:pt>
                <c:pt idx="1">
                  <c:v>14</c:v>
                </c:pt>
                <c:pt idx="2">
                  <c:v>13.1</c:v>
                </c:pt>
                <c:pt idx="3">
                  <c:v>11.9</c:v>
                </c:pt>
                <c:pt idx="4">
                  <c:v>10.4</c:v>
                </c:pt>
                <c:pt idx="5">
                  <c:v>8.9</c:v>
                </c:pt>
                <c:pt idx="6">
                  <c:v>8.6999999999999993</c:v>
                </c:pt>
                <c:pt idx="7">
                  <c:v>8.4</c:v>
                </c:pt>
                <c:pt idx="8">
                  <c:v>8.4</c:v>
                </c:pt>
                <c:pt idx="9">
                  <c:v>8.8000000000000007</c:v>
                </c:pt>
                <c:pt idx="10">
                  <c:v>9</c:v>
                </c:pt>
                <c:pt idx="11">
                  <c:v>9.1</c:v>
                </c:pt>
                <c:pt idx="12">
                  <c:v>7.6</c:v>
                </c:pt>
                <c:pt idx="13">
                  <c:v>8.1999999999999993</c:v>
                </c:pt>
                <c:pt idx="14">
                  <c:v>8.6</c:v>
                </c:pt>
                <c:pt idx="15">
                  <c:v>9</c:v>
                </c:pt>
                <c:pt idx="16">
                  <c:v>9.4</c:v>
                </c:pt>
                <c:pt idx="17">
                  <c:v>8.8000000000000007</c:v>
                </c:pt>
                <c:pt idx="18">
                  <c:v>8.6999999999999993</c:v>
                </c:pt>
                <c:pt idx="19">
                  <c:v>8.6</c:v>
                </c:pt>
                <c:pt idx="20">
                  <c:v>9</c:v>
                </c:pt>
                <c:pt idx="21">
                  <c:v>9.1</c:v>
                </c:pt>
                <c:pt idx="22">
                  <c:v>8.8000000000000007</c:v>
                </c:pt>
                <c:pt idx="23">
                  <c:v>9</c:v>
                </c:pt>
                <c:pt idx="24">
                  <c:v>8.6</c:v>
                </c:pt>
                <c:pt idx="25">
                  <c:v>7.9</c:v>
                </c:pt>
                <c:pt idx="26">
                  <c:v>7.6</c:v>
                </c:pt>
                <c:pt idx="27">
                  <c:v>7.6</c:v>
                </c:pt>
                <c:pt idx="28">
                  <c:v>7.6</c:v>
                </c:pt>
              </c:numCache>
            </c:numRef>
          </c:val>
          <c:smooth val="0"/>
        </c:ser>
        <c:dLbls>
          <c:showLegendKey val="0"/>
          <c:showVal val="0"/>
          <c:showCatName val="0"/>
          <c:showSerName val="0"/>
          <c:showPercent val="0"/>
          <c:showBubbleSize val="0"/>
        </c:dLbls>
        <c:marker val="1"/>
        <c:smooth val="0"/>
        <c:axId val="85239296"/>
        <c:axId val="85240832"/>
      </c:lineChart>
      <c:dateAx>
        <c:axId val="85239296"/>
        <c:scaling>
          <c:orientation val="minMax"/>
        </c:scaling>
        <c:delete val="0"/>
        <c:axPos val="b"/>
        <c:numFmt formatCode="yyyy\-mm\-dd;@" sourceLinked="1"/>
        <c:majorTickMark val="out"/>
        <c:minorTickMark val="none"/>
        <c:tickLblPos val="nextTo"/>
        <c:crossAx val="85240832"/>
        <c:crosses val="autoZero"/>
        <c:auto val="1"/>
        <c:lblOffset val="100"/>
        <c:baseTimeUnit val="days"/>
      </c:dateAx>
      <c:valAx>
        <c:axId val="85240832"/>
        <c:scaling>
          <c:orientation val="minMax"/>
        </c:scaling>
        <c:delete val="0"/>
        <c:axPos val="l"/>
        <c:majorGridlines/>
        <c:numFmt formatCode="###,###,###,###,##0.00_ " sourceLinked="1"/>
        <c:majorTickMark val="out"/>
        <c:minorTickMark val="none"/>
        <c:tickLblPos val="nextTo"/>
        <c:crossAx val="8523929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TotalTime>
  <Pages>4</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xsqh</dc:creator>
  <cp:keywords/>
  <dc:description/>
  <cp:lastModifiedBy>xsqh</cp:lastModifiedBy>
  <cp:revision>114</cp:revision>
  <dcterms:created xsi:type="dcterms:W3CDTF">2014-05-13T02:15:00Z</dcterms:created>
  <dcterms:modified xsi:type="dcterms:W3CDTF">2014-11-21T09:03:00Z</dcterms:modified>
</cp:coreProperties>
</file>