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BAA" w:rsidRDefault="005F6A3B" w:rsidP="008F3010">
      <w:pPr>
        <w:spacing w:line="360" w:lineRule="auto"/>
        <w:ind w:firstLineChars="550" w:firstLine="1988"/>
        <w:rPr>
          <w:b/>
          <w:sz w:val="36"/>
          <w:szCs w:val="36"/>
        </w:rPr>
      </w:pPr>
      <w:r>
        <w:rPr>
          <w:rFonts w:hint="eastAsia"/>
          <w:b/>
          <w:sz w:val="36"/>
          <w:szCs w:val="36"/>
        </w:rPr>
        <w:t>宏观逻辑</w:t>
      </w:r>
      <w:r w:rsidR="00A65BAA">
        <w:rPr>
          <w:rFonts w:hint="eastAsia"/>
          <w:b/>
          <w:sz w:val="36"/>
          <w:szCs w:val="36"/>
        </w:rPr>
        <w:t>与铁矿产业格局博弈</w:t>
      </w:r>
    </w:p>
    <w:p w:rsidR="009308E1" w:rsidRDefault="009308E1" w:rsidP="00196636">
      <w:pPr>
        <w:spacing w:beforeLines="100" w:before="312" w:line="360" w:lineRule="auto"/>
        <w:ind w:leftChars="50" w:left="105" w:firstLineChars="150" w:firstLine="361"/>
      </w:pPr>
      <w:r w:rsidRPr="00FA6FA2">
        <w:rPr>
          <w:rFonts w:hint="eastAsia"/>
          <w:b/>
          <w:sz w:val="24"/>
          <w:szCs w:val="24"/>
        </w:rPr>
        <w:t>导言</w:t>
      </w:r>
      <w:r>
        <w:rPr>
          <w:rFonts w:hint="eastAsia"/>
        </w:rPr>
        <w:t>：自进入第四季度以后，铁矿石在前期大幅杀跌的情况下，已经表现为一定的滞跌。价格平衡随着外矿增产、</w:t>
      </w:r>
      <w:proofErr w:type="gramStart"/>
      <w:r>
        <w:rPr>
          <w:rFonts w:hint="eastAsia"/>
        </w:rPr>
        <w:t>内矿减产</w:t>
      </w:r>
      <w:proofErr w:type="gramEnd"/>
      <w:r>
        <w:rPr>
          <w:rFonts w:hint="eastAsia"/>
        </w:rPr>
        <w:t>以及港口库存的变化而出现一定的波动。同时年末降息和股市等虚拟经济的回暖拉动给未来一定的回暖预期，在产业结构和宏观预期的博弈中出现了大形博弈大势的拉锯格局，本文的分析将侧重从宏观的逻辑和格局中分析这种博弈，并认为这种拉锯将博弈相当长一段时间。这种态势下，建议</w:t>
      </w:r>
      <w:r w:rsidR="002E6697">
        <w:rPr>
          <w:rFonts w:hint="eastAsia"/>
        </w:rPr>
        <w:t>大的</w:t>
      </w:r>
      <w:r>
        <w:rPr>
          <w:rFonts w:hint="eastAsia"/>
        </w:rPr>
        <w:t>趋势单已无参与震荡行情的必要，只适合小投资者窄幅</w:t>
      </w:r>
      <w:r w:rsidR="002E6697">
        <w:rPr>
          <w:rFonts w:hint="eastAsia"/>
        </w:rPr>
        <w:t>高抛低吸，短线参与，快进快出，见好就收。</w:t>
      </w:r>
    </w:p>
    <w:p w:rsidR="002E6697" w:rsidRDefault="002E6697" w:rsidP="009308E1">
      <w:pPr>
        <w:rPr>
          <w:b/>
          <w:sz w:val="30"/>
          <w:szCs w:val="30"/>
        </w:rPr>
      </w:pPr>
    </w:p>
    <w:p w:rsidR="009308E1" w:rsidRPr="002E6697" w:rsidRDefault="0087024C" w:rsidP="009308E1">
      <w:pPr>
        <w:rPr>
          <w:b/>
          <w:sz w:val="28"/>
          <w:szCs w:val="28"/>
        </w:rPr>
      </w:pPr>
      <w:r>
        <w:rPr>
          <w:rFonts w:hint="eastAsia"/>
          <w:b/>
          <w:sz w:val="28"/>
          <w:szCs w:val="28"/>
        </w:rPr>
        <w:t>一、宏观经济逻辑</w:t>
      </w:r>
    </w:p>
    <w:p w:rsidR="000818B2" w:rsidRPr="000818B2" w:rsidRDefault="000818B2" w:rsidP="000818B2">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b/>
          <w:kern w:val="2"/>
          <w:sz w:val="21"/>
          <w:szCs w:val="22"/>
        </w:rPr>
      </w:pPr>
      <w:r w:rsidRPr="000818B2">
        <w:rPr>
          <w:rFonts w:asciiTheme="minorHAnsi" w:eastAsiaTheme="minorEastAsia" w:hAnsiTheme="minorHAnsi" w:cstheme="minorBidi" w:hint="eastAsia"/>
          <w:b/>
          <w:kern w:val="2"/>
          <w:sz w:val="21"/>
          <w:szCs w:val="22"/>
        </w:rPr>
        <w:t>1</w:t>
      </w:r>
      <w:r w:rsidRPr="000818B2">
        <w:rPr>
          <w:rFonts w:asciiTheme="minorHAnsi" w:eastAsiaTheme="minorEastAsia" w:hAnsiTheme="minorHAnsi" w:cstheme="minorBidi" w:hint="eastAsia"/>
          <w:b/>
          <w:kern w:val="2"/>
          <w:sz w:val="21"/>
          <w:szCs w:val="22"/>
        </w:rPr>
        <w:t>、新常态的认识</w:t>
      </w:r>
    </w:p>
    <w:p w:rsidR="000818B2" w:rsidRDefault="002E6697" w:rsidP="000818B2">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kern w:val="2"/>
          <w:sz w:val="21"/>
          <w:szCs w:val="22"/>
        </w:rPr>
      </w:pPr>
      <w:r w:rsidRPr="000818B2">
        <w:rPr>
          <w:rFonts w:asciiTheme="minorHAnsi" w:eastAsiaTheme="minorEastAsia" w:hAnsiTheme="minorHAnsi" w:cstheme="minorBidi" w:hint="eastAsia"/>
          <w:kern w:val="2"/>
          <w:sz w:val="21"/>
          <w:szCs w:val="22"/>
        </w:rPr>
        <w:t>今年最重要的一个词就是“新常态”了，但是对新常态的内涵和外延理解的准确和深入需要随着时间的变化来动态的评估。</w:t>
      </w:r>
      <w:r w:rsidR="00CB2A90" w:rsidRPr="000818B2">
        <w:rPr>
          <w:rFonts w:asciiTheme="minorHAnsi" w:eastAsiaTheme="minorEastAsia" w:hAnsiTheme="minorHAnsi" w:cstheme="minorBidi" w:hint="eastAsia"/>
          <w:kern w:val="2"/>
          <w:sz w:val="21"/>
          <w:szCs w:val="22"/>
        </w:rPr>
        <w:t>现在回顾年初对新常态的理解：增速换挡期，改革阵痛期，前期政策消化期。以投资拉动，资源大量消耗的粗放式增长的不可持续性。但是从年底回顾来看，我们应该加入一些新的理解，其中包括：底线思维，改革成本和风险控制，从增量拉动进入到存量优化的节奏。</w:t>
      </w:r>
    </w:p>
    <w:p w:rsidR="000818B2" w:rsidRDefault="00CB2A90" w:rsidP="000818B2">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kern w:val="2"/>
          <w:sz w:val="21"/>
          <w:szCs w:val="22"/>
        </w:rPr>
      </w:pPr>
      <w:r w:rsidRPr="000818B2">
        <w:rPr>
          <w:rFonts w:asciiTheme="minorHAnsi" w:eastAsiaTheme="minorEastAsia" w:hAnsiTheme="minorHAnsi" w:cstheme="minorBidi" w:hint="eastAsia"/>
          <w:kern w:val="2"/>
          <w:sz w:val="21"/>
          <w:szCs w:val="22"/>
        </w:rPr>
        <w:t>最近的中央经济会议定义新常态的特点：从高速增长转为中高速增长，经济结构不断优化升级，第三产业、消费需求逐步成为主体，城乡区域差距逐步缩小，居民收入占比上升，发展成果惠及更广大民众。从要素驱动、投资驱动转向创新驱动。</w:t>
      </w:r>
    </w:p>
    <w:p w:rsidR="00CB2A90" w:rsidRPr="000818B2" w:rsidRDefault="00CB2A90" w:rsidP="000818B2">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kern w:val="2"/>
          <w:sz w:val="21"/>
          <w:szCs w:val="22"/>
        </w:rPr>
      </w:pPr>
      <w:r w:rsidRPr="000818B2">
        <w:rPr>
          <w:rFonts w:asciiTheme="minorHAnsi" w:eastAsiaTheme="minorEastAsia" w:hAnsiTheme="minorHAnsi" w:cstheme="minorBidi" w:hint="eastAsia"/>
          <w:kern w:val="2"/>
          <w:sz w:val="21"/>
          <w:szCs w:val="22"/>
        </w:rPr>
        <w:t>改革的核心也就是调结构，培育新增长点，在投资，出口，消费拉动的比例格局</w:t>
      </w:r>
      <w:r w:rsidR="000818B2" w:rsidRPr="000818B2">
        <w:rPr>
          <w:rFonts w:asciiTheme="minorHAnsi" w:eastAsiaTheme="minorEastAsia" w:hAnsiTheme="minorHAnsi" w:cstheme="minorBidi" w:hint="eastAsia"/>
          <w:kern w:val="2"/>
          <w:sz w:val="21"/>
          <w:szCs w:val="22"/>
        </w:rPr>
        <w:t>有所变化，希望通过释放改革红利，依靠内生动力而形成的经济良性循环。</w:t>
      </w:r>
    </w:p>
    <w:p w:rsidR="00CB2A90" w:rsidRPr="000818B2" w:rsidRDefault="000818B2" w:rsidP="000818B2">
      <w:pPr>
        <w:spacing w:beforeLines="50" w:before="156"/>
        <w:ind w:firstLineChars="150" w:firstLine="316"/>
        <w:rPr>
          <w:b/>
        </w:rPr>
      </w:pPr>
      <w:r w:rsidRPr="000818B2">
        <w:rPr>
          <w:rFonts w:hint="eastAsia"/>
          <w:b/>
        </w:rPr>
        <w:t>2</w:t>
      </w:r>
      <w:r w:rsidRPr="000818B2">
        <w:rPr>
          <w:rFonts w:hint="eastAsia"/>
          <w:b/>
        </w:rPr>
        <w:t>、改革中问题</w:t>
      </w:r>
    </w:p>
    <w:p w:rsidR="00056B98" w:rsidRDefault="000818B2" w:rsidP="000818B2">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kern w:val="2"/>
          <w:sz w:val="21"/>
          <w:szCs w:val="22"/>
        </w:rPr>
      </w:pPr>
      <w:r w:rsidRPr="000818B2">
        <w:rPr>
          <w:rFonts w:asciiTheme="minorHAnsi" w:eastAsiaTheme="minorEastAsia" w:hAnsiTheme="minorHAnsi" w:cstheme="minorBidi" w:hint="eastAsia"/>
          <w:kern w:val="2"/>
          <w:sz w:val="21"/>
          <w:szCs w:val="22"/>
        </w:rPr>
        <w:t>虽然目</w:t>
      </w:r>
      <w:r>
        <w:rPr>
          <w:rFonts w:asciiTheme="minorHAnsi" w:eastAsiaTheme="minorEastAsia" w:hAnsiTheme="minorHAnsi" w:cstheme="minorBidi" w:hint="eastAsia"/>
          <w:kern w:val="2"/>
          <w:sz w:val="21"/>
          <w:szCs w:val="22"/>
        </w:rPr>
        <w:t>标清晰，</w:t>
      </w:r>
      <w:proofErr w:type="gramStart"/>
      <w:r>
        <w:rPr>
          <w:rFonts w:asciiTheme="minorHAnsi" w:eastAsiaTheme="minorEastAsia" w:hAnsiTheme="minorHAnsi" w:cstheme="minorBidi" w:hint="eastAsia"/>
          <w:kern w:val="2"/>
          <w:sz w:val="21"/>
          <w:szCs w:val="22"/>
        </w:rPr>
        <w:t>愿景良好</w:t>
      </w:r>
      <w:proofErr w:type="gramEnd"/>
      <w:r>
        <w:rPr>
          <w:rFonts w:asciiTheme="minorHAnsi" w:eastAsiaTheme="minorEastAsia" w:hAnsiTheme="minorHAnsi" w:cstheme="minorBidi" w:hint="eastAsia"/>
          <w:kern w:val="2"/>
          <w:sz w:val="21"/>
          <w:szCs w:val="22"/>
        </w:rPr>
        <w:t>，但是在实际操作中存在很多问题。</w:t>
      </w:r>
    </w:p>
    <w:p w:rsidR="002E6697" w:rsidRDefault="001D49DD" w:rsidP="000818B2">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kern w:val="2"/>
          <w:sz w:val="21"/>
          <w:szCs w:val="22"/>
        </w:rPr>
      </w:pPr>
      <w:r w:rsidRPr="001D49DD">
        <w:rPr>
          <w:rFonts w:asciiTheme="minorHAnsi" w:eastAsiaTheme="minorEastAsia" w:hAnsiTheme="minorHAnsi" w:cstheme="minorBidi" w:hint="eastAsia"/>
          <w:b/>
          <w:kern w:val="2"/>
          <w:sz w:val="21"/>
          <w:szCs w:val="22"/>
        </w:rPr>
        <w:t>一、</w:t>
      </w:r>
      <w:r w:rsidR="000818B2" w:rsidRPr="001D49DD">
        <w:rPr>
          <w:rFonts w:asciiTheme="minorHAnsi" w:eastAsiaTheme="minorEastAsia" w:hAnsiTheme="minorHAnsi" w:cstheme="minorBidi" w:hint="eastAsia"/>
          <w:b/>
          <w:kern w:val="2"/>
          <w:sz w:val="21"/>
          <w:szCs w:val="22"/>
        </w:rPr>
        <w:t>投资和信贷问题</w:t>
      </w:r>
      <w:r w:rsidR="000818B2">
        <w:rPr>
          <w:rFonts w:asciiTheme="minorHAnsi" w:eastAsiaTheme="minorEastAsia" w:hAnsiTheme="minorHAnsi" w:cstheme="minorBidi" w:hint="eastAsia"/>
          <w:kern w:val="2"/>
          <w:sz w:val="21"/>
          <w:szCs w:val="22"/>
        </w:rPr>
        <w:t>：</w:t>
      </w:r>
      <w:r w:rsidR="002E6697" w:rsidRPr="000818B2">
        <w:rPr>
          <w:rFonts w:asciiTheme="minorHAnsi" w:eastAsiaTheme="minorEastAsia" w:hAnsiTheme="minorHAnsi" w:cstheme="minorBidi"/>
          <w:kern w:val="2"/>
          <w:sz w:val="21"/>
          <w:szCs w:val="22"/>
        </w:rPr>
        <w:t>2013</w:t>
      </w:r>
      <w:r w:rsidR="002E6697" w:rsidRPr="000818B2">
        <w:rPr>
          <w:rFonts w:asciiTheme="minorHAnsi" w:eastAsiaTheme="minorEastAsia" w:hAnsiTheme="minorHAnsi" w:cstheme="minorBidi"/>
          <w:kern w:val="2"/>
          <w:sz w:val="21"/>
          <w:szCs w:val="22"/>
        </w:rPr>
        <w:t>年末广义货币</w:t>
      </w:r>
      <w:r w:rsidR="002E6697" w:rsidRPr="000818B2">
        <w:rPr>
          <w:rFonts w:asciiTheme="minorHAnsi" w:eastAsiaTheme="minorEastAsia" w:hAnsiTheme="minorHAnsi" w:cstheme="minorBidi"/>
          <w:kern w:val="2"/>
          <w:sz w:val="21"/>
          <w:szCs w:val="22"/>
        </w:rPr>
        <w:t>(M2)</w:t>
      </w:r>
      <w:r w:rsidR="002E6697" w:rsidRPr="000818B2">
        <w:rPr>
          <w:rFonts w:asciiTheme="minorHAnsi" w:eastAsiaTheme="minorEastAsia" w:hAnsiTheme="minorHAnsi" w:cstheme="minorBidi"/>
          <w:kern w:val="2"/>
          <w:sz w:val="21"/>
          <w:szCs w:val="22"/>
        </w:rPr>
        <w:t>余额达</w:t>
      </w:r>
      <w:r w:rsidR="002E6697" w:rsidRPr="000818B2">
        <w:rPr>
          <w:rFonts w:asciiTheme="minorHAnsi" w:eastAsiaTheme="minorEastAsia" w:hAnsiTheme="minorHAnsi" w:cstheme="minorBidi"/>
          <w:kern w:val="2"/>
          <w:sz w:val="21"/>
          <w:szCs w:val="22"/>
        </w:rPr>
        <w:t>110.65</w:t>
      </w:r>
      <w:proofErr w:type="gramStart"/>
      <w:r w:rsidR="002E6697" w:rsidRPr="000818B2">
        <w:rPr>
          <w:rFonts w:asciiTheme="minorHAnsi" w:eastAsiaTheme="minorEastAsia" w:hAnsiTheme="minorHAnsi" w:cstheme="minorBidi"/>
          <w:kern w:val="2"/>
          <w:sz w:val="21"/>
          <w:szCs w:val="22"/>
        </w:rPr>
        <w:t>万亿</w:t>
      </w:r>
      <w:proofErr w:type="gramEnd"/>
      <w:r w:rsidR="002E6697" w:rsidRPr="000818B2">
        <w:rPr>
          <w:rFonts w:asciiTheme="minorHAnsi" w:eastAsiaTheme="minorEastAsia" w:hAnsiTheme="minorHAnsi" w:cstheme="minorBidi"/>
          <w:kern w:val="2"/>
          <w:sz w:val="21"/>
          <w:szCs w:val="22"/>
        </w:rPr>
        <w:t>元，国内生产总值</w:t>
      </w:r>
      <w:r w:rsidR="002E6697" w:rsidRPr="000818B2">
        <w:rPr>
          <w:rFonts w:asciiTheme="minorHAnsi" w:eastAsiaTheme="minorEastAsia" w:hAnsiTheme="minorHAnsi" w:cstheme="minorBidi"/>
          <w:kern w:val="2"/>
          <w:sz w:val="21"/>
          <w:szCs w:val="22"/>
        </w:rPr>
        <w:t>56.88</w:t>
      </w:r>
      <w:proofErr w:type="gramStart"/>
      <w:r w:rsidR="002E6697" w:rsidRPr="000818B2">
        <w:rPr>
          <w:rFonts w:asciiTheme="minorHAnsi" w:eastAsiaTheme="minorEastAsia" w:hAnsiTheme="minorHAnsi" w:cstheme="minorBidi"/>
          <w:kern w:val="2"/>
          <w:sz w:val="21"/>
          <w:szCs w:val="22"/>
        </w:rPr>
        <w:t>万亿</w:t>
      </w:r>
      <w:proofErr w:type="gramEnd"/>
      <w:r w:rsidR="002E6697" w:rsidRPr="000818B2">
        <w:rPr>
          <w:rFonts w:asciiTheme="minorHAnsi" w:eastAsiaTheme="minorEastAsia" w:hAnsiTheme="minorHAnsi" w:cstheme="minorBidi"/>
          <w:kern w:val="2"/>
          <w:sz w:val="21"/>
          <w:szCs w:val="22"/>
        </w:rPr>
        <w:t>元，</w:t>
      </w:r>
      <w:r w:rsidR="002E6697" w:rsidRPr="000818B2">
        <w:rPr>
          <w:rFonts w:asciiTheme="minorHAnsi" w:eastAsiaTheme="minorEastAsia" w:hAnsiTheme="minorHAnsi" w:cstheme="minorBidi"/>
          <w:kern w:val="2"/>
          <w:sz w:val="21"/>
          <w:szCs w:val="22"/>
        </w:rPr>
        <w:t>M2</w:t>
      </w:r>
      <w:r w:rsidR="002E6697" w:rsidRPr="000818B2">
        <w:rPr>
          <w:rFonts w:asciiTheme="minorHAnsi" w:eastAsiaTheme="minorEastAsia" w:hAnsiTheme="minorHAnsi" w:cstheme="minorBidi"/>
          <w:kern w:val="2"/>
          <w:sz w:val="21"/>
          <w:szCs w:val="22"/>
        </w:rPr>
        <w:t>与</w:t>
      </w:r>
      <w:r w:rsidR="002E6697" w:rsidRPr="000818B2">
        <w:rPr>
          <w:rFonts w:asciiTheme="minorHAnsi" w:eastAsiaTheme="minorEastAsia" w:hAnsiTheme="minorHAnsi" w:cstheme="minorBidi"/>
          <w:kern w:val="2"/>
          <w:sz w:val="21"/>
          <w:szCs w:val="22"/>
        </w:rPr>
        <w:t>GDP</w:t>
      </w:r>
      <w:r w:rsidR="002E6697" w:rsidRPr="000818B2">
        <w:rPr>
          <w:rFonts w:asciiTheme="minorHAnsi" w:eastAsiaTheme="minorEastAsia" w:hAnsiTheme="minorHAnsi" w:cstheme="minorBidi"/>
          <w:kern w:val="2"/>
          <w:sz w:val="21"/>
          <w:szCs w:val="22"/>
        </w:rPr>
        <w:t>之比为</w:t>
      </w:r>
      <w:r w:rsidR="002E6697" w:rsidRPr="000818B2">
        <w:rPr>
          <w:rFonts w:asciiTheme="minorHAnsi" w:eastAsiaTheme="minorEastAsia" w:hAnsiTheme="minorHAnsi" w:cstheme="minorBidi"/>
          <w:kern w:val="2"/>
          <w:sz w:val="21"/>
          <w:szCs w:val="22"/>
        </w:rPr>
        <w:t>1.95,</w:t>
      </w:r>
      <w:r w:rsidR="002E6697" w:rsidRPr="000818B2">
        <w:rPr>
          <w:rFonts w:asciiTheme="minorHAnsi" w:eastAsiaTheme="minorEastAsia" w:hAnsiTheme="minorHAnsi" w:cstheme="minorBidi"/>
          <w:kern w:val="2"/>
          <w:sz w:val="21"/>
          <w:szCs w:val="22"/>
        </w:rPr>
        <w:t>而美国的这个数字是</w:t>
      </w:r>
      <w:r w:rsidR="002E6697" w:rsidRPr="000818B2">
        <w:rPr>
          <w:rFonts w:asciiTheme="minorHAnsi" w:eastAsiaTheme="minorEastAsia" w:hAnsiTheme="minorHAnsi" w:cstheme="minorBidi"/>
          <w:kern w:val="2"/>
          <w:sz w:val="21"/>
          <w:szCs w:val="22"/>
        </w:rPr>
        <w:t>0.65,</w:t>
      </w:r>
      <w:r w:rsidR="002E6697" w:rsidRPr="000818B2">
        <w:rPr>
          <w:rFonts w:asciiTheme="minorHAnsi" w:eastAsiaTheme="minorEastAsia" w:hAnsiTheme="minorHAnsi" w:cstheme="minorBidi"/>
          <w:kern w:val="2"/>
          <w:sz w:val="21"/>
          <w:szCs w:val="22"/>
        </w:rPr>
        <w:t>仅为中国的</w:t>
      </w:r>
      <w:r w:rsidR="002E6697" w:rsidRPr="000818B2">
        <w:rPr>
          <w:rFonts w:asciiTheme="minorHAnsi" w:eastAsiaTheme="minorEastAsia" w:hAnsiTheme="minorHAnsi" w:cstheme="minorBidi"/>
          <w:kern w:val="2"/>
          <w:sz w:val="21"/>
          <w:szCs w:val="22"/>
        </w:rPr>
        <w:t>1/3</w:t>
      </w:r>
      <w:r w:rsidR="002E6697" w:rsidRPr="000818B2">
        <w:rPr>
          <w:rFonts w:asciiTheme="minorHAnsi" w:eastAsiaTheme="minorEastAsia" w:hAnsiTheme="minorHAnsi" w:cstheme="minorBidi"/>
          <w:kern w:val="2"/>
          <w:sz w:val="21"/>
          <w:szCs w:val="22"/>
        </w:rPr>
        <w:t>。</w:t>
      </w:r>
      <w:r w:rsidR="002E6697" w:rsidRPr="000818B2">
        <w:rPr>
          <w:rFonts w:asciiTheme="minorHAnsi" w:eastAsiaTheme="minorEastAsia" w:hAnsiTheme="minorHAnsi" w:cstheme="minorBidi"/>
          <w:kern w:val="2"/>
          <w:sz w:val="21"/>
          <w:szCs w:val="22"/>
        </w:rPr>
        <w:t>M2</w:t>
      </w:r>
      <w:r w:rsidR="002E6697" w:rsidRPr="000818B2">
        <w:rPr>
          <w:rFonts w:asciiTheme="minorHAnsi" w:eastAsiaTheme="minorEastAsia" w:hAnsiTheme="minorHAnsi" w:cstheme="minorBidi"/>
          <w:kern w:val="2"/>
          <w:sz w:val="21"/>
          <w:szCs w:val="22"/>
        </w:rPr>
        <w:t>与</w:t>
      </w:r>
      <w:r w:rsidR="002E6697" w:rsidRPr="000818B2">
        <w:rPr>
          <w:rFonts w:asciiTheme="minorHAnsi" w:eastAsiaTheme="minorEastAsia" w:hAnsiTheme="minorHAnsi" w:cstheme="minorBidi"/>
          <w:kern w:val="2"/>
          <w:sz w:val="21"/>
          <w:szCs w:val="22"/>
        </w:rPr>
        <w:t>GDP</w:t>
      </w:r>
      <w:r w:rsidR="002E6697" w:rsidRPr="000818B2">
        <w:rPr>
          <w:rFonts w:asciiTheme="minorHAnsi" w:eastAsiaTheme="minorEastAsia" w:hAnsiTheme="minorHAnsi" w:cstheme="minorBidi"/>
          <w:kern w:val="2"/>
          <w:sz w:val="21"/>
          <w:szCs w:val="22"/>
        </w:rPr>
        <w:t>的比值越高，说明经济运转的效率越低</w:t>
      </w:r>
      <w:r w:rsidR="002E6697" w:rsidRPr="000818B2">
        <w:rPr>
          <w:rFonts w:asciiTheme="minorHAnsi" w:eastAsiaTheme="minorEastAsia" w:hAnsiTheme="minorHAnsi" w:cstheme="minorBidi"/>
          <w:kern w:val="2"/>
          <w:sz w:val="21"/>
          <w:szCs w:val="22"/>
        </w:rPr>
        <w:t>——</w:t>
      </w:r>
      <w:r w:rsidR="002E6697" w:rsidRPr="000818B2">
        <w:rPr>
          <w:rFonts w:asciiTheme="minorHAnsi" w:eastAsiaTheme="minorEastAsia" w:hAnsiTheme="minorHAnsi" w:cstheme="minorBidi"/>
          <w:kern w:val="2"/>
          <w:sz w:val="21"/>
          <w:szCs w:val="22"/>
        </w:rPr>
        <w:t>投入了大量的货币，却产出很少的</w:t>
      </w:r>
      <w:r w:rsidR="002E6697" w:rsidRPr="000818B2">
        <w:rPr>
          <w:rFonts w:asciiTheme="minorHAnsi" w:eastAsiaTheme="minorEastAsia" w:hAnsiTheme="minorHAnsi" w:cstheme="minorBidi"/>
          <w:kern w:val="2"/>
          <w:sz w:val="21"/>
          <w:szCs w:val="22"/>
        </w:rPr>
        <w:t>GDP</w:t>
      </w:r>
      <w:r w:rsidR="002E6697" w:rsidRPr="000818B2">
        <w:rPr>
          <w:rFonts w:asciiTheme="minorHAnsi" w:eastAsiaTheme="minorEastAsia" w:hAnsiTheme="minorHAnsi" w:cstheme="minorBidi"/>
          <w:kern w:val="2"/>
          <w:sz w:val="21"/>
          <w:szCs w:val="22"/>
        </w:rPr>
        <w:t>。</w:t>
      </w:r>
      <w:r w:rsidR="000818B2">
        <w:rPr>
          <w:rFonts w:asciiTheme="minorHAnsi" w:eastAsiaTheme="minorEastAsia" w:hAnsiTheme="minorHAnsi" w:cstheme="minorBidi" w:hint="eastAsia"/>
          <w:kern w:val="2"/>
          <w:sz w:val="21"/>
          <w:szCs w:val="22"/>
        </w:rPr>
        <w:t>在经济下行和风险增加大背景下，一味地鼓励银行向风险抵抗力力小的新兴企业小</w:t>
      </w:r>
      <w:proofErr w:type="gramStart"/>
      <w:r w:rsidR="000818B2">
        <w:rPr>
          <w:rFonts w:asciiTheme="minorHAnsi" w:eastAsiaTheme="minorEastAsia" w:hAnsiTheme="minorHAnsi" w:cstheme="minorBidi" w:hint="eastAsia"/>
          <w:kern w:val="2"/>
          <w:sz w:val="21"/>
          <w:szCs w:val="22"/>
        </w:rPr>
        <w:t>微企业</w:t>
      </w:r>
      <w:proofErr w:type="gramEnd"/>
      <w:r w:rsidR="000818B2">
        <w:rPr>
          <w:rFonts w:asciiTheme="minorHAnsi" w:eastAsiaTheme="minorEastAsia" w:hAnsiTheme="minorHAnsi" w:cstheme="minorBidi" w:hint="eastAsia"/>
          <w:kern w:val="2"/>
          <w:sz w:val="21"/>
          <w:szCs w:val="22"/>
        </w:rPr>
        <w:t>低息贷款，必然为不符合银行市场化的风险收益</w:t>
      </w:r>
      <w:r w:rsidR="00056B98">
        <w:rPr>
          <w:rFonts w:asciiTheme="minorHAnsi" w:eastAsiaTheme="minorEastAsia" w:hAnsiTheme="minorHAnsi" w:cstheme="minorBidi" w:hint="eastAsia"/>
          <w:kern w:val="2"/>
          <w:sz w:val="21"/>
          <w:szCs w:val="22"/>
        </w:rPr>
        <w:t>，强压下的低息会造成银行不良贷款率提高，甚至形成系统性金融风险的可能。</w:t>
      </w:r>
      <w:r w:rsidR="00056B98" w:rsidRPr="00056B98">
        <w:rPr>
          <w:rFonts w:asciiTheme="minorHAnsi" w:eastAsiaTheme="minorEastAsia" w:hAnsiTheme="minorHAnsi" w:cstheme="minorBidi"/>
          <w:kern w:val="2"/>
          <w:sz w:val="21"/>
          <w:szCs w:val="22"/>
        </w:rPr>
        <w:t>2014</w:t>
      </w:r>
      <w:r w:rsidR="00056B98" w:rsidRPr="00056B98">
        <w:rPr>
          <w:rFonts w:asciiTheme="minorHAnsi" w:eastAsiaTheme="minorEastAsia" w:hAnsiTheme="minorHAnsi" w:cstheme="minorBidi"/>
          <w:kern w:val="2"/>
          <w:sz w:val="21"/>
          <w:szCs w:val="22"/>
        </w:rPr>
        <w:t>年</w:t>
      </w:r>
      <w:r w:rsidR="00056B98" w:rsidRPr="00056B98">
        <w:rPr>
          <w:rFonts w:asciiTheme="minorHAnsi" w:eastAsiaTheme="minorEastAsia" w:hAnsiTheme="minorHAnsi" w:cstheme="minorBidi"/>
          <w:kern w:val="2"/>
          <w:sz w:val="21"/>
          <w:szCs w:val="22"/>
        </w:rPr>
        <w:t>1-11</w:t>
      </w:r>
      <w:r w:rsidR="00056B98" w:rsidRPr="00056B98">
        <w:rPr>
          <w:rFonts w:asciiTheme="minorHAnsi" w:eastAsiaTheme="minorEastAsia" w:hAnsiTheme="minorHAnsi" w:cstheme="minorBidi"/>
          <w:kern w:val="2"/>
          <w:sz w:val="21"/>
          <w:szCs w:val="22"/>
        </w:rPr>
        <w:t>月社会融资规模为</w:t>
      </w:r>
      <w:r w:rsidR="00056B98" w:rsidRPr="00056B98">
        <w:rPr>
          <w:rFonts w:asciiTheme="minorHAnsi" w:eastAsiaTheme="minorEastAsia" w:hAnsiTheme="minorHAnsi" w:cstheme="minorBidi"/>
          <w:kern w:val="2"/>
          <w:sz w:val="21"/>
          <w:szCs w:val="22"/>
        </w:rPr>
        <w:t>14.76</w:t>
      </w:r>
      <w:proofErr w:type="gramStart"/>
      <w:r w:rsidR="00056B98" w:rsidRPr="00056B98">
        <w:rPr>
          <w:rFonts w:asciiTheme="minorHAnsi" w:eastAsiaTheme="minorEastAsia" w:hAnsiTheme="minorHAnsi" w:cstheme="minorBidi"/>
          <w:kern w:val="2"/>
          <w:sz w:val="21"/>
          <w:szCs w:val="22"/>
        </w:rPr>
        <w:t>万亿</w:t>
      </w:r>
      <w:proofErr w:type="gramEnd"/>
      <w:r w:rsidR="00056B98" w:rsidRPr="00056B98">
        <w:rPr>
          <w:rFonts w:asciiTheme="minorHAnsi" w:eastAsiaTheme="minorEastAsia" w:hAnsiTheme="minorHAnsi" w:cstheme="minorBidi"/>
          <w:kern w:val="2"/>
          <w:sz w:val="21"/>
          <w:szCs w:val="22"/>
        </w:rPr>
        <w:t>元</w:t>
      </w:r>
      <w:r w:rsidR="00A41BFB">
        <w:rPr>
          <w:rFonts w:asciiTheme="minorHAnsi" w:eastAsiaTheme="minorEastAsia" w:hAnsiTheme="minorHAnsi" w:cstheme="minorBidi" w:hint="eastAsia"/>
          <w:kern w:val="2"/>
          <w:sz w:val="21"/>
          <w:szCs w:val="22"/>
        </w:rPr>
        <w:t>，</w:t>
      </w:r>
      <w:r w:rsidR="00056B98" w:rsidRPr="00056B98">
        <w:rPr>
          <w:rFonts w:asciiTheme="minorHAnsi" w:eastAsiaTheme="minorEastAsia" w:hAnsiTheme="minorHAnsi" w:cstheme="minorBidi"/>
          <w:kern w:val="2"/>
          <w:sz w:val="21"/>
          <w:szCs w:val="22"/>
        </w:rPr>
        <w:t>比去年同期少</w:t>
      </w:r>
      <w:r>
        <w:rPr>
          <w:rFonts w:asciiTheme="minorHAnsi" w:eastAsiaTheme="minorEastAsia" w:hAnsiTheme="minorHAnsi" w:cstheme="minorBidi" w:hint="eastAsia"/>
          <w:kern w:val="2"/>
          <w:sz w:val="21"/>
          <w:szCs w:val="22"/>
        </w:rPr>
        <w:t>1.</w:t>
      </w:r>
      <w:r w:rsidR="00056B98" w:rsidRPr="00056B98">
        <w:rPr>
          <w:rFonts w:asciiTheme="minorHAnsi" w:eastAsiaTheme="minorEastAsia" w:hAnsiTheme="minorHAnsi" w:cstheme="minorBidi"/>
          <w:kern w:val="2"/>
          <w:sz w:val="21"/>
          <w:szCs w:val="22"/>
        </w:rPr>
        <w:t>30</w:t>
      </w:r>
      <w:proofErr w:type="gramStart"/>
      <w:r w:rsidR="00056B98" w:rsidRPr="00056B98">
        <w:rPr>
          <w:rFonts w:asciiTheme="minorHAnsi" w:eastAsiaTheme="minorEastAsia" w:hAnsiTheme="minorHAnsi" w:cstheme="minorBidi"/>
          <w:kern w:val="2"/>
          <w:sz w:val="21"/>
          <w:szCs w:val="22"/>
        </w:rPr>
        <w:lastRenderedPageBreak/>
        <w:t>万亿</w:t>
      </w:r>
      <w:proofErr w:type="gramEnd"/>
      <w:r w:rsidR="00056B98" w:rsidRPr="00056B98">
        <w:rPr>
          <w:rFonts w:asciiTheme="minorHAnsi" w:eastAsiaTheme="minorEastAsia" w:hAnsiTheme="minorHAnsi" w:cstheme="minorBidi"/>
          <w:kern w:val="2"/>
          <w:sz w:val="21"/>
          <w:szCs w:val="22"/>
        </w:rPr>
        <w:t>元。</w:t>
      </w:r>
      <w:r w:rsidR="00056B98">
        <w:rPr>
          <w:rFonts w:asciiTheme="minorHAnsi" w:eastAsiaTheme="minorEastAsia" w:hAnsiTheme="minorHAnsi" w:cstheme="minorBidi" w:hint="eastAsia"/>
          <w:kern w:val="2"/>
          <w:sz w:val="21"/>
          <w:szCs w:val="22"/>
        </w:rPr>
        <w:t>在风险加大的背景下降低社会融资成本，银行</w:t>
      </w:r>
      <w:r w:rsidR="005C0683">
        <w:rPr>
          <w:rFonts w:asciiTheme="minorHAnsi" w:eastAsiaTheme="minorEastAsia" w:hAnsiTheme="minorHAnsi" w:cstheme="minorBidi" w:hint="eastAsia"/>
          <w:kern w:val="2"/>
          <w:sz w:val="21"/>
          <w:szCs w:val="22"/>
        </w:rPr>
        <w:t>的自身风险将陡增。银行对于此并不真正热心，在经济下行的背景下</w:t>
      </w:r>
      <w:r w:rsidR="00056B98">
        <w:rPr>
          <w:rFonts w:asciiTheme="minorHAnsi" w:eastAsiaTheme="minorEastAsia" w:hAnsiTheme="minorHAnsi" w:cstheme="minorBidi" w:hint="eastAsia"/>
          <w:kern w:val="2"/>
          <w:sz w:val="21"/>
          <w:szCs w:val="22"/>
        </w:rPr>
        <w:t>实体融资的热情也不高，我们的有效投资在逐渐</w:t>
      </w:r>
      <w:proofErr w:type="gramStart"/>
      <w:r w:rsidR="00056B98">
        <w:rPr>
          <w:rFonts w:asciiTheme="minorHAnsi" w:eastAsiaTheme="minorEastAsia" w:hAnsiTheme="minorHAnsi" w:cstheme="minorBidi" w:hint="eastAsia"/>
          <w:kern w:val="2"/>
          <w:sz w:val="21"/>
          <w:szCs w:val="22"/>
        </w:rPr>
        <w:t>消弱</w:t>
      </w:r>
      <w:proofErr w:type="gramEnd"/>
      <w:r w:rsidR="00056B98">
        <w:rPr>
          <w:rFonts w:asciiTheme="minorHAnsi" w:eastAsiaTheme="minorEastAsia" w:hAnsiTheme="minorHAnsi" w:cstheme="minorBidi" w:hint="eastAsia"/>
          <w:kern w:val="2"/>
          <w:sz w:val="21"/>
          <w:szCs w:val="22"/>
        </w:rPr>
        <w:t>，资金的投机意愿增强，流入实体企业的融资成本难以下降。</w:t>
      </w:r>
    </w:p>
    <w:p w:rsidR="00056B98" w:rsidRDefault="001D49DD" w:rsidP="000818B2">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kern w:val="2"/>
          <w:sz w:val="21"/>
          <w:szCs w:val="22"/>
        </w:rPr>
      </w:pPr>
      <w:r w:rsidRPr="001D49DD">
        <w:rPr>
          <w:rFonts w:asciiTheme="minorHAnsi" w:eastAsiaTheme="minorEastAsia" w:hAnsiTheme="minorHAnsi" w:cstheme="minorBidi" w:hint="eastAsia"/>
          <w:b/>
          <w:kern w:val="2"/>
          <w:sz w:val="21"/>
          <w:szCs w:val="22"/>
        </w:rPr>
        <w:t>二、</w:t>
      </w:r>
      <w:r w:rsidR="00056B98" w:rsidRPr="001D49DD">
        <w:rPr>
          <w:rFonts w:asciiTheme="minorHAnsi" w:eastAsiaTheme="minorEastAsia" w:hAnsiTheme="minorHAnsi" w:cstheme="minorBidi" w:hint="eastAsia"/>
          <w:b/>
          <w:kern w:val="2"/>
          <w:sz w:val="21"/>
          <w:szCs w:val="22"/>
        </w:rPr>
        <w:t>出口问题</w:t>
      </w:r>
      <w:r w:rsidR="00056B98">
        <w:rPr>
          <w:rFonts w:asciiTheme="minorHAnsi" w:eastAsiaTheme="minorEastAsia" w:hAnsiTheme="minorHAnsi" w:cstheme="minorBidi" w:hint="eastAsia"/>
          <w:kern w:val="2"/>
          <w:sz w:val="21"/>
          <w:szCs w:val="22"/>
        </w:rPr>
        <w:t>：中央工作会议对世界格局的</w:t>
      </w:r>
      <w:proofErr w:type="gramStart"/>
      <w:r w:rsidR="00056B98">
        <w:rPr>
          <w:rFonts w:asciiTheme="minorHAnsi" w:eastAsiaTheme="minorEastAsia" w:hAnsiTheme="minorHAnsi" w:cstheme="minorBidi" w:hint="eastAsia"/>
          <w:kern w:val="2"/>
          <w:sz w:val="21"/>
          <w:szCs w:val="22"/>
        </w:rPr>
        <w:t>研</w:t>
      </w:r>
      <w:proofErr w:type="gramEnd"/>
      <w:r w:rsidR="00056B98">
        <w:rPr>
          <w:rFonts w:asciiTheme="minorHAnsi" w:eastAsiaTheme="minorEastAsia" w:hAnsiTheme="minorHAnsi" w:cstheme="minorBidi" w:hint="eastAsia"/>
          <w:kern w:val="2"/>
          <w:sz w:val="21"/>
          <w:szCs w:val="22"/>
        </w:rPr>
        <w:t>判是准确的，</w:t>
      </w:r>
      <w:r w:rsidR="00733407">
        <w:rPr>
          <w:rFonts w:ascii="Arial" w:hAnsi="Arial" w:cs="Arial"/>
          <w:color w:val="333333"/>
          <w:sz w:val="21"/>
          <w:szCs w:val="21"/>
          <w:shd w:val="clear" w:color="auto" w:fill="FFFFFF"/>
        </w:rPr>
        <w:t>世界经济仍处在国际金融危机后的深度调整期，明年增速可能会略有回升，但总体复苏疲弱态势难有明显改观</w:t>
      </w:r>
      <w:r w:rsidR="00733407">
        <w:rPr>
          <w:rFonts w:ascii="Arial" w:hAnsi="Arial" w:cs="Arial" w:hint="eastAsia"/>
          <w:color w:val="333333"/>
          <w:sz w:val="21"/>
          <w:szCs w:val="21"/>
          <w:shd w:val="clear" w:color="auto" w:fill="FFFFFF"/>
        </w:rPr>
        <w:t>。而</w:t>
      </w:r>
      <w:r w:rsidR="00733407" w:rsidRPr="00733407">
        <w:rPr>
          <w:rFonts w:ascii="Arial" w:hAnsi="Arial" w:cs="Arial" w:hint="eastAsia"/>
          <w:color w:val="333333"/>
          <w:sz w:val="21"/>
          <w:szCs w:val="21"/>
          <w:shd w:val="clear" w:color="auto" w:fill="FFFFFF"/>
        </w:rPr>
        <w:t>11</w:t>
      </w:r>
      <w:r w:rsidR="00733407" w:rsidRPr="00733407">
        <w:rPr>
          <w:rFonts w:ascii="Arial" w:hAnsi="Arial" w:cs="Arial" w:hint="eastAsia"/>
          <w:color w:val="333333"/>
          <w:sz w:val="21"/>
          <w:szCs w:val="21"/>
          <w:shd w:val="clear" w:color="auto" w:fill="FFFFFF"/>
        </w:rPr>
        <w:t>月份，出口同比增长</w:t>
      </w:r>
      <w:r w:rsidR="00733407" w:rsidRPr="00733407">
        <w:rPr>
          <w:rFonts w:ascii="Arial" w:hAnsi="Arial" w:cs="Arial" w:hint="eastAsia"/>
          <w:color w:val="333333"/>
          <w:sz w:val="21"/>
          <w:szCs w:val="21"/>
          <w:shd w:val="clear" w:color="auto" w:fill="FFFFFF"/>
        </w:rPr>
        <w:t>4.7%</w:t>
      </w:r>
      <w:r w:rsidR="00733407" w:rsidRPr="00733407">
        <w:rPr>
          <w:rFonts w:ascii="Arial" w:hAnsi="Arial" w:cs="Arial" w:hint="eastAsia"/>
          <w:color w:val="333333"/>
          <w:sz w:val="21"/>
          <w:szCs w:val="21"/>
          <w:shd w:val="clear" w:color="auto" w:fill="FFFFFF"/>
        </w:rPr>
        <w:t>，为近</w:t>
      </w:r>
      <w:r w:rsidR="00733407" w:rsidRPr="00733407">
        <w:rPr>
          <w:rFonts w:ascii="Arial" w:hAnsi="Arial" w:cs="Arial" w:hint="eastAsia"/>
          <w:color w:val="333333"/>
          <w:sz w:val="21"/>
          <w:szCs w:val="21"/>
          <w:shd w:val="clear" w:color="auto" w:fill="FFFFFF"/>
        </w:rPr>
        <w:t>7</w:t>
      </w:r>
      <w:r w:rsidR="00733407" w:rsidRPr="00733407">
        <w:rPr>
          <w:rFonts w:ascii="Arial" w:hAnsi="Arial" w:cs="Arial" w:hint="eastAsia"/>
          <w:color w:val="333333"/>
          <w:sz w:val="21"/>
          <w:szCs w:val="21"/>
          <w:shd w:val="clear" w:color="auto" w:fill="FFFFFF"/>
        </w:rPr>
        <w:t>个月最低</w:t>
      </w:r>
      <w:r w:rsidR="00733407">
        <w:rPr>
          <w:rFonts w:ascii="Arial" w:hAnsi="Arial" w:cs="Arial" w:hint="eastAsia"/>
          <w:color w:val="333333"/>
          <w:sz w:val="21"/>
          <w:szCs w:val="21"/>
          <w:shd w:val="clear" w:color="auto" w:fill="FFFFFF"/>
        </w:rPr>
        <w:t>，</w:t>
      </w:r>
      <w:r w:rsidR="00733407" w:rsidRPr="00733407">
        <w:rPr>
          <w:rFonts w:ascii="Arial" w:hAnsi="Arial" w:cs="Arial" w:hint="eastAsia"/>
          <w:color w:val="333333"/>
          <w:sz w:val="21"/>
          <w:szCs w:val="21"/>
          <w:shd w:val="clear" w:color="auto" w:fill="FFFFFF"/>
        </w:rPr>
        <w:t>从出口商品看，主要劳动密集型产品和机电产品出口增速下降</w:t>
      </w:r>
      <w:r w:rsidR="00752246">
        <w:rPr>
          <w:rFonts w:ascii="Arial" w:hAnsi="Arial" w:cs="Arial" w:hint="eastAsia"/>
          <w:color w:val="333333"/>
          <w:sz w:val="21"/>
          <w:szCs w:val="21"/>
          <w:shd w:val="clear" w:color="auto" w:fill="FFFFFF"/>
        </w:rPr>
        <w:t>。这种总体复苏疲态难有明显改观已经为我们明年出口</w:t>
      </w:r>
      <w:r w:rsidR="00733407">
        <w:rPr>
          <w:rFonts w:ascii="Arial" w:hAnsi="Arial" w:cs="Arial" w:hint="eastAsia"/>
          <w:color w:val="333333"/>
          <w:sz w:val="21"/>
          <w:szCs w:val="21"/>
          <w:shd w:val="clear" w:color="auto" w:fill="FFFFFF"/>
        </w:rPr>
        <w:t>定了基调：不要有太大的幻想。同时在人民币盯住美元的外汇管制下，贬值的幅度将小于其他新兴经济体，对出口更加不利</w:t>
      </w:r>
      <w:r w:rsidR="00733407">
        <w:rPr>
          <w:rFonts w:asciiTheme="minorHAnsi" w:eastAsiaTheme="minorEastAsia" w:hAnsiTheme="minorHAnsi" w:cstheme="minorBidi" w:hint="eastAsia"/>
          <w:kern w:val="2"/>
          <w:sz w:val="21"/>
          <w:szCs w:val="22"/>
        </w:rPr>
        <w:t>。而涉及到钢铁行业，虽然取消了普钢的出口税收，但是钢材倾销摩擦已经加大</w:t>
      </w:r>
      <w:r w:rsidR="00F65D35">
        <w:rPr>
          <w:rFonts w:asciiTheme="minorHAnsi" w:eastAsiaTheme="minorEastAsia" w:hAnsiTheme="minorHAnsi" w:cstheme="minorBidi" w:hint="eastAsia"/>
          <w:kern w:val="2"/>
          <w:sz w:val="21"/>
          <w:szCs w:val="22"/>
        </w:rPr>
        <w:t>，对于含硼类的钢材出口退税也将加深国内钢材的供需矛盾。</w:t>
      </w:r>
    </w:p>
    <w:p w:rsidR="00573D22" w:rsidRDefault="001D49DD" w:rsidP="00573D22">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kern w:val="2"/>
          <w:sz w:val="21"/>
          <w:szCs w:val="22"/>
        </w:rPr>
      </w:pPr>
      <w:r w:rsidRPr="001D49DD">
        <w:rPr>
          <w:rFonts w:asciiTheme="minorHAnsi" w:eastAsiaTheme="minorEastAsia" w:hAnsiTheme="minorHAnsi" w:cstheme="minorBidi" w:hint="eastAsia"/>
          <w:b/>
          <w:kern w:val="2"/>
          <w:sz w:val="21"/>
          <w:szCs w:val="22"/>
        </w:rPr>
        <w:t>三、</w:t>
      </w:r>
      <w:r w:rsidR="00F65D35" w:rsidRPr="001D49DD">
        <w:rPr>
          <w:rFonts w:asciiTheme="minorHAnsi" w:eastAsiaTheme="minorEastAsia" w:hAnsiTheme="minorHAnsi" w:cstheme="minorBidi" w:hint="eastAsia"/>
          <w:b/>
          <w:kern w:val="2"/>
          <w:sz w:val="21"/>
          <w:szCs w:val="22"/>
        </w:rPr>
        <w:t>被寄予厚望的需求拉动</w:t>
      </w:r>
      <w:r w:rsidR="00F65D35">
        <w:rPr>
          <w:rFonts w:asciiTheme="minorHAnsi" w:eastAsiaTheme="minorEastAsia" w:hAnsiTheme="minorHAnsi" w:cstheme="minorBidi" w:hint="eastAsia"/>
          <w:kern w:val="2"/>
          <w:sz w:val="21"/>
          <w:szCs w:val="22"/>
        </w:rPr>
        <w:t>：国内需求总体偏弱，经济下行压力加大。</w:t>
      </w:r>
      <w:r w:rsidR="00F65D35" w:rsidRPr="000818B2">
        <w:rPr>
          <w:rFonts w:asciiTheme="minorHAnsi" w:eastAsiaTheme="minorEastAsia" w:hAnsiTheme="minorHAnsi" w:cstheme="minorBidi" w:hint="eastAsia"/>
          <w:kern w:val="2"/>
          <w:sz w:val="21"/>
          <w:szCs w:val="22"/>
        </w:rPr>
        <w:t xml:space="preserve"> </w:t>
      </w:r>
      <w:r w:rsidR="00573D22" w:rsidRPr="00573D22">
        <w:rPr>
          <w:rFonts w:ascii="Arial" w:hAnsi="Arial" w:cs="Arial" w:hint="eastAsia"/>
          <w:color w:val="333333"/>
          <w:sz w:val="21"/>
          <w:szCs w:val="21"/>
          <w:shd w:val="clear" w:color="auto" w:fill="FFFFFF"/>
        </w:rPr>
        <w:t>2010</w:t>
      </w:r>
      <w:r w:rsidR="00573D22" w:rsidRPr="00573D22">
        <w:rPr>
          <w:rFonts w:ascii="Arial" w:hAnsi="Arial" w:cs="Arial" w:hint="eastAsia"/>
          <w:color w:val="333333"/>
          <w:sz w:val="21"/>
          <w:szCs w:val="21"/>
          <w:shd w:val="clear" w:color="auto" w:fill="FFFFFF"/>
        </w:rPr>
        <w:t>年居民消费占中国</w:t>
      </w:r>
      <w:r w:rsidR="00573D22" w:rsidRPr="00573D22">
        <w:rPr>
          <w:rFonts w:ascii="Arial" w:hAnsi="Arial" w:cs="Arial" w:hint="eastAsia"/>
          <w:color w:val="333333"/>
          <w:sz w:val="21"/>
          <w:szCs w:val="21"/>
          <w:shd w:val="clear" w:color="auto" w:fill="FFFFFF"/>
        </w:rPr>
        <w:t>GDP</w:t>
      </w:r>
      <w:r w:rsidR="00573D22" w:rsidRPr="00573D22">
        <w:rPr>
          <w:rFonts w:ascii="Arial" w:hAnsi="Arial" w:cs="Arial" w:hint="eastAsia"/>
          <w:color w:val="333333"/>
          <w:sz w:val="21"/>
          <w:szCs w:val="21"/>
          <w:shd w:val="clear" w:color="auto" w:fill="FFFFFF"/>
        </w:rPr>
        <w:t>的比重更是只有</w:t>
      </w:r>
      <w:r w:rsidR="00573D22" w:rsidRPr="00573D22">
        <w:rPr>
          <w:rFonts w:ascii="Arial" w:hAnsi="Arial" w:cs="Arial" w:hint="eastAsia"/>
          <w:color w:val="333333"/>
          <w:sz w:val="21"/>
          <w:szCs w:val="21"/>
          <w:shd w:val="clear" w:color="auto" w:fill="FFFFFF"/>
        </w:rPr>
        <w:t>27%</w:t>
      </w:r>
      <w:r w:rsidR="00C63C7D">
        <w:rPr>
          <w:rFonts w:ascii="Arial" w:hAnsi="Arial" w:cs="Arial" w:hint="eastAsia"/>
          <w:color w:val="333333"/>
          <w:sz w:val="21"/>
          <w:szCs w:val="21"/>
          <w:shd w:val="clear" w:color="auto" w:fill="FFFFFF"/>
        </w:rPr>
        <w:t>。</w:t>
      </w:r>
      <w:r w:rsidR="003B5CAA">
        <w:rPr>
          <w:rFonts w:ascii="Arial" w:hAnsi="Arial" w:cs="Arial" w:hint="eastAsia"/>
          <w:color w:val="333333"/>
          <w:sz w:val="21"/>
          <w:szCs w:val="21"/>
          <w:shd w:val="clear" w:color="auto" w:fill="FFFFFF"/>
        </w:rPr>
        <w:t>充分反映了目前中国内需的严重不足。</w:t>
      </w:r>
      <w:r w:rsidR="00E6419A">
        <w:rPr>
          <w:rFonts w:ascii="Arial" w:hAnsi="Arial" w:cs="Arial" w:hint="eastAsia"/>
          <w:color w:val="333333"/>
          <w:sz w:val="21"/>
          <w:szCs w:val="21"/>
          <w:shd w:val="clear" w:color="auto" w:fill="FFFFFF"/>
        </w:rPr>
        <w:t>与经济发展主要由内需拉动这一点严重不符合。对比美国，其内需</w:t>
      </w:r>
      <w:r w:rsidR="00573D22" w:rsidRPr="00573D22">
        <w:rPr>
          <w:rFonts w:ascii="Arial" w:hAnsi="Arial" w:cs="Arial" w:hint="eastAsia"/>
          <w:color w:val="333333"/>
          <w:sz w:val="21"/>
          <w:szCs w:val="21"/>
          <w:shd w:val="clear" w:color="auto" w:fill="FFFFFF"/>
        </w:rPr>
        <w:t>占经济发展的主要地位，消费占</w:t>
      </w:r>
      <w:r w:rsidR="00573D22" w:rsidRPr="00573D22">
        <w:rPr>
          <w:rFonts w:ascii="Arial" w:hAnsi="Arial" w:cs="Arial" w:hint="eastAsia"/>
          <w:color w:val="333333"/>
          <w:sz w:val="21"/>
          <w:szCs w:val="21"/>
          <w:shd w:val="clear" w:color="auto" w:fill="FFFFFF"/>
        </w:rPr>
        <w:t>GDP</w:t>
      </w:r>
      <w:r w:rsidR="00573D22" w:rsidRPr="00573D22">
        <w:rPr>
          <w:rFonts w:ascii="Arial" w:hAnsi="Arial" w:cs="Arial" w:hint="eastAsia"/>
          <w:color w:val="333333"/>
          <w:sz w:val="21"/>
          <w:szCs w:val="21"/>
          <w:shd w:val="clear" w:color="auto" w:fill="FFFFFF"/>
        </w:rPr>
        <w:t>的比例依然在</w:t>
      </w:r>
      <w:r w:rsidR="00573D22" w:rsidRPr="00573D22">
        <w:rPr>
          <w:rFonts w:ascii="Arial" w:hAnsi="Arial" w:cs="Arial" w:hint="eastAsia"/>
          <w:color w:val="333333"/>
          <w:sz w:val="21"/>
          <w:szCs w:val="21"/>
          <w:shd w:val="clear" w:color="auto" w:fill="FFFFFF"/>
        </w:rPr>
        <w:t>50%</w:t>
      </w:r>
      <w:r w:rsidR="00573D22">
        <w:rPr>
          <w:rFonts w:ascii="Arial" w:hAnsi="Arial" w:cs="Arial" w:hint="eastAsia"/>
          <w:color w:val="333333"/>
          <w:sz w:val="21"/>
          <w:szCs w:val="21"/>
          <w:shd w:val="clear" w:color="auto" w:fill="FFFFFF"/>
        </w:rPr>
        <w:t>以上。</w:t>
      </w:r>
    </w:p>
    <w:p w:rsidR="00F65D35" w:rsidRDefault="00F65D35" w:rsidP="000818B2">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美国是消费型国家，既有其消费文化，也有其工资收入格局决定。</w:t>
      </w:r>
      <w:r w:rsidR="003B5CAA">
        <w:rPr>
          <w:rFonts w:ascii="Arial" w:hAnsi="Arial" w:cs="Arial"/>
          <w:color w:val="333333"/>
          <w:sz w:val="21"/>
          <w:szCs w:val="21"/>
          <w:shd w:val="clear" w:color="auto" w:fill="FFFFFF"/>
        </w:rPr>
        <w:t>把工资收入加在一起</w:t>
      </w:r>
      <w:r>
        <w:rPr>
          <w:rFonts w:ascii="Arial" w:hAnsi="Arial" w:cs="Arial"/>
          <w:color w:val="333333"/>
          <w:sz w:val="21"/>
          <w:szCs w:val="21"/>
          <w:shd w:val="clear" w:color="auto" w:fill="FFFFFF"/>
        </w:rPr>
        <w:t>除上这个国家的</w:t>
      </w:r>
      <w:r>
        <w:rPr>
          <w:rFonts w:ascii="Arial" w:hAnsi="Arial" w:cs="Arial"/>
          <w:color w:val="333333"/>
          <w:sz w:val="21"/>
          <w:szCs w:val="21"/>
          <w:shd w:val="clear" w:color="auto" w:fill="FFFFFF"/>
        </w:rPr>
        <w:t>GDP</w:t>
      </w:r>
      <w:r>
        <w:rPr>
          <w:rFonts w:ascii="Arial" w:hAnsi="Arial" w:cs="Arial"/>
          <w:color w:val="333333"/>
          <w:sz w:val="21"/>
          <w:szCs w:val="21"/>
          <w:shd w:val="clear" w:color="auto" w:fill="FFFFFF"/>
        </w:rPr>
        <w:t>，得到一个比值：欧美最高，大约是</w:t>
      </w:r>
      <w:r>
        <w:rPr>
          <w:rFonts w:ascii="Arial" w:hAnsi="Arial" w:cs="Arial"/>
          <w:color w:val="333333"/>
          <w:sz w:val="21"/>
          <w:szCs w:val="21"/>
          <w:shd w:val="clear" w:color="auto" w:fill="FFFFFF"/>
        </w:rPr>
        <w:t>55%</w:t>
      </w:r>
      <w:r>
        <w:rPr>
          <w:rFonts w:ascii="Arial" w:hAnsi="Arial" w:cs="Arial"/>
          <w:color w:val="333333"/>
          <w:sz w:val="21"/>
          <w:szCs w:val="21"/>
          <w:shd w:val="clear" w:color="auto" w:fill="FFFFFF"/>
        </w:rPr>
        <w:t>，南美洲平均是</w:t>
      </w:r>
      <w:r>
        <w:rPr>
          <w:rFonts w:ascii="Arial" w:hAnsi="Arial" w:cs="Arial"/>
          <w:color w:val="333333"/>
          <w:sz w:val="21"/>
          <w:szCs w:val="21"/>
          <w:shd w:val="clear" w:color="auto" w:fill="FFFFFF"/>
        </w:rPr>
        <w:t>38%</w:t>
      </w:r>
      <w:r>
        <w:rPr>
          <w:rFonts w:ascii="Arial" w:hAnsi="Arial" w:cs="Arial"/>
          <w:color w:val="333333"/>
          <w:sz w:val="21"/>
          <w:szCs w:val="21"/>
          <w:shd w:val="clear" w:color="auto" w:fill="FFFFFF"/>
        </w:rPr>
        <w:t>，中国是</w:t>
      </w:r>
      <w:r>
        <w:rPr>
          <w:rFonts w:ascii="Arial" w:hAnsi="Arial" w:cs="Arial" w:hint="eastAsia"/>
          <w:color w:val="333333"/>
          <w:sz w:val="21"/>
          <w:szCs w:val="21"/>
          <w:shd w:val="clear" w:color="auto" w:fill="FFFFFF"/>
        </w:rPr>
        <w:t>10</w:t>
      </w:r>
      <w:r>
        <w:rPr>
          <w:rFonts w:ascii="Arial" w:hAnsi="Arial" w:cs="Arial"/>
          <w:color w:val="333333"/>
          <w:sz w:val="21"/>
          <w:szCs w:val="21"/>
          <w:shd w:val="clear" w:color="auto" w:fill="FFFFFF"/>
        </w:rPr>
        <w:t>%</w:t>
      </w:r>
      <w:r>
        <w:rPr>
          <w:rFonts w:ascii="Arial" w:hAnsi="Arial" w:cs="Arial" w:hint="eastAsia"/>
          <w:color w:val="333333"/>
          <w:sz w:val="21"/>
          <w:szCs w:val="21"/>
          <w:shd w:val="clear" w:color="auto" w:fill="FFFFFF"/>
        </w:rPr>
        <w:t>。再</w:t>
      </w:r>
      <w:r w:rsidR="00E6419A">
        <w:rPr>
          <w:rFonts w:ascii="Arial" w:hAnsi="Arial" w:cs="Arial" w:hint="eastAsia"/>
          <w:color w:val="333333"/>
          <w:sz w:val="21"/>
          <w:szCs w:val="21"/>
          <w:shd w:val="clear" w:color="auto" w:fill="FFFFFF"/>
        </w:rPr>
        <w:t>加上医疗和养老保险的改革还并不完善和中国人的消费传统观念，可以</w:t>
      </w:r>
      <w:r>
        <w:rPr>
          <w:rFonts w:ascii="Arial" w:hAnsi="Arial" w:cs="Arial" w:hint="eastAsia"/>
          <w:color w:val="333333"/>
          <w:sz w:val="21"/>
          <w:szCs w:val="21"/>
          <w:shd w:val="clear" w:color="auto" w:fill="FFFFFF"/>
        </w:rPr>
        <w:t>拉动消费的比例小，而这部分比例还有一部分由于对于未来的风险不确定性，普通民众的实际</w:t>
      </w:r>
      <w:r w:rsidR="001D49DD">
        <w:rPr>
          <w:rFonts w:ascii="Arial" w:hAnsi="Arial" w:cs="Arial" w:hint="eastAsia"/>
          <w:color w:val="333333"/>
          <w:sz w:val="21"/>
          <w:szCs w:val="21"/>
          <w:shd w:val="clear" w:color="auto" w:fill="FFFFFF"/>
        </w:rPr>
        <w:t>内需</w:t>
      </w:r>
      <w:r>
        <w:rPr>
          <w:rFonts w:ascii="Arial" w:hAnsi="Arial" w:cs="Arial" w:hint="eastAsia"/>
          <w:color w:val="333333"/>
          <w:sz w:val="21"/>
          <w:szCs w:val="21"/>
          <w:shd w:val="clear" w:color="auto" w:fill="FFFFFF"/>
        </w:rPr>
        <w:t>消费拉动更要大打折扣。</w:t>
      </w:r>
    </w:p>
    <w:p w:rsidR="00F65D35" w:rsidRDefault="001D49DD" w:rsidP="001D49DD">
      <w:pPr>
        <w:spacing w:beforeLines="50" w:before="156"/>
        <w:ind w:firstLineChars="150" w:firstLine="316"/>
      </w:pPr>
      <w:r w:rsidRPr="001D49DD">
        <w:rPr>
          <w:rFonts w:hint="eastAsia"/>
          <w:b/>
        </w:rPr>
        <w:t>3</w:t>
      </w:r>
      <w:r w:rsidRPr="001D49DD">
        <w:rPr>
          <w:rFonts w:hint="eastAsia"/>
          <w:b/>
        </w:rPr>
        <w:t>、投资的被动性来换取新增长点的培育时间，底线思维与转型升级的博弈并存</w:t>
      </w:r>
    </w:p>
    <w:p w:rsidR="001D49DD" w:rsidRPr="0087024C" w:rsidRDefault="0087024C" w:rsidP="0087024C">
      <w:pPr>
        <w:pStyle w:val="a3"/>
        <w:shd w:val="clear" w:color="auto" w:fill="FFFFFF"/>
        <w:spacing w:before="0" w:beforeAutospacing="0" w:after="0" w:afterAutospacing="0" w:line="360" w:lineRule="auto"/>
        <w:ind w:firstLine="482"/>
        <w:jc w:val="both"/>
        <w:rPr>
          <w:rFonts w:asciiTheme="minorHAnsi" w:eastAsiaTheme="minorEastAsia" w:hAnsiTheme="minorHAnsi" w:cstheme="minorBidi"/>
          <w:kern w:val="2"/>
          <w:sz w:val="21"/>
          <w:szCs w:val="22"/>
        </w:rPr>
      </w:pPr>
      <w:r w:rsidRPr="0087024C">
        <w:rPr>
          <w:rFonts w:asciiTheme="minorHAnsi" w:eastAsiaTheme="minorEastAsia" w:hAnsiTheme="minorHAnsi" w:cstheme="minorBidi" w:hint="eastAsia"/>
          <w:kern w:val="2"/>
          <w:sz w:val="21"/>
          <w:szCs w:val="22"/>
        </w:rPr>
        <w:t>目前</w:t>
      </w:r>
      <w:proofErr w:type="gramStart"/>
      <w:r w:rsidRPr="0087024C">
        <w:rPr>
          <w:rFonts w:asciiTheme="minorHAnsi" w:eastAsiaTheme="minorEastAsia" w:hAnsiTheme="minorHAnsi" w:cstheme="minorBidi" w:hint="eastAsia"/>
          <w:kern w:val="2"/>
          <w:sz w:val="21"/>
          <w:szCs w:val="22"/>
        </w:rPr>
        <w:t>想平衡</w:t>
      </w:r>
      <w:proofErr w:type="gramEnd"/>
      <w:r w:rsidRPr="0087024C">
        <w:rPr>
          <w:rFonts w:asciiTheme="minorHAnsi" w:eastAsiaTheme="minorEastAsia" w:hAnsiTheme="minorHAnsi" w:cstheme="minorBidi" w:hint="eastAsia"/>
          <w:kern w:val="2"/>
          <w:sz w:val="21"/>
          <w:szCs w:val="22"/>
        </w:rPr>
        <w:t>和实现改革的稳增长，调结构，促改革，</w:t>
      </w:r>
      <w:proofErr w:type="gramStart"/>
      <w:r w:rsidRPr="0087024C">
        <w:rPr>
          <w:rFonts w:asciiTheme="minorHAnsi" w:eastAsiaTheme="minorEastAsia" w:hAnsiTheme="minorHAnsi" w:cstheme="minorBidi" w:hint="eastAsia"/>
          <w:kern w:val="2"/>
          <w:sz w:val="21"/>
          <w:szCs w:val="22"/>
        </w:rPr>
        <w:t>控风险</w:t>
      </w:r>
      <w:proofErr w:type="gramEnd"/>
      <w:r w:rsidRPr="0087024C">
        <w:rPr>
          <w:rFonts w:asciiTheme="minorHAnsi" w:eastAsiaTheme="minorEastAsia" w:hAnsiTheme="minorHAnsi" w:cstheme="minorBidi" w:hint="eastAsia"/>
          <w:kern w:val="2"/>
          <w:sz w:val="21"/>
          <w:szCs w:val="22"/>
        </w:rPr>
        <w:t>的途径只有一个：通过适量的投资</w:t>
      </w:r>
      <w:proofErr w:type="gramStart"/>
      <w:r w:rsidRPr="0087024C">
        <w:rPr>
          <w:rFonts w:asciiTheme="minorHAnsi" w:eastAsiaTheme="minorEastAsia" w:hAnsiTheme="minorHAnsi" w:cstheme="minorBidi" w:hint="eastAsia"/>
          <w:kern w:val="2"/>
          <w:sz w:val="21"/>
          <w:szCs w:val="22"/>
        </w:rPr>
        <w:t>稳增长</w:t>
      </w:r>
      <w:proofErr w:type="gramEnd"/>
      <w:r w:rsidRPr="0087024C">
        <w:rPr>
          <w:rFonts w:asciiTheme="minorHAnsi" w:eastAsiaTheme="minorEastAsia" w:hAnsiTheme="minorHAnsi" w:cstheme="minorBidi" w:hint="eastAsia"/>
          <w:kern w:val="2"/>
          <w:sz w:val="21"/>
          <w:szCs w:val="22"/>
        </w:rPr>
        <w:t>GDP</w:t>
      </w:r>
      <w:r w:rsidRPr="0087024C">
        <w:rPr>
          <w:rFonts w:asciiTheme="minorHAnsi" w:eastAsiaTheme="minorEastAsia" w:hAnsiTheme="minorHAnsi" w:cstheme="minorBidi" w:hint="eastAsia"/>
          <w:kern w:val="2"/>
          <w:sz w:val="21"/>
          <w:szCs w:val="22"/>
        </w:rPr>
        <w:t>的空间来换取新增长点培育的时间。实际是通过增量空间来换取存量</w:t>
      </w:r>
      <w:r>
        <w:rPr>
          <w:rFonts w:asciiTheme="minorHAnsi" w:eastAsiaTheme="minorEastAsia" w:hAnsiTheme="minorHAnsi" w:cstheme="minorBidi" w:hint="eastAsia"/>
          <w:kern w:val="2"/>
          <w:sz w:val="21"/>
          <w:szCs w:val="22"/>
        </w:rPr>
        <w:t>优化的时间。那么逻辑就很清楚了，</w:t>
      </w:r>
      <w:r w:rsidR="00FA6520">
        <w:rPr>
          <w:rFonts w:asciiTheme="minorHAnsi" w:eastAsiaTheme="minorEastAsia" w:hAnsiTheme="minorHAnsi" w:cstheme="minorBidi" w:hint="eastAsia"/>
          <w:b/>
          <w:kern w:val="2"/>
          <w:sz w:val="21"/>
          <w:szCs w:val="22"/>
        </w:rPr>
        <w:t>这种投资</w:t>
      </w:r>
      <w:r w:rsidRPr="0087024C">
        <w:rPr>
          <w:rFonts w:asciiTheme="minorHAnsi" w:eastAsiaTheme="minorEastAsia" w:hAnsiTheme="minorHAnsi" w:cstheme="minorBidi" w:hint="eastAsia"/>
          <w:b/>
          <w:kern w:val="2"/>
          <w:sz w:val="21"/>
          <w:szCs w:val="22"/>
        </w:rPr>
        <w:t>是一种必要且必须的，最大的特点是被动性</w:t>
      </w:r>
      <w:r w:rsidRPr="0087024C">
        <w:rPr>
          <w:rFonts w:asciiTheme="minorHAnsi" w:eastAsiaTheme="minorEastAsia" w:hAnsiTheme="minorHAnsi" w:cstheme="minorBidi" w:hint="eastAsia"/>
          <w:kern w:val="2"/>
          <w:sz w:val="21"/>
          <w:szCs w:val="22"/>
        </w:rPr>
        <w:t>。</w:t>
      </w:r>
      <w:r w:rsidRPr="00FA6520">
        <w:rPr>
          <w:rFonts w:asciiTheme="minorHAnsi" w:eastAsiaTheme="minorEastAsia" w:hAnsiTheme="minorHAnsi" w:cstheme="minorBidi" w:hint="eastAsia"/>
          <w:b/>
          <w:kern w:val="2"/>
          <w:sz w:val="21"/>
          <w:szCs w:val="22"/>
        </w:rPr>
        <w:t>投资的力度和新增长点所产生的改革红利（所谓的内生驱动），是随着时间此消彼长的</w:t>
      </w:r>
      <w:r>
        <w:rPr>
          <w:rFonts w:asciiTheme="minorHAnsi" w:eastAsiaTheme="minorEastAsia" w:hAnsiTheme="minorHAnsi" w:cstheme="minorBidi" w:hint="eastAsia"/>
          <w:kern w:val="2"/>
          <w:sz w:val="21"/>
          <w:szCs w:val="22"/>
        </w:rPr>
        <w:t>。而新增长点的培育通过改变生产方式和消费方式，涉及到传统和习惯以及旧有的经验，并不会短期对经济由特别明显的改善，那么为了防控金融和社会风险，稳定增长和就业，至少短期内投资的力度不</w:t>
      </w:r>
      <w:r w:rsidR="006307E4">
        <w:rPr>
          <w:rFonts w:asciiTheme="minorHAnsi" w:eastAsiaTheme="minorEastAsia" w:hAnsiTheme="minorHAnsi" w:cstheme="minorBidi" w:hint="eastAsia"/>
          <w:kern w:val="2"/>
          <w:sz w:val="21"/>
          <w:szCs w:val="22"/>
        </w:rPr>
        <w:t>会弱，或者说是不得不强。那么伴随着这种基调和逻辑，我们可以将事物普遍地联系起来，中央工作会议提出明年积极的财政政策和稳健的货币政策，适当扩大财政赤字也佐证了这一推论。而更进一步地看，对于国家原油下跌而增收的消费税也是对于未来投资拉动的“钱源”。对于铁矿石和煤炭的税费会适度减少。这种资源的税费逻辑是劫富济贫，</w:t>
      </w:r>
      <w:r w:rsidR="006307E4">
        <w:rPr>
          <w:rFonts w:asciiTheme="minorHAnsi" w:eastAsiaTheme="minorEastAsia" w:hAnsiTheme="minorHAnsi" w:cstheme="minorBidi" w:hint="eastAsia"/>
          <w:kern w:val="2"/>
          <w:sz w:val="21"/>
          <w:szCs w:val="22"/>
        </w:rPr>
        <w:lastRenderedPageBreak/>
        <w:t>一要保证奄奄一息的国内为主的能源行业能活下去，不要引发系统风险。二要开源，利用进口的大宗商品的下跌红利来提升税费的补充，提供财政收入，继续为投资助力。最终通过空间换时间，外在拉动向内生驱动的经济结构和自发良性周期调整。而目前我们处于周期的前端，决定了</w:t>
      </w:r>
      <w:r w:rsidR="00066A75">
        <w:rPr>
          <w:rFonts w:asciiTheme="minorHAnsi" w:eastAsiaTheme="minorEastAsia" w:hAnsiTheme="minorHAnsi" w:cstheme="minorBidi" w:hint="eastAsia"/>
          <w:kern w:val="2"/>
          <w:sz w:val="21"/>
          <w:szCs w:val="22"/>
        </w:rPr>
        <w:t>维持</w:t>
      </w:r>
      <w:r w:rsidR="006307E4">
        <w:rPr>
          <w:rFonts w:asciiTheme="minorHAnsi" w:eastAsiaTheme="minorEastAsia" w:hAnsiTheme="minorHAnsi" w:cstheme="minorBidi" w:hint="eastAsia"/>
          <w:kern w:val="2"/>
          <w:sz w:val="21"/>
          <w:szCs w:val="22"/>
        </w:rPr>
        <w:t>投资的被动性和力度。</w:t>
      </w:r>
    </w:p>
    <w:p w:rsidR="002E6697" w:rsidRPr="002E6697" w:rsidRDefault="002E6697" w:rsidP="009308E1">
      <w:pPr>
        <w:rPr>
          <w:b/>
          <w:sz w:val="28"/>
          <w:szCs w:val="28"/>
        </w:rPr>
      </w:pPr>
      <w:r w:rsidRPr="002E6697">
        <w:rPr>
          <w:rFonts w:hint="eastAsia"/>
          <w:b/>
          <w:sz w:val="28"/>
          <w:szCs w:val="28"/>
        </w:rPr>
        <w:t>二、</w:t>
      </w:r>
      <w:r w:rsidR="00C8344B">
        <w:rPr>
          <w:rFonts w:hint="eastAsia"/>
          <w:b/>
          <w:sz w:val="28"/>
          <w:szCs w:val="28"/>
        </w:rPr>
        <w:t>铁矿</w:t>
      </w:r>
      <w:r w:rsidRPr="002E6697">
        <w:rPr>
          <w:rFonts w:hint="eastAsia"/>
          <w:b/>
          <w:sz w:val="28"/>
          <w:szCs w:val="28"/>
        </w:rPr>
        <w:t>产业格局</w:t>
      </w:r>
    </w:p>
    <w:p w:rsidR="00C8344B" w:rsidRDefault="00C8344B" w:rsidP="00663FE4">
      <w:pPr>
        <w:spacing w:beforeLines="50" w:before="156"/>
        <w:ind w:firstLineChars="150" w:firstLine="315"/>
      </w:pPr>
      <w:r>
        <w:rPr>
          <w:rFonts w:hint="eastAsia"/>
        </w:rPr>
        <w:t>铁矿石和煤的产业格局无非就是供需存和上游钢铁及房地产的拉动。</w:t>
      </w:r>
    </w:p>
    <w:p w:rsidR="00C8344B" w:rsidRDefault="00C8344B" w:rsidP="009308E1">
      <w:pPr>
        <w:rPr>
          <w:rFonts w:ascii="Arial" w:hAnsi="Arial" w:cs="Arial"/>
          <w:color w:val="222222"/>
          <w:spacing w:val="15"/>
          <w:sz w:val="22"/>
        </w:rPr>
      </w:pPr>
    </w:p>
    <w:p w:rsidR="00C8344B" w:rsidRPr="00196636" w:rsidRDefault="00C8344B" w:rsidP="009308E1">
      <w:pPr>
        <w:rPr>
          <w:rFonts w:ascii="Arial" w:hAnsi="Arial" w:cs="Arial"/>
          <w:b/>
          <w:color w:val="222222"/>
          <w:spacing w:val="15"/>
          <w:sz w:val="22"/>
        </w:rPr>
      </w:pPr>
      <w:r w:rsidRPr="00196636">
        <w:rPr>
          <w:rFonts w:ascii="Arial" w:hAnsi="Arial" w:cs="Arial" w:hint="eastAsia"/>
          <w:b/>
          <w:color w:val="222222"/>
          <w:spacing w:val="15"/>
          <w:sz w:val="22"/>
        </w:rPr>
        <w:t>1</w:t>
      </w:r>
      <w:r w:rsidRPr="00196636">
        <w:rPr>
          <w:rFonts w:ascii="Arial" w:hAnsi="Arial" w:cs="Arial" w:hint="eastAsia"/>
          <w:b/>
          <w:color w:val="222222"/>
          <w:spacing w:val="15"/>
          <w:sz w:val="22"/>
        </w:rPr>
        <w:t>、房地产</w:t>
      </w:r>
    </w:p>
    <w:p w:rsidR="0032121F" w:rsidRPr="00250CD1" w:rsidRDefault="00C8344B" w:rsidP="00250CD1">
      <w:pPr>
        <w:spacing w:beforeLines="50" w:before="156" w:line="360" w:lineRule="auto"/>
        <w:ind w:firstLineChars="150" w:firstLine="315"/>
      </w:pPr>
      <w:r w:rsidRPr="00663FE4">
        <w:t>2014</w:t>
      </w:r>
      <w:r w:rsidRPr="00663FE4">
        <w:t>年</w:t>
      </w:r>
      <w:r w:rsidRPr="00663FE4">
        <w:t>1-11</w:t>
      </w:r>
      <w:r w:rsidRPr="00663FE4">
        <w:t>月份，全国房地产开发投资</w:t>
      </w:r>
      <w:r w:rsidRPr="00663FE4">
        <w:t>86601</w:t>
      </w:r>
      <w:r w:rsidRPr="00663FE4">
        <w:t>亿元，同比名义增长</w:t>
      </w:r>
      <w:r w:rsidRPr="00663FE4">
        <w:t>11.9%</w:t>
      </w:r>
      <w:r w:rsidRPr="00663FE4">
        <w:t>，增速比</w:t>
      </w:r>
      <w:r w:rsidRPr="00663FE4">
        <w:t>1-10</w:t>
      </w:r>
      <w:r w:rsidRPr="00663FE4">
        <w:t>月份回落</w:t>
      </w:r>
      <w:r w:rsidRPr="00663FE4">
        <w:t>0.5</w:t>
      </w:r>
      <w:r w:rsidRPr="00663FE4">
        <w:t>个百分点。该增速为</w:t>
      </w:r>
      <w:r w:rsidRPr="00663FE4">
        <w:t>2009</w:t>
      </w:r>
      <w:r w:rsidRPr="00663FE4">
        <w:t>年</w:t>
      </w:r>
      <w:r w:rsidRPr="00663FE4">
        <w:t>7</w:t>
      </w:r>
      <w:r w:rsidRPr="00663FE4">
        <w:t>月份以来最低</w:t>
      </w:r>
      <w:r w:rsidRPr="00663FE4">
        <w:rPr>
          <w:rFonts w:hint="eastAsia"/>
        </w:rPr>
        <w:t>。</w:t>
      </w:r>
      <w:r w:rsidR="00663FE4" w:rsidRPr="0032121F">
        <w:rPr>
          <w:rFonts w:hint="eastAsia"/>
        </w:rPr>
        <w:t xml:space="preserve"> </w:t>
      </w:r>
      <w:r w:rsidR="0032121F" w:rsidRPr="0032121F">
        <w:rPr>
          <w:rFonts w:hint="eastAsia"/>
        </w:rPr>
        <w:t>如图一所示：</w:t>
      </w:r>
    </w:p>
    <w:p w:rsidR="00663FE4" w:rsidRPr="0032121F" w:rsidRDefault="0032121F" w:rsidP="00250CD1">
      <w:pPr>
        <w:spacing w:beforeLines="50" w:before="156"/>
        <w:ind w:firstLineChars="850" w:firstLine="2132"/>
        <w:rPr>
          <w:b/>
          <w:sz w:val="36"/>
          <w:szCs w:val="36"/>
        </w:rPr>
      </w:pPr>
      <w:r w:rsidRPr="0032121F">
        <w:rPr>
          <w:rFonts w:ascii="Arial" w:hAnsi="Arial" w:cs="Arial" w:hint="eastAsia"/>
          <w:b/>
          <w:color w:val="222222"/>
          <w:spacing w:val="15"/>
          <w:sz w:val="22"/>
        </w:rPr>
        <w:t>图一：全国房地产开发投资增速</w:t>
      </w:r>
      <w:r w:rsidR="00663FE4" w:rsidRPr="0032121F">
        <w:rPr>
          <w:rFonts w:ascii="Arial" w:hAnsi="Arial" w:cs="Arial" w:hint="eastAsia"/>
          <w:b/>
          <w:color w:val="222222"/>
          <w:spacing w:val="15"/>
          <w:sz w:val="22"/>
        </w:rPr>
        <w:t xml:space="preserve">               </w:t>
      </w:r>
    </w:p>
    <w:p w:rsidR="00C8344B" w:rsidRDefault="00C8344B" w:rsidP="009308E1">
      <w:pPr>
        <w:rPr>
          <w:rFonts w:ascii="Arial" w:hAnsi="Arial" w:cs="Arial"/>
          <w:color w:val="222222"/>
          <w:spacing w:val="15"/>
          <w:sz w:val="22"/>
        </w:rPr>
      </w:pPr>
      <w:r>
        <w:rPr>
          <w:rFonts w:ascii="Arial" w:hAnsi="Arial" w:cs="Arial"/>
          <w:noProof/>
          <w:color w:val="222222"/>
          <w:spacing w:val="15"/>
          <w:sz w:val="22"/>
        </w:rPr>
        <w:drawing>
          <wp:inline distT="0" distB="0" distL="0" distR="0">
            <wp:extent cx="5057029" cy="1956020"/>
            <wp:effectExtent l="0" t="0" r="0" b="6350"/>
            <wp:docPr id="1" name="图片 1" descr="C:\Users\xsqh\Desktop\{0af3b5cf-3e14-4d49-b95c-b3a965c542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sqh\Desktop\{0af3b5cf-3e14-4d49-b95c-b3a965c542e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936" cy="1956371"/>
                    </a:xfrm>
                    <a:prstGeom prst="rect">
                      <a:avLst/>
                    </a:prstGeom>
                    <a:noFill/>
                    <a:ln>
                      <a:noFill/>
                    </a:ln>
                  </pic:spPr>
                </pic:pic>
              </a:graphicData>
            </a:graphic>
          </wp:inline>
        </w:drawing>
      </w:r>
    </w:p>
    <w:p w:rsidR="00C8344B" w:rsidRDefault="00C8344B" w:rsidP="00250CD1">
      <w:pPr>
        <w:spacing w:beforeLines="50" w:before="156" w:line="360" w:lineRule="auto"/>
        <w:ind w:firstLineChars="150" w:firstLine="315"/>
      </w:pPr>
      <w:r w:rsidRPr="00663FE4">
        <w:t>11</w:t>
      </w:r>
      <w:r w:rsidRPr="00663FE4">
        <w:t>月房地产销售同比下跌</w:t>
      </w:r>
      <w:r w:rsidRPr="00663FE4">
        <w:t>11%</w:t>
      </w:r>
      <w:r w:rsidRPr="00663FE4">
        <w:t>。与此同时，新开工和土地购置面积也同比大跌。预计明年新开工面积将再跌</w:t>
      </w:r>
      <w:r w:rsidRPr="00663FE4">
        <w:t>10-15%</w:t>
      </w:r>
      <w:r w:rsidRPr="00663FE4">
        <w:t>，因此房地产下滑仍然是</w:t>
      </w:r>
      <w:r w:rsidRPr="00663FE4">
        <w:t>2015</w:t>
      </w:r>
      <w:r w:rsidRPr="00663FE4">
        <w:t>年经济增长的主要拖累。</w:t>
      </w:r>
      <w:r w:rsidR="0032121F">
        <w:rPr>
          <w:rFonts w:hint="eastAsia"/>
        </w:rPr>
        <w:t>如图二所示：</w:t>
      </w:r>
    </w:p>
    <w:p w:rsidR="00663FE4" w:rsidRPr="0032121F" w:rsidRDefault="00663FE4" w:rsidP="00663FE4">
      <w:pPr>
        <w:spacing w:beforeLines="50" w:before="156"/>
        <w:ind w:firstLineChars="150" w:firstLine="315"/>
        <w:rPr>
          <w:b/>
        </w:rPr>
      </w:pPr>
      <w:r>
        <w:rPr>
          <w:rFonts w:hint="eastAsia"/>
        </w:rPr>
        <w:t xml:space="preserve">          </w:t>
      </w:r>
      <w:r w:rsidR="0032121F">
        <w:rPr>
          <w:rFonts w:hint="eastAsia"/>
        </w:rPr>
        <w:t xml:space="preserve">      </w:t>
      </w:r>
      <w:r w:rsidRPr="0032121F">
        <w:rPr>
          <w:rFonts w:hint="eastAsia"/>
          <w:b/>
        </w:rPr>
        <w:t>图二：全国房地产开发企业土地购置面积增速</w:t>
      </w:r>
    </w:p>
    <w:p w:rsidR="00196636" w:rsidRDefault="00196636" w:rsidP="00196636">
      <w:pPr>
        <w:ind w:firstLineChars="150" w:firstLine="330"/>
        <w:rPr>
          <w:rFonts w:ascii="Arial" w:hAnsi="Arial" w:cs="Arial"/>
          <w:color w:val="222222"/>
          <w:spacing w:val="15"/>
          <w:sz w:val="22"/>
        </w:rPr>
      </w:pPr>
      <w:r>
        <w:rPr>
          <w:rFonts w:ascii="Arial" w:hAnsi="Arial" w:cs="Arial"/>
          <w:noProof/>
          <w:color w:val="222222"/>
          <w:spacing w:val="15"/>
          <w:sz w:val="22"/>
        </w:rPr>
        <w:drawing>
          <wp:inline distT="0" distB="0" distL="0" distR="0">
            <wp:extent cx="4524292" cy="1677725"/>
            <wp:effectExtent l="0" t="0" r="0" b="0"/>
            <wp:docPr id="2" name="图片 2" descr="C:\Users\xsqh\Desktop\{c1af2771-356c-4f8d-966c-6088aee7e9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sqh\Desktop\{c1af2771-356c-4f8d-966c-6088aee7e9f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0072" cy="1676160"/>
                    </a:xfrm>
                    <a:prstGeom prst="rect">
                      <a:avLst/>
                    </a:prstGeom>
                    <a:noFill/>
                    <a:ln>
                      <a:noFill/>
                    </a:ln>
                  </pic:spPr>
                </pic:pic>
              </a:graphicData>
            </a:graphic>
          </wp:inline>
        </w:drawing>
      </w:r>
    </w:p>
    <w:p w:rsidR="00250CD1" w:rsidRDefault="00250CD1" w:rsidP="009308E1">
      <w:pPr>
        <w:rPr>
          <w:rFonts w:ascii="Arial" w:hAnsi="Arial" w:cs="Arial" w:hint="eastAsia"/>
          <w:b/>
          <w:color w:val="222222"/>
          <w:spacing w:val="15"/>
          <w:sz w:val="22"/>
        </w:rPr>
      </w:pPr>
    </w:p>
    <w:p w:rsidR="00FA6520" w:rsidRDefault="00FA6520" w:rsidP="009308E1">
      <w:pPr>
        <w:rPr>
          <w:rFonts w:ascii="Arial" w:hAnsi="Arial" w:cs="Arial"/>
          <w:b/>
          <w:color w:val="222222"/>
          <w:spacing w:val="15"/>
          <w:sz w:val="22"/>
        </w:rPr>
      </w:pPr>
    </w:p>
    <w:p w:rsidR="002E6697" w:rsidRDefault="00021AAA" w:rsidP="009308E1">
      <w:pPr>
        <w:rPr>
          <w:rFonts w:ascii="Arial" w:hAnsi="Arial" w:cs="Arial"/>
          <w:b/>
          <w:color w:val="222222"/>
          <w:spacing w:val="15"/>
          <w:sz w:val="22"/>
        </w:rPr>
      </w:pPr>
      <w:r w:rsidRPr="00021AAA">
        <w:rPr>
          <w:rFonts w:ascii="Arial" w:hAnsi="Arial" w:cs="Arial" w:hint="eastAsia"/>
          <w:b/>
          <w:color w:val="222222"/>
          <w:spacing w:val="15"/>
          <w:sz w:val="22"/>
        </w:rPr>
        <w:lastRenderedPageBreak/>
        <w:t>2</w:t>
      </w:r>
      <w:r w:rsidRPr="00021AAA">
        <w:rPr>
          <w:rFonts w:ascii="Arial" w:hAnsi="Arial" w:cs="Arial" w:hint="eastAsia"/>
          <w:b/>
          <w:color w:val="222222"/>
          <w:spacing w:val="15"/>
          <w:sz w:val="22"/>
        </w:rPr>
        <w:t>、生铁产量</w:t>
      </w:r>
    </w:p>
    <w:p w:rsidR="00021AAA" w:rsidRDefault="00021AAA" w:rsidP="00250CD1">
      <w:pPr>
        <w:spacing w:beforeLines="50" w:before="156" w:line="360" w:lineRule="auto"/>
        <w:ind w:firstLineChars="150" w:firstLine="315"/>
      </w:pPr>
      <w:r w:rsidRPr="00663FE4">
        <w:t>2014</w:t>
      </w:r>
      <w:r w:rsidRPr="00663FE4">
        <w:t>年</w:t>
      </w:r>
      <w:r w:rsidRPr="00663FE4">
        <w:t>1-11</w:t>
      </w:r>
      <w:r w:rsidRPr="00663FE4">
        <w:t>月我国生铁产量</w:t>
      </w:r>
      <w:r w:rsidRPr="00663FE4">
        <w:t>65411</w:t>
      </w:r>
      <w:r w:rsidRPr="00663FE4">
        <w:t>万吨，同比增长</w:t>
      </w:r>
      <w:r w:rsidRPr="00663FE4">
        <w:t>0.4%</w:t>
      </w:r>
      <w:r w:rsidRPr="00663FE4">
        <w:t>。</w:t>
      </w:r>
      <w:r w:rsidRPr="00663FE4">
        <w:rPr>
          <w:rFonts w:hint="eastAsia"/>
        </w:rPr>
        <w:t>11</w:t>
      </w:r>
      <w:r w:rsidRPr="00663FE4">
        <w:rPr>
          <w:rFonts w:hint="eastAsia"/>
        </w:rPr>
        <w:t>月份，全国生铁、粗钢和钢材</w:t>
      </w:r>
      <w:r w:rsidRPr="00663FE4">
        <w:rPr>
          <w:rFonts w:hint="eastAsia"/>
        </w:rPr>
        <w:t>(</w:t>
      </w:r>
      <w:r w:rsidRPr="00663FE4">
        <w:rPr>
          <w:rFonts w:hint="eastAsia"/>
        </w:rPr>
        <w:t>含重复材</w:t>
      </w:r>
      <w:r w:rsidRPr="00663FE4">
        <w:rPr>
          <w:rFonts w:hint="eastAsia"/>
        </w:rPr>
        <w:t>)</w:t>
      </w:r>
      <w:r w:rsidRPr="00663FE4">
        <w:rPr>
          <w:rFonts w:hint="eastAsia"/>
        </w:rPr>
        <w:t>产量分别为</w:t>
      </w:r>
      <w:r w:rsidRPr="00663FE4">
        <w:rPr>
          <w:rFonts w:hint="eastAsia"/>
        </w:rPr>
        <w:t>5323</w:t>
      </w:r>
      <w:r w:rsidRPr="00663FE4">
        <w:rPr>
          <w:rFonts w:hint="eastAsia"/>
        </w:rPr>
        <w:t>万吨、</w:t>
      </w:r>
      <w:r w:rsidRPr="00663FE4">
        <w:rPr>
          <w:rFonts w:hint="eastAsia"/>
        </w:rPr>
        <w:t>6330</w:t>
      </w:r>
      <w:r w:rsidRPr="00663FE4">
        <w:rPr>
          <w:rFonts w:hint="eastAsia"/>
        </w:rPr>
        <w:t>万吨和</w:t>
      </w:r>
      <w:r w:rsidRPr="00663FE4">
        <w:rPr>
          <w:rFonts w:hint="eastAsia"/>
        </w:rPr>
        <w:t>9205</w:t>
      </w:r>
      <w:r w:rsidRPr="00663FE4">
        <w:rPr>
          <w:rFonts w:hint="eastAsia"/>
        </w:rPr>
        <w:t>万吨，分别同比增长</w:t>
      </w:r>
      <w:r w:rsidRPr="00663FE4">
        <w:rPr>
          <w:rFonts w:hint="eastAsia"/>
        </w:rPr>
        <w:t>0.9%</w:t>
      </w:r>
      <w:r w:rsidRPr="00663FE4">
        <w:rPr>
          <w:rFonts w:hint="eastAsia"/>
        </w:rPr>
        <w:t>、</w:t>
      </w:r>
      <w:r w:rsidRPr="00663FE4">
        <w:rPr>
          <w:rFonts w:hint="eastAsia"/>
        </w:rPr>
        <w:t>-0.2%</w:t>
      </w:r>
      <w:r w:rsidRPr="00663FE4">
        <w:rPr>
          <w:rFonts w:hint="eastAsia"/>
        </w:rPr>
        <w:t>和</w:t>
      </w:r>
      <w:r w:rsidRPr="00663FE4">
        <w:rPr>
          <w:rFonts w:hint="eastAsia"/>
        </w:rPr>
        <w:t>1.2%</w:t>
      </w:r>
      <w:r w:rsidRPr="00663FE4">
        <w:rPr>
          <w:rFonts w:hint="eastAsia"/>
        </w:rPr>
        <w:t>；平均日产粗钢</w:t>
      </w:r>
      <w:r w:rsidRPr="00663FE4">
        <w:rPr>
          <w:rFonts w:hint="eastAsia"/>
        </w:rPr>
        <w:t>211.00</w:t>
      </w:r>
      <w:r w:rsidRPr="00663FE4">
        <w:rPr>
          <w:rFonts w:hint="eastAsia"/>
        </w:rPr>
        <w:t>万吨，连续第二个月下降，是年内最低日产水平。环比减少</w:t>
      </w:r>
      <w:r w:rsidRPr="00663FE4">
        <w:rPr>
          <w:rFonts w:hint="eastAsia"/>
        </w:rPr>
        <w:t>6.81</w:t>
      </w:r>
      <w:r w:rsidRPr="00663FE4">
        <w:rPr>
          <w:rFonts w:hint="eastAsia"/>
        </w:rPr>
        <w:t>万吨，降幅为</w:t>
      </w:r>
      <w:r w:rsidRPr="00663FE4">
        <w:rPr>
          <w:rFonts w:hint="eastAsia"/>
        </w:rPr>
        <w:t>3.13%</w:t>
      </w:r>
      <w:r w:rsidRPr="00663FE4">
        <w:rPr>
          <w:rFonts w:hint="eastAsia"/>
        </w:rPr>
        <w:t>。</w:t>
      </w:r>
      <w:r w:rsidR="0032121F">
        <w:rPr>
          <w:rFonts w:hint="eastAsia"/>
        </w:rPr>
        <w:t>2014</w:t>
      </w:r>
      <w:r w:rsidR="0032121F">
        <w:rPr>
          <w:rFonts w:hint="eastAsia"/>
        </w:rPr>
        <w:t>年当月生铁产量如图三所示：</w:t>
      </w:r>
    </w:p>
    <w:p w:rsidR="0032121F" w:rsidRPr="0032121F" w:rsidRDefault="0032121F" w:rsidP="0032121F">
      <w:pPr>
        <w:spacing w:beforeLines="50" w:before="156"/>
        <w:ind w:firstLineChars="1050" w:firstLine="2214"/>
        <w:rPr>
          <w:b/>
        </w:rPr>
      </w:pPr>
      <w:r w:rsidRPr="0032121F">
        <w:rPr>
          <w:rFonts w:hint="eastAsia"/>
          <w:b/>
        </w:rPr>
        <w:t>图三：全国生铁产量及同比增速</w:t>
      </w:r>
    </w:p>
    <w:p w:rsidR="00021AAA" w:rsidRDefault="00021AAA" w:rsidP="00663FE4">
      <w:pPr>
        <w:ind w:firstLineChars="100" w:firstLine="20"/>
        <w:rPr>
          <w:rFonts w:ascii="Arial" w:hAnsi="Arial" w:cs="Arial"/>
          <w:color w:val="FFFFFF"/>
          <w:sz w:val="2"/>
          <w:szCs w:val="2"/>
        </w:rPr>
      </w:pPr>
      <w:r>
        <w:rPr>
          <w:rFonts w:ascii="Arial" w:hAnsi="Arial" w:cs="Arial"/>
          <w:color w:val="FFFFFF"/>
          <w:sz w:val="2"/>
          <w:szCs w:val="2"/>
        </w:rPr>
        <w:t>Y</w:t>
      </w:r>
      <w:proofErr w:type="gramStart"/>
      <w:r>
        <w:rPr>
          <w:rFonts w:ascii="Arial" w:hAnsi="Arial" w:cs="Arial"/>
          <w:color w:val="FFFFFF"/>
          <w:sz w:val="2"/>
          <w:szCs w:val="2"/>
        </w:rPr>
        <w:t>" ?</w:t>
      </w:r>
      <w:proofErr w:type="gramEnd"/>
      <w:r>
        <w:rPr>
          <w:rFonts w:ascii="Arial" w:hAnsi="Arial" w:cs="Arial"/>
          <w:color w:val="FFFFFF"/>
          <w:sz w:val="2"/>
          <w:szCs w:val="2"/>
        </w:rPr>
        <w:t>1 {3 W+ |7 {&amp; L</w:t>
      </w:r>
      <w:r w:rsidR="00206101">
        <w:rPr>
          <w:noProof/>
        </w:rPr>
        <w:drawing>
          <wp:inline distT="0" distB="0" distL="0" distR="0" wp14:anchorId="2497F731" wp14:editId="2619C501">
            <wp:extent cx="4890053" cy="1908313"/>
            <wp:effectExtent l="0" t="0" r="25400" b="1587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C4683" w:rsidRDefault="004C4683" w:rsidP="004C4683">
      <w:pPr>
        <w:ind w:firstLineChars="100" w:firstLine="20"/>
        <w:rPr>
          <w:rFonts w:ascii="Arial" w:hAnsi="Arial" w:cs="Arial"/>
          <w:color w:val="FFFFFF"/>
          <w:sz w:val="2"/>
          <w:szCs w:val="2"/>
        </w:rPr>
      </w:pPr>
    </w:p>
    <w:p w:rsidR="004C4683" w:rsidRDefault="004C4683" w:rsidP="00250CD1">
      <w:pPr>
        <w:spacing w:line="360" w:lineRule="auto"/>
        <w:ind w:firstLineChars="100" w:firstLine="210"/>
      </w:pPr>
      <w:r>
        <w:rPr>
          <w:rFonts w:hint="eastAsia"/>
        </w:rPr>
        <w:t>我国受房地产增速放缓，生铁产量增长有限，对于下游铁矿和焦炭的需求也有较大的压制。而且由于新增土地购置面积反应了未来一两年的建设需求。可以预见在</w:t>
      </w:r>
      <w:r>
        <w:rPr>
          <w:rFonts w:hint="eastAsia"/>
        </w:rPr>
        <w:t>2015</w:t>
      </w:r>
      <w:r>
        <w:rPr>
          <w:rFonts w:hint="eastAsia"/>
        </w:rPr>
        <w:t>年生铁的增速不会有太大的增加。这也打压了钢材原料的上涨空间。</w:t>
      </w:r>
      <w:r w:rsidR="00E6419A">
        <w:rPr>
          <w:rFonts w:hint="eastAsia"/>
        </w:rPr>
        <w:t>而钢材出口摩擦不断和世界经济弱</w:t>
      </w:r>
      <w:r w:rsidR="00B909DD">
        <w:rPr>
          <w:rFonts w:hint="eastAsia"/>
        </w:rPr>
        <w:t>势格局维持，所以预计未来钢材出口的拉动作用不可持续。</w:t>
      </w:r>
    </w:p>
    <w:p w:rsidR="00E6419A" w:rsidRPr="00E6419A" w:rsidRDefault="00E6419A" w:rsidP="00E6419A">
      <w:pPr>
        <w:rPr>
          <w:rFonts w:ascii="Arial" w:hAnsi="Arial" w:cs="Arial"/>
          <w:b/>
          <w:color w:val="222222"/>
          <w:spacing w:val="15"/>
          <w:sz w:val="22"/>
        </w:rPr>
      </w:pPr>
    </w:p>
    <w:p w:rsidR="00E6419A" w:rsidRDefault="00E6419A" w:rsidP="00E6419A">
      <w:pPr>
        <w:rPr>
          <w:rFonts w:ascii="Arial" w:hAnsi="Arial" w:cs="Arial"/>
          <w:b/>
          <w:color w:val="222222"/>
          <w:spacing w:val="15"/>
          <w:sz w:val="22"/>
        </w:rPr>
      </w:pPr>
      <w:r>
        <w:rPr>
          <w:rFonts w:ascii="Arial" w:hAnsi="Arial" w:cs="Arial" w:hint="eastAsia"/>
          <w:b/>
          <w:color w:val="222222"/>
          <w:spacing w:val="15"/>
          <w:sz w:val="22"/>
        </w:rPr>
        <w:t>3</w:t>
      </w:r>
      <w:r w:rsidR="003338F3">
        <w:rPr>
          <w:rFonts w:ascii="Arial" w:hAnsi="Arial" w:cs="Arial" w:hint="eastAsia"/>
          <w:b/>
          <w:color w:val="222222"/>
          <w:spacing w:val="15"/>
          <w:sz w:val="22"/>
        </w:rPr>
        <w:t>、铁矿石库存</w:t>
      </w:r>
    </w:p>
    <w:p w:rsidR="00B52D8F" w:rsidRDefault="003338F3" w:rsidP="00771117">
      <w:pPr>
        <w:spacing w:beforeLines="50" w:before="156" w:line="360" w:lineRule="auto"/>
        <w:ind w:firstLineChars="150" w:firstLine="315"/>
        <w:rPr>
          <w:b/>
        </w:rPr>
      </w:pPr>
      <w:r w:rsidRPr="00D961C0">
        <w:rPr>
          <w:rFonts w:hint="eastAsia"/>
        </w:rPr>
        <w:t>铁矿石库存主要是由港口库存和钢厂库存组成</w:t>
      </w:r>
      <w:r w:rsidR="00D961C0">
        <w:rPr>
          <w:rFonts w:hint="eastAsia"/>
        </w:rPr>
        <w:t>。</w:t>
      </w:r>
      <w:r w:rsidR="00250CD1" w:rsidRPr="00250CD1">
        <w:rPr>
          <w:rFonts w:hint="eastAsia"/>
        </w:rPr>
        <w:t>可以看出铁矿石在</w:t>
      </w:r>
      <w:r w:rsidR="00250CD1" w:rsidRPr="00250CD1">
        <w:rPr>
          <w:rFonts w:hint="eastAsia"/>
        </w:rPr>
        <w:t>2014</w:t>
      </w:r>
      <w:r w:rsidR="00250CD1" w:rsidRPr="00250CD1">
        <w:rPr>
          <w:rFonts w:hint="eastAsia"/>
        </w:rPr>
        <w:t>年初库存一直在</w:t>
      </w:r>
      <w:r w:rsidR="00250CD1" w:rsidRPr="00250CD1">
        <w:rPr>
          <w:rFonts w:hint="eastAsia"/>
        </w:rPr>
        <w:t>1</w:t>
      </w:r>
      <w:r w:rsidR="00250CD1" w:rsidRPr="00250CD1">
        <w:rPr>
          <w:rFonts w:hint="eastAsia"/>
        </w:rPr>
        <w:t>亿吨以上，相对以往</w:t>
      </w:r>
      <w:r w:rsidR="00250CD1" w:rsidRPr="00250CD1">
        <w:rPr>
          <w:rFonts w:hint="eastAsia"/>
        </w:rPr>
        <w:t>8000</w:t>
      </w:r>
      <w:r w:rsidR="00250CD1" w:rsidRPr="00250CD1">
        <w:rPr>
          <w:rFonts w:hint="eastAsia"/>
        </w:rPr>
        <w:t>万吨左右的正常库存来说，压力陡增。这也是铁矿石在年中跌</w:t>
      </w:r>
      <w:proofErr w:type="gramStart"/>
      <w:r w:rsidR="00250CD1" w:rsidRPr="00250CD1">
        <w:rPr>
          <w:rFonts w:hint="eastAsia"/>
        </w:rPr>
        <w:t>跌</w:t>
      </w:r>
      <w:proofErr w:type="gramEnd"/>
      <w:r w:rsidR="00250CD1" w:rsidRPr="00250CD1">
        <w:rPr>
          <w:rFonts w:hint="eastAsia"/>
        </w:rPr>
        <w:t>不休的原因之一。</w:t>
      </w:r>
      <w:r w:rsidR="00D961C0">
        <w:rPr>
          <w:rFonts w:hint="eastAsia"/>
        </w:rPr>
        <w:t>如图四所示：</w:t>
      </w:r>
      <w:r w:rsidR="00D961C0">
        <w:rPr>
          <w:rFonts w:hint="eastAsia"/>
        </w:rPr>
        <w:t xml:space="preserve">            </w:t>
      </w:r>
      <w:r w:rsidR="00D961C0" w:rsidRPr="00D961C0">
        <w:rPr>
          <w:rFonts w:hint="eastAsia"/>
          <w:b/>
        </w:rPr>
        <w:t xml:space="preserve">  </w:t>
      </w:r>
    </w:p>
    <w:p w:rsidR="00D961C0" w:rsidRPr="00D961C0" w:rsidRDefault="00D961C0" w:rsidP="00AD555D">
      <w:pPr>
        <w:ind w:firstLineChars="800" w:firstLine="1687"/>
        <w:rPr>
          <w:b/>
        </w:rPr>
      </w:pPr>
      <w:r w:rsidRPr="00D961C0">
        <w:rPr>
          <w:rFonts w:hint="eastAsia"/>
          <w:b/>
        </w:rPr>
        <w:t>图四：铁矿石港口库存和进口</w:t>
      </w:r>
      <w:proofErr w:type="gramStart"/>
      <w:r w:rsidRPr="00D961C0">
        <w:rPr>
          <w:rFonts w:hint="eastAsia"/>
          <w:b/>
        </w:rPr>
        <w:t>矿平均</w:t>
      </w:r>
      <w:proofErr w:type="gramEnd"/>
      <w:r w:rsidRPr="00D961C0">
        <w:rPr>
          <w:rFonts w:hint="eastAsia"/>
          <w:b/>
        </w:rPr>
        <w:t>可用天数</w:t>
      </w:r>
    </w:p>
    <w:p w:rsidR="003338F3" w:rsidRDefault="00D961C0" w:rsidP="00E6419A">
      <w:pPr>
        <w:rPr>
          <w:rFonts w:ascii="Arial" w:hAnsi="Arial" w:cs="Arial"/>
          <w:b/>
          <w:color w:val="222222"/>
          <w:spacing w:val="15"/>
          <w:sz w:val="22"/>
        </w:rPr>
      </w:pPr>
      <w:r>
        <w:rPr>
          <w:noProof/>
        </w:rPr>
        <w:drawing>
          <wp:inline distT="0" distB="0" distL="0" distR="0" wp14:anchorId="2A3BAE2D" wp14:editId="62450DEE">
            <wp:extent cx="5128591" cy="1796995"/>
            <wp:effectExtent l="0" t="0" r="15240" b="1333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961C0" w:rsidRPr="00D961C0" w:rsidRDefault="00D961C0" w:rsidP="00250CD1">
      <w:pPr>
        <w:spacing w:beforeLines="50" w:before="156" w:line="360" w:lineRule="auto"/>
        <w:ind w:firstLineChars="150" w:firstLine="315"/>
      </w:pPr>
      <w:r>
        <w:rPr>
          <w:rFonts w:hint="eastAsia"/>
        </w:rPr>
        <w:lastRenderedPageBreak/>
        <w:t>不过也应该注意到，目前港口库存已有所下降，而钢厂的库存处于低位。进入冬季虽然不涉及到冬储，但是为了连续生产仍然有一定的补库需要。</w:t>
      </w:r>
      <w:r w:rsidR="00B52D8F" w:rsidRPr="00B52D8F">
        <w:rPr>
          <w:rFonts w:hint="eastAsia"/>
        </w:rPr>
        <w:t>近日</w:t>
      </w:r>
      <w:r w:rsidRPr="00B52D8F">
        <w:rPr>
          <w:rFonts w:hint="eastAsia"/>
        </w:rPr>
        <w:t>全国</w:t>
      </w:r>
      <w:r w:rsidRPr="00B52D8F">
        <w:rPr>
          <w:rFonts w:hint="eastAsia"/>
        </w:rPr>
        <w:t>34</w:t>
      </w:r>
      <w:r w:rsidRPr="00B52D8F">
        <w:rPr>
          <w:rFonts w:hint="eastAsia"/>
        </w:rPr>
        <w:t>个港口铁矿石库存</w:t>
      </w:r>
      <w:r w:rsidRPr="00B52D8F">
        <w:rPr>
          <w:rFonts w:hint="eastAsia"/>
        </w:rPr>
        <w:t>9904</w:t>
      </w:r>
      <w:r w:rsidRPr="00B52D8F">
        <w:rPr>
          <w:rFonts w:hint="eastAsia"/>
        </w:rPr>
        <w:t>万吨，相比上周五下降</w:t>
      </w:r>
      <w:r w:rsidRPr="00B52D8F">
        <w:rPr>
          <w:rFonts w:hint="eastAsia"/>
        </w:rPr>
        <w:t>271</w:t>
      </w:r>
      <w:r w:rsidRPr="00B52D8F">
        <w:rPr>
          <w:rFonts w:hint="eastAsia"/>
        </w:rPr>
        <w:t>万吨，是今年</w:t>
      </w:r>
      <w:r w:rsidRPr="00B52D8F">
        <w:rPr>
          <w:rFonts w:hint="eastAsia"/>
        </w:rPr>
        <w:t>2</w:t>
      </w:r>
      <w:r w:rsidRPr="00B52D8F">
        <w:rPr>
          <w:rFonts w:hint="eastAsia"/>
        </w:rPr>
        <w:t>月</w:t>
      </w:r>
      <w:r w:rsidRPr="00B52D8F">
        <w:rPr>
          <w:rFonts w:hint="eastAsia"/>
        </w:rPr>
        <w:t>14</w:t>
      </w:r>
      <w:r w:rsidRPr="00B52D8F">
        <w:rPr>
          <w:rFonts w:hint="eastAsia"/>
        </w:rPr>
        <w:t>日突破亿吨大关后，港口库存首次跌破亿吨大关。</w:t>
      </w:r>
    </w:p>
    <w:p w:rsidR="00C845A1" w:rsidRDefault="00C845A1" w:rsidP="00C845A1">
      <w:pPr>
        <w:rPr>
          <w:rFonts w:ascii="Arial" w:hAnsi="Arial" w:cs="Arial"/>
          <w:b/>
          <w:color w:val="222222"/>
          <w:spacing w:val="15"/>
          <w:sz w:val="22"/>
        </w:rPr>
      </w:pPr>
    </w:p>
    <w:p w:rsidR="00C845A1" w:rsidRDefault="00C845A1" w:rsidP="00C845A1">
      <w:pPr>
        <w:rPr>
          <w:rFonts w:ascii="Arial" w:hAnsi="Arial" w:cs="Arial"/>
          <w:b/>
          <w:color w:val="222222"/>
          <w:spacing w:val="15"/>
          <w:sz w:val="22"/>
        </w:rPr>
      </w:pPr>
      <w:r>
        <w:rPr>
          <w:rFonts w:ascii="Arial" w:hAnsi="Arial" w:cs="Arial" w:hint="eastAsia"/>
          <w:b/>
          <w:color w:val="222222"/>
          <w:spacing w:val="15"/>
          <w:sz w:val="22"/>
        </w:rPr>
        <w:t>4</w:t>
      </w:r>
      <w:r>
        <w:rPr>
          <w:rFonts w:ascii="Arial" w:hAnsi="Arial" w:cs="Arial" w:hint="eastAsia"/>
          <w:b/>
          <w:color w:val="222222"/>
          <w:spacing w:val="15"/>
          <w:sz w:val="22"/>
        </w:rPr>
        <w:t>、铁矿石供给</w:t>
      </w:r>
    </w:p>
    <w:p w:rsidR="00250CD1" w:rsidRDefault="00687141" w:rsidP="00687141">
      <w:pPr>
        <w:spacing w:beforeLines="50" w:before="156" w:line="360" w:lineRule="auto"/>
        <w:ind w:firstLineChars="200" w:firstLine="422"/>
      </w:pPr>
      <w:r w:rsidRPr="00687141">
        <w:rPr>
          <w:rFonts w:hint="eastAsia"/>
          <w:b/>
        </w:rPr>
        <w:t>外矿增产：</w:t>
      </w:r>
      <w:r w:rsidR="00250CD1" w:rsidRPr="00E9075E">
        <w:rPr>
          <w:rFonts w:hint="eastAsia"/>
        </w:rPr>
        <w:t>力拓维持</w:t>
      </w:r>
      <w:r w:rsidR="00250CD1" w:rsidRPr="00E9075E">
        <w:rPr>
          <w:rFonts w:hint="eastAsia"/>
        </w:rPr>
        <w:t>2014</w:t>
      </w:r>
      <w:r w:rsidR="00250CD1" w:rsidRPr="00E9075E">
        <w:rPr>
          <w:rFonts w:hint="eastAsia"/>
        </w:rPr>
        <w:t>年铁矿石产量目标在</w:t>
      </w:r>
      <w:r w:rsidR="00250CD1" w:rsidRPr="00E9075E">
        <w:rPr>
          <w:rFonts w:hint="eastAsia"/>
        </w:rPr>
        <w:t>2.95</w:t>
      </w:r>
      <w:r w:rsidR="00250CD1" w:rsidRPr="00E9075E">
        <w:rPr>
          <w:rFonts w:hint="eastAsia"/>
        </w:rPr>
        <w:t>亿吨，发货量目标维持在</w:t>
      </w:r>
      <w:r w:rsidR="00250CD1" w:rsidRPr="00E9075E">
        <w:rPr>
          <w:rFonts w:hint="eastAsia"/>
        </w:rPr>
        <w:t>3</w:t>
      </w:r>
      <w:r w:rsidR="00250CD1" w:rsidRPr="00E9075E">
        <w:rPr>
          <w:rFonts w:hint="eastAsia"/>
        </w:rPr>
        <w:t>亿吨</w:t>
      </w:r>
      <w:r w:rsidR="00250CD1">
        <w:rPr>
          <w:rFonts w:hint="eastAsia"/>
        </w:rPr>
        <w:t>。</w:t>
      </w:r>
      <w:r w:rsidR="00250CD1" w:rsidRPr="00E9075E">
        <w:rPr>
          <w:rFonts w:hint="eastAsia"/>
        </w:rPr>
        <w:t>必和</w:t>
      </w:r>
      <w:proofErr w:type="gramStart"/>
      <w:r w:rsidR="00250CD1" w:rsidRPr="00E9075E">
        <w:rPr>
          <w:rFonts w:hint="eastAsia"/>
        </w:rPr>
        <w:t>必拓维持</w:t>
      </w:r>
      <w:r w:rsidR="00250CD1" w:rsidRPr="00E9075E">
        <w:rPr>
          <w:rFonts w:hint="eastAsia"/>
        </w:rPr>
        <w:t>2014/15</w:t>
      </w:r>
      <w:r w:rsidR="00250CD1" w:rsidRPr="00E9075E">
        <w:rPr>
          <w:rFonts w:hint="eastAsia"/>
        </w:rPr>
        <w:t>财年西</w:t>
      </w:r>
      <w:proofErr w:type="gramEnd"/>
      <w:r w:rsidR="00250CD1" w:rsidRPr="00E9075E">
        <w:rPr>
          <w:rFonts w:hint="eastAsia"/>
        </w:rPr>
        <w:t>澳铁矿石产量目标在</w:t>
      </w:r>
      <w:r w:rsidR="00250CD1" w:rsidRPr="00E9075E">
        <w:rPr>
          <w:rFonts w:hint="eastAsia"/>
        </w:rPr>
        <w:t>2.45</w:t>
      </w:r>
      <w:r w:rsidR="00250CD1" w:rsidRPr="00E9075E">
        <w:rPr>
          <w:rFonts w:hint="eastAsia"/>
        </w:rPr>
        <w:t>亿吨（按</w:t>
      </w:r>
      <w:r w:rsidR="00250CD1" w:rsidRPr="00E9075E">
        <w:rPr>
          <w:rFonts w:hint="eastAsia"/>
        </w:rPr>
        <w:t>100%</w:t>
      </w:r>
      <w:r w:rsidR="00250CD1" w:rsidRPr="00E9075E">
        <w:rPr>
          <w:rFonts w:hint="eastAsia"/>
        </w:rPr>
        <w:t>股份计）。</w:t>
      </w:r>
      <w:r w:rsidR="00250CD1" w:rsidRPr="0079164E">
        <w:rPr>
          <w:rFonts w:hint="eastAsia"/>
        </w:rPr>
        <w:t>FMG</w:t>
      </w:r>
      <w:r w:rsidR="00250CD1" w:rsidRPr="0079164E">
        <w:rPr>
          <w:rFonts w:hint="eastAsia"/>
        </w:rPr>
        <w:t>预计，</w:t>
      </w:r>
      <w:r w:rsidR="00250CD1" w:rsidRPr="0079164E">
        <w:rPr>
          <w:rFonts w:hint="eastAsia"/>
        </w:rPr>
        <w:t>2014-2015</w:t>
      </w:r>
      <w:r w:rsidR="00250CD1" w:rsidRPr="0079164E">
        <w:rPr>
          <w:rFonts w:hint="eastAsia"/>
        </w:rPr>
        <w:t>财年产量及发货量在</w:t>
      </w:r>
      <w:r w:rsidR="00250CD1" w:rsidRPr="0079164E">
        <w:rPr>
          <w:rFonts w:hint="eastAsia"/>
        </w:rPr>
        <w:t>1.55</w:t>
      </w:r>
      <w:r w:rsidR="00250CD1" w:rsidRPr="0079164E">
        <w:rPr>
          <w:rFonts w:hint="eastAsia"/>
        </w:rPr>
        <w:t>亿</w:t>
      </w:r>
      <w:r w:rsidR="00250CD1" w:rsidRPr="0079164E">
        <w:rPr>
          <w:rFonts w:hint="eastAsia"/>
        </w:rPr>
        <w:t>-1.6</w:t>
      </w:r>
      <w:r w:rsidR="00250CD1" w:rsidRPr="0079164E">
        <w:rPr>
          <w:rFonts w:hint="eastAsia"/>
        </w:rPr>
        <w:t>亿吨</w:t>
      </w:r>
      <w:r w:rsidR="00250CD1">
        <w:rPr>
          <w:rFonts w:hint="eastAsia"/>
        </w:rPr>
        <w:t>。</w:t>
      </w:r>
    </w:p>
    <w:p w:rsidR="00250CD1" w:rsidRDefault="00250CD1" w:rsidP="00250CD1">
      <w:pPr>
        <w:spacing w:line="360" w:lineRule="auto"/>
      </w:pPr>
      <w:r>
        <w:rPr>
          <w:rFonts w:hint="eastAsia"/>
        </w:rPr>
        <w:t xml:space="preserve">   </w:t>
      </w:r>
      <w:r>
        <w:rPr>
          <w:rFonts w:hint="eastAsia"/>
        </w:rPr>
        <w:t>未来目标：力拓</w:t>
      </w:r>
      <w:r w:rsidRPr="0079164E">
        <w:rPr>
          <w:rFonts w:hint="eastAsia"/>
        </w:rPr>
        <w:t>到</w:t>
      </w:r>
      <w:r w:rsidRPr="0079164E">
        <w:rPr>
          <w:rFonts w:hint="eastAsia"/>
        </w:rPr>
        <w:t>2015</w:t>
      </w:r>
      <w:r w:rsidRPr="0079164E">
        <w:rPr>
          <w:rFonts w:hint="eastAsia"/>
        </w:rPr>
        <w:t>年铁矿石年产能将达到</w:t>
      </w:r>
      <w:r w:rsidRPr="0079164E">
        <w:rPr>
          <w:rFonts w:hint="eastAsia"/>
        </w:rPr>
        <w:t>3.3</w:t>
      </w:r>
      <w:r w:rsidRPr="0079164E">
        <w:rPr>
          <w:rFonts w:hint="eastAsia"/>
        </w:rPr>
        <w:t>亿吨，到</w:t>
      </w:r>
      <w:r w:rsidRPr="0079164E">
        <w:rPr>
          <w:rFonts w:hint="eastAsia"/>
        </w:rPr>
        <w:t>2017</w:t>
      </w:r>
      <w:r w:rsidRPr="0079164E">
        <w:rPr>
          <w:rFonts w:hint="eastAsia"/>
        </w:rPr>
        <w:t>年进一步提升至</w:t>
      </w:r>
      <w:r w:rsidRPr="0079164E">
        <w:rPr>
          <w:rFonts w:hint="eastAsia"/>
        </w:rPr>
        <w:t>3.6</w:t>
      </w:r>
      <w:r w:rsidRPr="0079164E">
        <w:rPr>
          <w:rFonts w:hint="eastAsia"/>
        </w:rPr>
        <w:t>亿吨</w:t>
      </w:r>
      <w:r>
        <w:rPr>
          <w:rFonts w:hint="eastAsia"/>
        </w:rPr>
        <w:t>。</w:t>
      </w:r>
      <w:r w:rsidRPr="0079164E">
        <w:rPr>
          <w:rFonts w:hint="eastAsia"/>
        </w:rPr>
        <w:t>淡水河谷</w:t>
      </w:r>
      <w:r>
        <w:rPr>
          <w:rFonts w:hint="eastAsia"/>
        </w:rPr>
        <w:t>公司</w:t>
      </w:r>
      <w:r w:rsidRPr="0079164E">
        <w:rPr>
          <w:rFonts w:hint="eastAsia"/>
        </w:rPr>
        <w:t>积极提升卡拉加斯矿区产量，到</w:t>
      </w:r>
      <w:r w:rsidRPr="0079164E">
        <w:rPr>
          <w:rFonts w:hint="eastAsia"/>
        </w:rPr>
        <w:t>2017</w:t>
      </w:r>
      <w:r w:rsidRPr="0079164E">
        <w:rPr>
          <w:rFonts w:hint="eastAsia"/>
        </w:rPr>
        <w:t>年铁矿石年产能有望达</w:t>
      </w:r>
      <w:r w:rsidRPr="0079164E">
        <w:rPr>
          <w:rFonts w:hint="eastAsia"/>
        </w:rPr>
        <w:t>4.6</w:t>
      </w:r>
      <w:r w:rsidRPr="0079164E">
        <w:rPr>
          <w:rFonts w:hint="eastAsia"/>
        </w:rPr>
        <w:t>亿吨</w:t>
      </w:r>
      <w:r>
        <w:rPr>
          <w:rFonts w:hint="eastAsia"/>
        </w:rPr>
        <w:t>。</w:t>
      </w:r>
    </w:p>
    <w:p w:rsidR="00687141" w:rsidRPr="00D359A1" w:rsidRDefault="00687141" w:rsidP="00687141">
      <w:pPr>
        <w:spacing w:line="360" w:lineRule="auto"/>
        <w:ind w:firstLineChars="200" w:firstLine="422"/>
      </w:pPr>
      <w:r w:rsidRPr="00687141">
        <w:rPr>
          <w:rFonts w:hint="eastAsia"/>
          <w:b/>
        </w:rPr>
        <w:t>国内矿减产</w:t>
      </w:r>
      <w:r>
        <w:rPr>
          <w:rFonts w:hint="eastAsia"/>
        </w:rPr>
        <w:t>：</w:t>
      </w:r>
      <w:r w:rsidR="00D359A1">
        <w:rPr>
          <w:rFonts w:hint="eastAsia"/>
        </w:rPr>
        <w:t>根据</w:t>
      </w:r>
      <w:proofErr w:type="spellStart"/>
      <w:r w:rsidR="00D359A1">
        <w:rPr>
          <w:rFonts w:hint="eastAsia"/>
        </w:rPr>
        <w:t>mystell</w:t>
      </w:r>
      <w:proofErr w:type="spellEnd"/>
      <w:r w:rsidR="00771117">
        <w:rPr>
          <w:rFonts w:hint="eastAsia"/>
        </w:rPr>
        <w:t>对</w:t>
      </w:r>
      <w:r w:rsidR="0003191C" w:rsidRPr="0003191C">
        <w:rPr>
          <w:rFonts w:hint="eastAsia"/>
        </w:rPr>
        <w:t>调查样本共计</w:t>
      </w:r>
      <w:r w:rsidR="0003191C" w:rsidRPr="0003191C">
        <w:t>266</w:t>
      </w:r>
      <w:r w:rsidR="00D359A1">
        <w:rPr>
          <w:rFonts w:hint="eastAsia"/>
        </w:rPr>
        <w:t>座样本矿山的统计，</w:t>
      </w:r>
      <w:r w:rsidR="00771117" w:rsidRPr="00D359A1">
        <w:rPr>
          <w:rFonts w:hint="eastAsia"/>
        </w:rPr>
        <w:t>可以看出，受到外矿打压和冬季淡季的影响，</w:t>
      </w:r>
      <w:r w:rsidR="00D359A1">
        <w:rPr>
          <w:rFonts w:hint="eastAsia"/>
        </w:rPr>
        <w:t>近两个月我国国内矿的产能利用率有所下降。</w:t>
      </w:r>
      <w:r w:rsidRPr="00AD555D">
        <w:t>中国</w:t>
      </w:r>
      <w:r w:rsidRPr="00AD555D">
        <w:t>11</w:t>
      </w:r>
      <w:r w:rsidRPr="00AD555D">
        <w:t>月铁矿石产量</w:t>
      </w:r>
      <w:r w:rsidRPr="00AD555D">
        <w:t>1.282</w:t>
      </w:r>
      <w:r w:rsidRPr="00AD555D">
        <w:t>亿吨，同比减少</w:t>
      </w:r>
      <w:r w:rsidRPr="00AD555D">
        <w:t>7.5%</w:t>
      </w:r>
      <w:r>
        <w:rPr>
          <w:rFonts w:hint="eastAsia"/>
        </w:rPr>
        <w:t>。</w:t>
      </w:r>
      <w:r>
        <w:rPr>
          <w:rFonts w:hint="eastAsia"/>
        </w:rPr>
        <w:t>但这种幅度远远小于外矿增产给中国带来的供给，国内矿还有被进一步蚕食挤压的空间。</w:t>
      </w:r>
    </w:p>
    <w:p w:rsidR="00AD555D" w:rsidRPr="0003191C" w:rsidRDefault="0003191C" w:rsidP="0003191C">
      <w:pPr>
        <w:spacing w:line="360" w:lineRule="auto"/>
        <w:ind w:firstLineChars="200" w:firstLine="422"/>
        <w:jc w:val="center"/>
        <w:rPr>
          <w:b/>
        </w:rPr>
      </w:pPr>
      <w:r w:rsidRPr="0003191C">
        <w:rPr>
          <w:rFonts w:hint="eastAsia"/>
          <w:b/>
        </w:rPr>
        <w:t>表</w:t>
      </w:r>
      <w:proofErr w:type="gramStart"/>
      <w:r w:rsidRPr="0003191C">
        <w:rPr>
          <w:rFonts w:hint="eastAsia"/>
          <w:b/>
        </w:rPr>
        <w:t>一</w:t>
      </w:r>
      <w:proofErr w:type="gramEnd"/>
      <w:r w:rsidRPr="0003191C">
        <w:rPr>
          <w:rFonts w:hint="eastAsia"/>
          <w:b/>
        </w:rPr>
        <w:t>：样本国内矿山产能利用率</w:t>
      </w:r>
    </w:p>
    <w:tbl>
      <w:tblPr>
        <w:tblStyle w:val="a7"/>
        <w:tblW w:w="0" w:type="auto"/>
        <w:jc w:val="center"/>
        <w:tblLook w:val="04A0" w:firstRow="1" w:lastRow="0" w:firstColumn="1" w:lastColumn="0" w:noHBand="0" w:noVBand="1"/>
      </w:tblPr>
      <w:tblGrid>
        <w:gridCol w:w="1704"/>
        <w:gridCol w:w="2230"/>
        <w:gridCol w:w="1178"/>
        <w:gridCol w:w="1705"/>
      </w:tblGrid>
      <w:tr w:rsidR="0003191C" w:rsidTr="00D359A1">
        <w:trPr>
          <w:jc w:val="center"/>
        </w:trPr>
        <w:tc>
          <w:tcPr>
            <w:tcW w:w="1704" w:type="dxa"/>
          </w:tcPr>
          <w:p w:rsidR="0003191C" w:rsidRPr="00AD555D" w:rsidRDefault="0003191C" w:rsidP="00C845A1">
            <w:pPr>
              <w:rPr>
                <w:rFonts w:ascii="Arial" w:hAnsi="Arial" w:cs="Arial"/>
                <w:b/>
                <w:color w:val="222222"/>
                <w:spacing w:val="15"/>
                <w:sz w:val="22"/>
              </w:rPr>
            </w:pPr>
            <w:r w:rsidRPr="00AD555D">
              <w:rPr>
                <w:rFonts w:ascii="Arial" w:hAnsi="Arial" w:cs="Arial" w:hint="eastAsia"/>
                <w:b/>
                <w:color w:val="222222"/>
                <w:spacing w:val="15"/>
                <w:sz w:val="22"/>
              </w:rPr>
              <w:t>日期</w:t>
            </w:r>
          </w:p>
        </w:tc>
        <w:tc>
          <w:tcPr>
            <w:tcW w:w="2230" w:type="dxa"/>
          </w:tcPr>
          <w:p w:rsidR="0003191C" w:rsidRPr="00AD555D" w:rsidRDefault="0003191C" w:rsidP="00C845A1">
            <w:pPr>
              <w:rPr>
                <w:rFonts w:ascii="Arial" w:hAnsi="Arial" w:cs="Arial"/>
                <w:b/>
                <w:color w:val="222222"/>
                <w:spacing w:val="15"/>
                <w:sz w:val="22"/>
              </w:rPr>
            </w:pPr>
            <w:r w:rsidRPr="00AD555D">
              <w:rPr>
                <w:rFonts w:ascii="Arial" w:hAnsi="Arial" w:cs="Arial" w:hint="eastAsia"/>
                <w:b/>
                <w:color w:val="222222"/>
                <w:spacing w:val="15"/>
                <w:sz w:val="22"/>
              </w:rPr>
              <w:t>总产量</w:t>
            </w:r>
            <w:r w:rsidR="00D359A1">
              <w:rPr>
                <w:rFonts w:ascii="Arial" w:hAnsi="Arial" w:cs="Arial" w:hint="eastAsia"/>
                <w:b/>
                <w:color w:val="222222"/>
                <w:spacing w:val="15"/>
                <w:sz w:val="22"/>
              </w:rPr>
              <w:t>（万吨</w:t>
            </w:r>
            <w:r w:rsidR="00D359A1">
              <w:rPr>
                <w:rFonts w:ascii="Arial" w:hAnsi="Arial" w:cs="Arial" w:hint="eastAsia"/>
                <w:b/>
                <w:color w:val="222222"/>
                <w:spacing w:val="15"/>
                <w:sz w:val="22"/>
              </w:rPr>
              <w:t>/</w:t>
            </w:r>
            <w:r w:rsidR="00D359A1">
              <w:rPr>
                <w:rFonts w:ascii="Arial" w:hAnsi="Arial" w:cs="Arial" w:hint="eastAsia"/>
                <w:b/>
                <w:color w:val="222222"/>
                <w:spacing w:val="15"/>
                <w:sz w:val="22"/>
              </w:rPr>
              <w:t>天）</w:t>
            </w:r>
          </w:p>
        </w:tc>
        <w:tc>
          <w:tcPr>
            <w:tcW w:w="1178" w:type="dxa"/>
          </w:tcPr>
          <w:p w:rsidR="0003191C" w:rsidRPr="00AD555D" w:rsidRDefault="0003191C" w:rsidP="00C845A1">
            <w:pPr>
              <w:rPr>
                <w:rFonts w:ascii="Arial" w:hAnsi="Arial" w:cs="Arial"/>
                <w:b/>
                <w:color w:val="222222"/>
                <w:spacing w:val="15"/>
                <w:sz w:val="22"/>
              </w:rPr>
            </w:pPr>
            <w:r w:rsidRPr="00AD555D">
              <w:rPr>
                <w:rFonts w:ascii="Arial" w:hAnsi="Arial" w:cs="Arial" w:hint="eastAsia"/>
                <w:b/>
                <w:color w:val="222222"/>
                <w:spacing w:val="15"/>
                <w:sz w:val="22"/>
              </w:rPr>
              <w:t>产能利用率</w:t>
            </w:r>
          </w:p>
        </w:tc>
        <w:tc>
          <w:tcPr>
            <w:tcW w:w="1705" w:type="dxa"/>
          </w:tcPr>
          <w:p w:rsidR="0003191C" w:rsidRPr="00AD555D" w:rsidRDefault="0003191C" w:rsidP="00C845A1">
            <w:pPr>
              <w:rPr>
                <w:rFonts w:ascii="Arial" w:hAnsi="Arial" w:cs="Arial"/>
                <w:b/>
                <w:color w:val="222222"/>
                <w:spacing w:val="15"/>
                <w:sz w:val="22"/>
              </w:rPr>
            </w:pPr>
            <w:r w:rsidRPr="00AD555D">
              <w:rPr>
                <w:rFonts w:ascii="Arial" w:hAnsi="Arial" w:cs="Arial" w:hint="eastAsia"/>
                <w:b/>
                <w:color w:val="222222"/>
                <w:spacing w:val="15"/>
                <w:sz w:val="22"/>
              </w:rPr>
              <w:t>库存</w:t>
            </w:r>
            <w:r w:rsidR="00D359A1">
              <w:rPr>
                <w:rFonts w:ascii="Arial" w:hAnsi="Arial" w:cs="Arial" w:hint="eastAsia"/>
                <w:b/>
                <w:color w:val="222222"/>
                <w:spacing w:val="15"/>
                <w:sz w:val="22"/>
              </w:rPr>
              <w:t>（万吨）</w:t>
            </w:r>
          </w:p>
        </w:tc>
      </w:tr>
      <w:tr w:rsidR="0003191C" w:rsidTr="00D359A1">
        <w:trPr>
          <w:jc w:val="center"/>
        </w:trPr>
        <w:tc>
          <w:tcPr>
            <w:tcW w:w="1704" w:type="dxa"/>
          </w:tcPr>
          <w:p w:rsidR="0003191C" w:rsidRPr="00E454AB" w:rsidRDefault="00D359A1"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2014.</w:t>
            </w:r>
            <w:r w:rsidR="0003191C" w:rsidRPr="00E454AB">
              <w:rPr>
                <w:rFonts w:ascii="Arial" w:hAnsi="Arial" w:cs="Arial" w:hint="eastAsia"/>
                <w:color w:val="222222"/>
                <w:spacing w:val="15"/>
                <w:sz w:val="20"/>
                <w:szCs w:val="20"/>
              </w:rPr>
              <w:t>11.14</w:t>
            </w:r>
          </w:p>
        </w:tc>
        <w:tc>
          <w:tcPr>
            <w:tcW w:w="2230" w:type="dxa"/>
          </w:tcPr>
          <w:p w:rsidR="0003191C" w:rsidRPr="00E454AB" w:rsidRDefault="0003191C"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43.096</w:t>
            </w:r>
          </w:p>
        </w:tc>
        <w:tc>
          <w:tcPr>
            <w:tcW w:w="1178" w:type="dxa"/>
          </w:tcPr>
          <w:p w:rsidR="0003191C" w:rsidRPr="00E454AB" w:rsidRDefault="0003191C"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69.14%</w:t>
            </w:r>
          </w:p>
        </w:tc>
        <w:tc>
          <w:tcPr>
            <w:tcW w:w="1705" w:type="dxa"/>
          </w:tcPr>
          <w:p w:rsidR="0003191C" w:rsidRPr="00E454AB" w:rsidRDefault="0003191C"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190</w:t>
            </w:r>
          </w:p>
        </w:tc>
      </w:tr>
      <w:tr w:rsidR="0003191C" w:rsidTr="00D359A1">
        <w:trPr>
          <w:jc w:val="center"/>
        </w:trPr>
        <w:tc>
          <w:tcPr>
            <w:tcW w:w="1704" w:type="dxa"/>
          </w:tcPr>
          <w:p w:rsidR="0003191C" w:rsidRPr="00E454AB" w:rsidRDefault="00D359A1"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2014.</w:t>
            </w:r>
            <w:r w:rsidR="0003191C" w:rsidRPr="00E454AB">
              <w:rPr>
                <w:rFonts w:ascii="Arial" w:hAnsi="Arial" w:cs="Arial" w:hint="eastAsia"/>
                <w:color w:val="222222"/>
                <w:spacing w:val="15"/>
                <w:sz w:val="20"/>
                <w:szCs w:val="20"/>
              </w:rPr>
              <w:t>11.28</w:t>
            </w:r>
          </w:p>
        </w:tc>
        <w:tc>
          <w:tcPr>
            <w:tcW w:w="2230" w:type="dxa"/>
          </w:tcPr>
          <w:p w:rsidR="0003191C" w:rsidRPr="00E454AB" w:rsidRDefault="0003191C"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43.14</w:t>
            </w:r>
          </w:p>
        </w:tc>
        <w:tc>
          <w:tcPr>
            <w:tcW w:w="1178" w:type="dxa"/>
          </w:tcPr>
          <w:p w:rsidR="0003191C" w:rsidRPr="00E454AB" w:rsidRDefault="0003191C"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68.96%</w:t>
            </w:r>
          </w:p>
        </w:tc>
        <w:tc>
          <w:tcPr>
            <w:tcW w:w="1705" w:type="dxa"/>
          </w:tcPr>
          <w:p w:rsidR="0003191C" w:rsidRPr="00E454AB" w:rsidRDefault="0003191C"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206</w:t>
            </w:r>
          </w:p>
        </w:tc>
      </w:tr>
      <w:tr w:rsidR="0003191C" w:rsidTr="00D359A1">
        <w:trPr>
          <w:jc w:val="center"/>
        </w:trPr>
        <w:tc>
          <w:tcPr>
            <w:tcW w:w="1704" w:type="dxa"/>
          </w:tcPr>
          <w:p w:rsidR="0003191C" w:rsidRPr="00E454AB" w:rsidRDefault="00D359A1"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2014.</w:t>
            </w:r>
            <w:r w:rsidR="0003191C" w:rsidRPr="00E454AB">
              <w:rPr>
                <w:rFonts w:ascii="Arial" w:hAnsi="Arial" w:cs="Arial" w:hint="eastAsia"/>
                <w:color w:val="222222"/>
                <w:spacing w:val="15"/>
                <w:sz w:val="20"/>
                <w:szCs w:val="20"/>
              </w:rPr>
              <w:t>12.12</w:t>
            </w:r>
          </w:p>
        </w:tc>
        <w:tc>
          <w:tcPr>
            <w:tcW w:w="2230" w:type="dxa"/>
          </w:tcPr>
          <w:p w:rsidR="0003191C" w:rsidRPr="00E454AB" w:rsidRDefault="0003191C"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42.585</w:t>
            </w:r>
          </w:p>
        </w:tc>
        <w:tc>
          <w:tcPr>
            <w:tcW w:w="1178" w:type="dxa"/>
          </w:tcPr>
          <w:p w:rsidR="0003191C" w:rsidRPr="00E454AB" w:rsidRDefault="0003191C"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67.99%</w:t>
            </w:r>
          </w:p>
        </w:tc>
        <w:tc>
          <w:tcPr>
            <w:tcW w:w="1705" w:type="dxa"/>
          </w:tcPr>
          <w:p w:rsidR="0003191C" w:rsidRPr="00E454AB" w:rsidRDefault="0003191C" w:rsidP="00C845A1">
            <w:pPr>
              <w:rPr>
                <w:rFonts w:ascii="Arial" w:hAnsi="Arial" w:cs="Arial"/>
                <w:color w:val="222222"/>
                <w:spacing w:val="15"/>
                <w:sz w:val="20"/>
                <w:szCs w:val="20"/>
              </w:rPr>
            </w:pPr>
            <w:r w:rsidRPr="00E454AB">
              <w:rPr>
                <w:rFonts w:ascii="Arial" w:hAnsi="Arial" w:cs="Arial" w:hint="eastAsia"/>
                <w:color w:val="222222"/>
                <w:spacing w:val="15"/>
                <w:sz w:val="20"/>
                <w:szCs w:val="20"/>
              </w:rPr>
              <w:t>209</w:t>
            </w:r>
          </w:p>
        </w:tc>
      </w:tr>
    </w:tbl>
    <w:p w:rsidR="00C845A1" w:rsidRPr="00250CD1" w:rsidRDefault="00C845A1" w:rsidP="00C845A1">
      <w:pPr>
        <w:rPr>
          <w:rFonts w:ascii="Arial" w:hAnsi="Arial" w:cs="Arial"/>
          <w:b/>
          <w:color w:val="222222"/>
          <w:spacing w:val="15"/>
          <w:sz w:val="22"/>
        </w:rPr>
      </w:pPr>
    </w:p>
    <w:p w:rsidR="00C845A1" w:rsidRDefault="00C845A1" w:rsidP="00C845A1">
      <w:pPr>
        <w:rPr>
          <w:rFonts w:ascii="Arial" w:hAnsi="Arial" w:cs="Arial"/>
          <w:b/>
          <w:color w:val="222222"/>
          <w:spacing w:val="15"/>
          <w:sz w:val="22"/>
        </w:rPr>
      </w:pPr>
      <w:r>
        <w:rPr>
          <w:rFonts w:hint="eastAsia"/>
          <w:b/>
          <w:sz w:val="28"/>
          <w:szCs w:val="28"/>
        </w:rPr>
        <w:t>三</w:t>
      </w:r>
      <w:r w:rsidRPr="002E6697">
        <w:rPr>
          <w:rFonts w:hint="eastAsia"/>
          <w:b/>
          <w:sz w:val="28"/>
          <w:szCs w:val="28"/>
        </w:rPr>
        <w:t>、</w:t>
      </w:r>
      <w:r>
        <w:rPr>
          <w:rFonts w:hint="eastAsia"/>
          <w:b/>
          <w:sz w:val="28"/>
          <w:szCs w:val="28"/>
        </w:rPr>
        <w:t>宏观与产业博弈格局及操作策略</w:t>
      </w:r>
    </w:p>
    <w:p w:rsidR="00D961C0" w:rsidRDefault="0036633F" w:rsidP="0036633F">
      <w:pPr>
        <w:spacing w:line="360" w:lineRule="auto"/>
        <w:rPr>
          <w:rFonts w:hint="eastAsia"/>
        </w:rPr>
      </w:pPr>
      <w:r>
        <w:rPr>
          <w:rFonts w:ascii="Arial" w:hAnsi="Arial" w:cs="Arial" w:hint="eastAsia"/>
          <w:b/>
          <w:color w:val="222222"/>
          <w:spacing w:val="15"/>
          <w:sz w:val="22"/>
        </w:rPr>
        <w:t xml:space="preserve">    </w:t>
      </w:r>
      <w:r w:rsidRPr="0036633F">
        <w:rPr>
          <w:rFonts w:hint="eastAsia"/>
          <w:b/>
        </w:rPr>
        <w:t>博弈总结</w:t>
      </w:r>
      <w:r>
        <w:rPr>
          <w:rFonts w:hint="eastAsia"/>
        </w:rPr>
        <w:t>：由于投资的被动性，决定了未来预期宏观的投资力度不会太弱，而铁矿石的产业格局又是供需矛盾突出。这两个因素一个是大的经济形势一个是大的产业格局，都不会在短时间内得到根本的变化。税费改革和</w:t>
      </w:r>
      <w:proofErr w:type="gramStart"/>
      <w:r>
        <w:rPr>
          <w:rFonts w:hint="eastAsia"/>
        </w:rPr>
        <w:t>降息降准等</w:t>
      </w:r>
      <w:proofErr w:type="gramEnd"/>
      <w:r>
        <w:rPr>
          <w:rFonts w:hint="eastAsia"/>
        </w:rPr>
        <w:t>政策因素只能带来扰动而非本质的改变。</w:t>
      </w:r>
    </w:p>
    <w:p w:rsidR="0036633F" w:rsidRDefault="0036633F" w:rsidP="0036633F">
      <w:pPr>
        <w:spacing w:line="360" w:lineRule="auto"/>
        <w:ind w:firstLineChars="200" w:firstLine="502"/>
        <w:rPr>
          <w:rFonts w:hint="eastAsia"/>
        </w:rPr>
      </w:pPr>
      <w:r w:rsidRPr="0036633F">
        <w:rPr>
          <w:rFonts w:ascii="Arial" w:hAnsi="Arial" w:cs="Arial" w:hint="eastAsia"/>
          <w:b/>
          <w:color w:val="222222"/>
          <w:spacing w:val="15"/>
          <w:sz w:val="22"/>
        </w:rPr>
        <w:t>投资建议</w:t>
      </w:r>
      <w:r>
        <w:rPr>
          <w:rFonts w:ascii="Arial" w:hAnsi="Arial" w:cs="Arial" w:hint="eastAsia"/>
          <w:b/>
          <w:color w:val="222222"/>
          <w:spacing w:val="15"/>
          <w:sz w:val="22"/>
        </w:rPr>
        <w:t>：</w:t>
      </w:r>
      <w:r>
        <w:rPr>
          <w:rFonts w:hint="eastAsia"/>
        </w:rPr>
        <w:t>目前和未来相当</w:t>
      </w:r>
      <w:r w:rsidR="00B150D8">
        <w:rPr>
          <w:rFonts w:hint="eastAsia"/>
        </w:rPr>
        <w:t>长</w:t>
      </w:r>
      <w:r>
        <w:rPr>
          <w:rFonts w:hint="eastAsia"/>
        </w:rPr>
        <w:t>的一段时间内，这种拉锯和博弈将继续，对于大的投资者</w:t>
      </w:r>
      <w:r w:rsidR="00B150D8">
        <w:rPr>
          <w:rFonts w:hint="eastAsia"/>
        </w:rPr>
        <w:t>而言</w:t>
      </w:r>
      <w:r>
        <w:rPr>
          <w:rFonts w:hint="eastAsia"/>
        </w:rPr>
        <w:t>，我个人建议是不要参与这种震荡胶着的行情，也没有必要参与。长期螺纹将会在</w:t>
      </w:r>
      <w:r>
        <w:rPr>
          <w:rFonts w:hint="eastAsia"/>
        </w:rPr>
        <w:t>2450-2750</w:t>
      </w:r>
      <w:r>
        <w:rPr>
          <w:rFonts w:hint="eastAsia"/>
        </w:rPr>
        <w:t>震荡，铁矿主力会在</w:t>
      </w:r>
      <w:r>
        <w:rPr>
          <w:rFonts w:hint="eastAsia"/>
        </w:rPr>
        <w:t>450-510</w:t>
      </w:r>
      <w:r>
        <w:rPr>
          <w:rFonts w:hint="eastAsia"/>
        </w:rPr>
        <w:t>之间窄幅震荡。</w:t>
      </w:r>
    </w:p>
    <w:p w:rsidR="003E55E4" w:rsidRDefault="003E55E4" w:rsidP="003E55E4">
      <w:pPr>
        <w:spacing w:line="360" w:lineRule="auto"/>
        <w:ind w:firstLineChars="200" w:firstLine="420"/>
        <w:rPr>
          <w:rFonts w:hint="eastAsia"/>
        </w:rPr>
      </w:pPr>
    </w:p>
    <w:p w:rsidR="0036633F" w:rsidRPr="0036633F" w:rsidRDefault="0036633F" w:rsidP="0036633F">
      <w:pPr>
        <w:spacing w:line="360" w:lineRule="auto"/>
        <w:ind w:firstLineChars="200" w:firstLine="502"/>
        <w:rPr>
          <w:rFonts w:ascii="Arial" w:hAnsi="Arial" w:cs="Arial" w:hint="eastAsia"/>
          <w:b/>
          <w:color w:val="222222"/>
          <w:spacing w:val="15"/>
          <w:sz w:val="22"/>
        </w:rPr>
      </w:pPr>
      <w:r w:rsidRPr="0036633F">
        <w:rPr>
          <w:rFonts w:ascii="Arial" w:hAnsi="Arial" w:cs="Arial" w:hint="eastAsia"/>
          <w:b/>
          <w:color w:val="222222"/>
          <w:spacing w:val="15"/>
          <w:sz w:val="22"/>
        </w:rPr>
        <w:lastRenderedPageBreak/>
        <w:t>操作策略</w:t>
      </w:r>
      <w:r>
        <w:rPr>
          <w:rFonts w:ascii="Arial" w:hAnsi="Arial" w:cs="Arial" w:hint="eastAsia"/>
          <w:b/>
          <w:color w:val="222222"/>
          <w:spacing w:val="15"/>
          <w:sz w:val="22"/>
        </w:rPr>
        <w:t>：</w:t>
      </w:r>
      <w:r w:rsidR="00E454AB" w:rsidRPr="00E454AB">
        <w:rPr>
          <w:rFonts w:hint="eastAsia"/>
        </w:rPr>
        <w:t>鉴于以上</w:t>
      </w:r>
      <w:r w:rsidR="00E454AB">
        <w:rPr>
          <w:rFonts w:hint="eastAsia"/>
        </w:rPr>
        <w:t>分析，在实际操作中不建议参与，风险收益比太低。但是由于是模拟比赛，</w:t>
      </w:r>
      <w:r w:rsidR="00E454AB">
        <w:rPr>
          <w:rFonts w:hint="eastAsia"/>
        </w:rPr>
        <w:t>12</w:t>
      </w:r>
      <w:r w:rsidR="00E454AB">
        <w:rPr>
          <w:rFonts w:hint="eastAsia"/>
        </w:rPr>
        <w:t>月结束团队比赛后才转战到此，已经没什么时间和空间。所以，仅仅为了适应比赛的规则，本人将在铁矿合约上进行炒单操作，具体策略为：大资金频繁操作来刷收益率，高抛低吸的节奏适合这种震荡行情。每次操作目的是赚取</w:t>
      </w:r>
      <w:r w:rsidR="00E454AB">
        <w:rPr>
          <w:rFonts w:hint="eastAsia"/>
        </w:rPr>
        <w:t>2-8</w:t>
      </w:r>
      <w:r w:rsidR="00E454AB">
        <w:rPr>
          <w:rFonts w:hint="eastAsia"/>
        </w:rPr>
        <w:t>个点差，快进快出，见好就收</w:t>
      </w:r>
      <w:r w:rsidR="00151BAE">
        <w:rPr>
          <w:rFonts w:hint="eastAsia"/>
        </w:rPr>
        <w:t>。</w:t>
      </w:r>
      <w:bookmarkStart w:id="0" w:name="_GoBack"/>
      <w:bookmarkEnd w:id="0"/>
    </w:p>
    <w:p w:rsidR="0036633F" w:rsidRPr="0036633F" w:rsidRDefault="0036633F" w:rsidP="0036633F">
      <w:pPr>
        <w:spacing w:line="360" w:lineRule="auto"/>
        <w:ind w:firstLineChars="200" w:firstLine="502"/>
        <w:rPr>
          <w:rFonts w:ascii="Arial" w:hAnsi="Arial" w:cs="Arial"/>
          <w:b/>
          <w:color w:val="222222"/>
          <w:spacing w:val="15"/>
          <w:sz w:val="22"/>
        </w:rPr>
      </w:pPr>
    </w:p>
    <w:sectPr w:rsidR="0036633F" w:rsidRPr="0036633F">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955" w:rsidRDefault="00171955" w:rsidP="00A65BAA">
      <w:r>
        <w:separator/>
      </w:r>
    </w:p>
  </w:endnote>
  <w:endnote w:type="continuationSeparator" w:id="0">
    <w:p w:rsidR="00171955" w:rsidRDefault="00171955" w:rsidP="00A6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CD1" w:rsidRDefault="00250CD1">
    <w:pPr>
      <w:pStyle w:val="a5"/>
    </w:pPr>
    <w:r>
      <w:rPr>
        <w:noProof/>
      </w:rPr>
      <mc:AlternateContent>
        <mc:Choice Requires="wpg">
          <w:drawing>
            <wp:anchor distT="0" distB="0" distL="114300" distR="114300" simplePos="0" relativeHeight="251659264" behindDoc="0" locked="0" layoutInCell="1" allowOverlap="1" wp14:editId="52A81535">
              <wp:simplePos x="0" y="0"/>
              <wp:positionH relativeFrom="page">
                <wp:align>center</wp:align>
              </wp:positionH>
              <wp:positionV relativeFrom="line">
                <wp:align>top</wp:align>
              </wp:positionV>
              <wp:extent cx="7366635" cy="347345"/>
              <wp:effectExtent l="0" t="0" r="5715" b="0"/>
              <wp:wrapTopAndBottom/>
              <wp:docPr id="265" name="组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地址"/>
                              <w:id w:val="79885540"/>
                              <w:dataBinding w:prefixMappings="xmlns:ns0='http://schemas.microsoft.com/office/2006/coverPageProps'" w:xpath="/ns0:CoverPageProperties[1]/ns0:CompanyAddress[1]" w:storeItemID="{55AF091B-3C7A-41E3-B477-F2FDAA23CFDA}"/>
                              <w:text w:multiLine="1"/>
                            </w:sdtPr>
                            <w:sdtEndPr/>
                            <w:sdtContent>
                              <w:p w:rsidR="00250CD1" w:rsidRDefault="00250CD1">
                                <w:pPr>
                                  <w:pStyle w:val="a5"/>
                                  <w:jc w:val="right"/>
                                  <w:rPr>
                                    <w:color w:val="FFFFFF" w:themeColor="background1"/>
                                    <w:spacing w:val="60"/>
                                  </w:rPr>
                                </w:pPr>
                                <w:r>
                                  <w:rPr>
                                    <w:rFonts w:hint="eastAsia"/>
                                    <w:color w:val="FFFFFF" w:themeColor="background1"/>
                                    <w:spacing w:val="60"/>
                                  </w:rPr>
                                  <w:t>广州市海珠区</w:t>
                                </w:r>
                                <w:proofErr w:type="gramStart"/>
                                <w:r>
                                  <w:rPr>
                                    <w:rFonts w:hint="eastAsia"/>
                                    <w:color w:val="FFFFFF" w:themeColor="background1"/>
                                    <w:spacing w:val="60"/>
                                  </w:rPr>
                                  <w:t>琶</w:t>
                                </w:r>
                                <w:proofErr w:type="gramEnd"/>
                                <w:r>
                                  <w:rPr>
                                    <w:rFonts w:hint="eastAsia"/>
                                    <w:color w:val="FFFFFF" w:themeColor="background1"/>
                                    <w:spacing w:val="60"/>
                                  </w:rPr>
                                  <w:t>洲保利世贸大厦</w:t>
                                </w:r>
                                <w:r>
                                  <w:rPr>
                                    <w:rFonts w:hint="eastAsia"/>
                                    <w:color w:val="FFFFFF" w:themeColor="background1"/>
                                    <w:spacing w:val="60"/>
                                  </w:rPr>
                                  <w:t>1000</w:t>
                                </w:r>
                                <w:r>
                                  <w:rPr>
                                    <w:rFonts w:hint="eastAsia"/>
                                    <w:color w:val="FFFFFF" w:themeColor="background1"/>
                                    <w:spacing w:val="60"/>
                                  </w:rPr>
                                  <w:t>号</w:t>
                                </w:r>
                              </w:p>
                            </w:sdtContent>
                          </w:sdt>
                          <w:p w:rsidR="00250CD1" w:rsidRDefault="00250CD1">
                            <w:pPr>
                              <w:pStyle w:val="a4"/>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rsidR="00250CD1" w:rsidRDefault="00250CD1">
                            <w:pPr>
                              <w:pStyle w:val="a5"/>
                              <w:rPr>
                                <w:color w:val="FFFFFF" w:themeColor="background1"/>
                              </w:rPr>
                            </w:pPr>
                            <w:r>
                              <w:rPr>
                                <w:color w:val="FFFFFF" w:themeColor="background1"/>
                                <w:lang w:val="zh-CN"/>
                              </w:rPr>
                              <w:t xml:space="preserve"> </w:t>
                            </w:r>
                            <w:r>
                              <w:fldChar w:fldCharType="begin"/>
                            </w:r>
                            <w:r>
                              <w:instrText>PAGE   \* MERGEFORMAT</w:instrText>
                            </w:r>
                            <w:r>
                              <w:fldChar w:fldCharType="separate"/>
                            </w:r>
                            <w:r w:rsidR="00151BAE" w:rsidRPr="00151BAE">
                              <w:rPr>
                                <w:noProof/>
                                <w:color w:val="FFFFFF" w:themeColor="background1"/>
                                <w:lang w:val="zh-CN"/>
                              </w:rPr>
                              <w:t>5</w:t>
                            </w:r>
                            <w:r>
                              <w:rPr>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 156" o:spid="_x0000_s1026" style="position:absolute;margin-left:0;margin-top:0;width:580.0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">
              <v:rect id="Rectangle 157"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4KMcA&#10;AADcAAAADwAAAGRycy9kb3ducmV2LnhtbESPQWvCQBSE7wX/w/KE3uqmHoJEVymhgmipNe2hvT2y&#10;z2xo9m3Irknqr3cLhR6HmfmGWW1G24ieOl87VvA4S0AQl07XXCn4eN8+LED4gKyxcUwKfsjDZj25&#10;W2Gm3cAn6otQiQhhn6ECE0KbSelLQxb9zLXE0Tu7zmKIsquk7nCIcNvIeZKk0mLNccFgS7mh8ru4&#10;WAWf++L18GZe+iHPvy7P1+ZYyPKs1P10fFqCCDSG//Bfe6cVzNMUfs/EIy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uCjHAAAA3AAAAA8AAAAAAAAAAAAAAAAAmAIAAGRy&#10;cy9kb3ducmV2LnhtbFBLBQYAAAAABAAEAPUAAACMAwAAAAA=&#10;" fillcolor="#943634 [2405]" stroked="f" strokecolor="#943634">
                <v:textbox>
                  <w:txbxContent>
                    <w:sdt>
                      <w:sdtPr>
                        <w:rPr>
                          <w:color w:val="FFFFFF" w:themeColor="background1"/>
                          <w:spacing w:val="60"/>
                        </w:rPr>
                        <w:alias w:val="地址"/>
                        <w:id w:val="79885540"/>
                        <w:dataBinding w:prefixMappings="xmlns:ns0='http://schemas.microsoft.com/office/2006/coverPageProps'" w:xpath="/ns0:CoverPageProperties[1]/ns0:CompanyAddress[1]" w:storeItemID="{55AF091B-3C7A-41E3-B477-F2FDAA23CFDA}"/>
                        <w:text w:multiLine="1"/>
                      </w:sdtPr>
                      <w:sdtEndPr/>
                      <w:sdtContent>
                        <w:p w:rsidR="00250CD1" w:rsidRDefault="00250CD1">
                          <w:pPr>
                            <w:pStyle w:val="a5"/>
                            <w:jc w:val="right"/>
                            <w:rPr>
                              <w:color w:val="FFFFFF" w:themeColor="background1"/>
                              <w:spacing w:val="60"/>
                            </w:rPr>
                          </w:pPr>
                          <w:r>
                            <w:rPr>
                              <w:rFonts w:hint="eastAsia"/>
                              <w:color w:val="FFFFFF" w:themeColor="background1"/>
                              <w:spacing w:val="60"/>
                            </w:rPr>
                            <w:t>广州市海珠区</w:t>
                          </w:r>
                          <w:proofErr w:type="gramStart"/>
                          <w:r>
                            <w:rPr>
                              <w:rFonts w:hint="eastAsia"/>
                              <w:color w:val="FFFFFF" w:themeColor="background1"/>
                              <w:spacing w:val="60"/>
                            </w:rPr>
                            <w:t>琶</w:t>
                          </w:r>
                          <w:proofErr w:type="gramEnd"/>
                          <w:r>
                            <w:rPr>
                              <w:rFonts w:hint="eastAsia"/>
                              <w:color w:val="FFFFFF" w:themeColor="background1"/>
                              <w:spacing w:val="60"/>
                            </w:rPr>
                            <w:t>洲保利世贸大厦</w:t>
                          </w:r>
                          <w:r>
                            <w:rPr>
                              <w:rFonts w:hint="eastAsia"/>
                              <w:color w:val="FFFFFF" w:themeColor="background1"/>
                              <w:spacing w:val="60"/>
                            </w:rPr>
                            <w:t>1000</w:t>
                          </w:r>
                          <w:r>
                            <w:rPr>
                              <w:rFonts w:hint="eastAsia"/>
                              <w:color w:val="FFFFFF" w:themeColor="background1"/>
                              <w:spacing w:val="60"/>
                            </w:rPr>
                            <w:t>号</w:t>
                          </w:r>
                        </w:p>
                      </w:sdtContent>
                    </w:sdt>
                    <w:p w:rsidR="00250CD1" w:rsidRDefault="00250CD1">
                      <w:pPr>
                        <w:pStyle w:val="a4"/>
                        <w:rPr>
                          <w:color w:val="FFFFFF" w:themeColor="background1"/>
                        </w:rPr>
                      </w:pPr>
                    </w:p>
                  </w:txbxContent>
                </v:textbox>
              </v:rect>
              <v:rect id="Rectangle 158"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y8cMA&#10;AADcAAAADwAAAGRycy9kb3ducmV2LnhtbESPwWrDMBBE74H+g9hAb7GcQN3iWglJwNBbaWrIdbE2&#10;trG1MpJqO/36qlDocZiZN0xxWMwgJnK+s6xgm6QgiGurO24UVJ/l5gWED8gaB8uk4E4eDvuHVYG5&#10;tjN/0HQJjYgQ9jkqaEMYcyl93ZJBn9iROHo36wyGKF0jtcM5ws0gd2maSYMdx4UWRzq3VPeXL6PA&#10;DFTqXnPvqvdr/5R9n8rKn5R6XC/HVxCBlvAf/mu/aQW77Bl+z8Qj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xy8cMAAADcAAAADwAAAAAAAAAAAAAAAACYAgAAZHJzL2Rv&#10;d25yZXYueG1sUEsFBgAAAAAEAAQA9QAAAIgDAAAAAA==&#10;" fillcolor="#943634 [2405]" stroked="f">
                <v:textbox>
                  <w:txbxContent>
                    <w:p w:rsidR="00250CD1" w:rsidRDefault="00250CD1">
                      <w:pPr>
                        <w:pStyle w:val="a5"/>
                        <w:rPr>
                          <w:color w:val="FFFFFF" w:themeColor="background1"/>
                        </w:rPr>
                      </w:pPr>
                      <w:r>
                        <w:rPr>
                          <w:color w:val="FFFFFF" w:themeColor="background1"/>
                          <w:lang w:val="zh-CN"/>
                        </w:rPr>
                        <w:t xml:space="preserve"> </w:t>
                      </w:r>
                      <w:r>
                        <w:fldChar w:fldCharType="begin"/>
                      </w:r>
                      <w:r>
                        <w:instrText>PAGE   \* MERGEFORMAT</w:instrText>
                      </w:r>
                      <w:r>
                        <w:fldChar w:fldCharType="separate"/>
                      </w:r>
                      <w:r w:rsidR="00151BAE" w:rsidRPr="00151BAE">
                        <w:rPr>
                          <w:noProof/>
                          <w:color w:val="FFFFFF" w:themeColor="background1"/>
                          <w:lang w:val="zh-CN"/>
                        </w:rPr>
                        <w:t>5</w:t>
                      </w:r>
                      <w:r>
                        <w:rPr>
                          <w:color w:val="FFFFFF" w:themeColor="background1"/>
                        </w:rPr>
                        <w:fldChar w:fldCharType="end"/>
                      </w:r>
                    </w:p>
                  </w:txbxContent>
                </v:textbox>
              </v:rect>
              <v:rect id="Rectangle 159"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page" anchory="line"/>
            </v:group>
          </w:pict>
        </mc:Fallback>
      </mc:AlternateContent>
    </w:r>
  </w:p>
  <w:p w:rsidR="00250CD1" w:rsidRDefault="00250C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955" w:rsidRDefault="00171955" w:rsidP="00A65BAA">
      <w:r>
        <w:separator/>
      </w:r>
    </w:p>
  </w:footnote>
  <w:footnote w:type="continuationSeparator" w:id="0">
    <w:p w:rsidR="00171955" w:rsidRDefault="00171955" w:rsidP="00A65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C5B"/>
    <w:rsid w:val="00021AAA"/>
    <w:rsid w:val="0003191C"/>
    <w:rsid w:val="00056B98"/>
    <w:rsid w:val="00066A75"/>
    <w:rsid w:val="000818B2"/>
    <w:rsid w:val="00151BAE"/>
    <w:rsid w:val="00171955"/>
    <w:rsid w:val="00196636"/>
    <w:rsid w:val="001D49DD"/>
    <w:rsid w:val="00206101"/>
    <w:rsid w:val="00230FA9"/>
    <w:rsid w:val="00250CD1"/>
    <w:rsid w:val="002E6697"/>
    <w:rsid w:val="0031406E"/>
    <w:rsid w:val="0032121F"/>
    <w:rsid w:val="003338F3"/>
    <w:rsid w:val="0036633F"/>
    <w:rsid w:val="003B5CAA"/>
    <w:rsid w:val="003E55E4"/>
    <w:rsid w:val="00472978"/>
    <w:rsid w:val="004C4683"/>
    <w:rsid w:val="00573D22"/>
    <w:rsid w:val="005C0683"/>
    <w:rsid w:val="005C6952"/>
    <w:rsid w:val="005F6A3B"/>
    <w:rsid w:val="006307E4"/>
    <w:rsid w:val="00642C5B"/>
    <w:rsid w:val="00646CBC"/>
    <w:rsid w:val="00663FE4"/>
    <w:rsid w:val="00687141"/>
    <w:rsid w:val="00694FA1"/>
    <w:rsid w:val="00733407"/>
    <w:rsid w:val="00752246"/>
    <w:rsid w:val="00771117"/>
    <w:rsid w:val="0087024C"/>
    <w:rsid w:val="008B5AB3"/>
    <w:rsid w:val="008F3010"/>
    <w:rsid w:val="009308E1"/>
    <w:rsid w:val="00A41BFB"/>
    <w:rsid w:val="00A46DFC"/>
    <w:rsid w:val="00A65BAA"/>
    <w:rsid w:val="00AD555D"/>
    <w:rsid w:val="00AE1260"/>
    <w:rsid w:val="00B150D8"/>
    <w:rsid w:val="00B52D8F"/>
    <w:rsid w:val="00B6405A"/>
    <w:rsid w:val="00B909DD"/>
    <w:rsid w:val="00BF7863"/>
    <w:rsid w:val="00C63C7D"/>
    <w:rsid w:val="00C8344B"/>
    <w:rsid w:val="00C845A1"/>
    <w:rsid w:val="00CB2A90"/>
    <w:rsid w:val="00D359A1"/>
    <w:rsid w:val="00D961C0"/>
    <w:rsid w:val="00E454AB"/>
    <w:rsid w:val="00E6419A"/>
    <w:rsid w:val="00F43519"/>
    <w:rsid w:val="00F65D35"/>
    <w:rsid w:val="00FA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A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65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65BAA"/>
    <w:rPr>
      <w:sz w:val="18"/>
      <w:szCs w:val="18"/>
    </w:rPr>
  </w:style>
  <w:style w:type="paragraph" w:styleId="a5">
    <w:name w:val="footer"/>
    <w:basedOn w:val="a"/>
    <w:link w:val="Char0"/>
    <w:uiPriority w:val="99"/>
    <w:unhideWhenUsed/>
    <w:rsid w:val="00A65BAA"/>
    <w:pPr>
      <w:tabs>
        <w:tab w:val="center" w:pos="4153"/>
        <w:tab w:val="right" w:pos="8306"/>
      </w:tabs>
      <w:snapToGrid w:val="0"/>
      <w:jc w:val="left"/>
    </w:pPr>
    <w:rPr>
      <w:sz w:val="18"/>
      <w:szCs w:val="18"/>
    </w:rPr>
  </w:style>
  <w:style w:type="character" w:customStyle="1" w:styleId="Char0">
    <w:name w:val="页脚 Char"/>
    <w:basedOn w:val="a0"/>
    <w:link w:val="a5"/>
    <w:uiPriority w:val="99"/>
    <w:rsid w:val="00A65BAA"/>
    <w:rPr>
      <w:sz w:val="18"/>
      <w:szCs w:val="18"/>
    </w:rPr>
  </w:style>
  <w:style w:type="paragraph" w:styleId="a6">
    <w:name w:val="Balloon Text"/>
    <w:basedOn w:val="a"/>
    <w:link w:val="Char1"/>
    <w:uiPriority w:val="99"/>
    <w:semiHidden/>
    <w:unhideWhenUsed/>
    <w:rsid w:val="00C8344B"/>
    <w:rPr>
      <w:sz w:val="18"/>
      <w:szCs w:val="18"/>
    </w:rPr>
  </w:style>
  <w:style w:type="character" w:customStyle="1" w:styleId="Char1">
    <w:name w:val="批注框文本 Char"/>
    <w:basedOn w:val="a0"/>
    <w:link w:val="a6"/>
    <w:uiPriority w:val="99"/>
    <w:semiHidden/>
    <w:rsid w:val="00C8344B"/>
    <w:rPr>
      <w:sz w:val="18"/>
      <w:szCs w:val="18"/>
    </w:rPr>
  </w:style>
  <w:style w:type="table" w:styleId="a7">
    <w:name w:val="Table Grid"/>
    <w:basedOn w:val="a1"/>
    <w:uiPriority w:val="59"/>
    <w:rsid w:val="00AD5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A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65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65BAA"/>
    <w:rPr>
      <w:sz w:val="18"/>
      <w:szCs w:val="18"/>
    </w:rPr>
  </w:style>
  <w:style w:type="paragraph" w:styleId="a5">
    <w:name w:val="footer"/>
    <w:basedOn w:val="a"/>
    <w:link w:val="Char0"/>
    <w:uiPriority w:val="99"/>
    <w:unhideWhenUsed/>
    <w:rsid w:val="00A65BAA"/>
    <w:pPr>
      <w:tabs>
        <w:tab w:val="center" w:pos="4153"/>
        <w:tab w:val="right" w:pos="8306"/>
      </w:tabs>
      <w:snapToGrid w:val="0"/>
      <w:jc w:val="left"/>
    </w:pPr>
    <w:rPr>
      <w:sz w:val="18"/>
      <w:szCs w:val="18"/>
    </w:rPr>
  </w:style>
  <w:style w:type="character" w:customStyle="1" w:styleId="Char0">
    <w:name w:val="页脚 Char"/>
    <w:basedOn w:val="a0"/>
    <w:link w:val="a5"/>
    <w:uiPriority w:val="99"/>
    <w:rsid w:val="00A65BAA"/>
    <w:rPr>
      <w:sz w:val="18"/>
      <w:szCs w:val="18"/>
    </w:rPr>
  </w:style>
  <w:style w:type="paragraph" w:styleId="a6">
    <w:name w:val="Balloon Text"/>
    <w:basedOn w:val="a"/>
    <w:link w:val="Char1"/>
    <w:uiPriority w:val="99"/>
    <w:semiHidden/>
    <w:unhideWhenUsed/>
    <w:rsid w:val="00C8344B"/>
    <w:rPr>
      <w:sz w:val="18"/>
      <w:szCs w:val="18"/>
    </w:rPr>
  </w:style>
  <w:style w:type="character" w:customStyle="1" w:styleId="Char1">
    <w:name w:val="批注框文本 Char"/>
    <w:basedOn w:val="a0"/>
    <w:link w:val="a6"/>
    <w:uiPriority w:val="99"/>
    <w:semiHidden/>
    <w:rsid w:val="00C8344B"/>
    <w:rPr>
      <w:sz w:val="18"/>
      <w:szCs w:val="18"/>
    </w:rPr>
  </w:style>
  <w:style w:type="table" w:styleId="a7">
    <w:name w:val="Table Grid"/>
    <w:basedOn w:val="a1"/>
    <w:uiPriority w:val="59"/>
    <w:rsid w:val="00AD5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2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生铁产量（万吨）</c:v>
                </c:pt>
              </c:strCache>
            </c:strRef>
          </c:tx>
          <c:invertIfNegative val="0"/>
          <c:cat>
            <c:numRef>
              <c:f>Sheet1!$A$2:$A$12</c:f>
              <c:numCache>
                <c:formatCode>yyyy\-mm;@</c:formatCode>
                <c:ptCount val="11"/>
                <c:pt idx="0">
                  <c:v>41729</c:v>
                </c:pt>
                <c:pt idx="1">
                  <c:v>41759</c:v>
                </c:pt>
                <c:pt idx="2">
                  <c:v>41790</c:v>
                </c:pt>
                <c:pt idx="3">
                  <c:v>41820</c:v>
                </c:pt>
                <c:pt idx="4">
                  <c:v>41851</c:v>
                </c:pt>
                <c:pt idx="5">
                  <c:v>41882</c:v>
                </c:pt>
                <c:pt idx="6">
                  <c:v>41912</c:v>
                </c:pt>
                <c:pt idx="7">
                  <c:v>41943</c:v>
                </c:pt>
                <c:pt idx="8">
                  <c:v>41973</c:v>
                </c:pt>
              </c:numCache>
            </c:numRef>
          </c:cat>
          <c:val>
            <c:numRef>
              <c:f>Sheet1!$B$2:$B$12</c:f>
              <c:numCache>
                <c:formatCode>###,###,###,###,##0.00_ </c:formatCode>
                <c:ptCount val="11"/>
                <c:pt idx="0">
                  <c:v>6154.5</c:v>
                </c:pt>
                <c:pt idx="1">
                  <c:v>6017.5214999999998</c:v>
                </c:pt>
                <c:pt idx="2">
                  <c:v>6151.8100999999997</c:v>
                </c:pt>
                <c:pt idx="3">
                  <c:v>6000.8010999999997</c:v>
                </c:pt>
                <c:pt idx="4">
                  <c:v>5974.7599</c:v>
                </c:pt>
                <c:pt idx="5">
                  <c:v>6032.6706000000004</c:v>
                </c:pt>
                <c:pt idx="6">
                  <c:v>5889.0668999999998</c:v>
                </c:pt>
                <c:pt idx="7">
                  <c:v>5701</c:v>
                </c:pt>
                <c:pt idx="8">
                  <c:v>5323</c:v>
                </c:pt>
              </c:numCache>
            </c:numRef>
          </c:val>
        </c:ser>
        <c:dLbls>
          <c:showLegendKey val="0"/>
          <c:showVal val="0"/>
          <c:showCatName val="0"/>
          <c:showSerName val="0"/>
          <c:showPercent val="0"/>
          <c:showBubbleSize val="0"/>
        </c:dLbls>
        <c:gapWidth val="150"/>
        <c:axId val="79440512"/>
        <c:axId val="141933952"/>
      </c:barChart>
      <c:lineChart>
        <c:grouping val="standard"/>
        <c:varyColors val="0"/>
        <c:ser>
          <c:idx val="1"/>
          <c:order val="1"/>
          <c:tx>
            <c:strRef>
              <c:f>Sheet1!$C$1</c:f>
              <c:strCache>
                <c:ptCount val="1"/>
                <c:pt idx="0">
                  <c:v>同比</c:v>
                </c:pt>
              </c:strCache>
            </c:strRef>
          </c:tx>
          <c:marker>
            <c:symbol val="none"/>
          </c:marker>
          <c:cat>
            <c:numRef>
              <c:f>Sheet1!$A$2:$A$12</c:f>
              <c:numCache>
                <c:formatCode>yyyy\-mm;@</c:formatCode>
                <c:ptCount val="11"/>
                <c:pt idx="0">
                  <c:v>41729</c:v>
                </c:pt>
                <c:pt idx="1">
                  <c:v>41759</c:v>
                </c:pt>
                <c:pt idx="2">
                  <c:v>41790</c:v>
                </c:pt>
                <c:pt idx="3">
                  <c:v>41820</c:v>
                </c:pt>
                <c:pt idx="4">
                  <c:v>41851</c:v>
                </c:pt>
                <c:pt idx="5">
                  <c:v>41882</c:v>
                </c:pt>
                <c:pt idx="6">
                  <c:v>41912</c:v>
                </c:pt>
                <c:pt idx="7">
                  <c:v>41943</c:v>
                </c:pt>
                <c:pt idx="8">
                  <c:v>41973</c:v>
                </c:pt>
              </c:numCache>
            </c:numRef>
          </c:cat>
          <c:val>
            <c:numRef>
              <c:f>Sheet1!$C$2:$C$12</c:f>
              <c:numCache>
                <c:formatCode>###,###,###,###,##0.00_ </c:formatCode>
                <c:ptCount val="11"/>
                <c:pt idx="0">
                  <c:v>-0.125</c:v>
                </c:pt>
                <c:pt idx="1">
                  <c:v>-0.78610000000000002</c:v>
                </c:pt>
                <c:pt idx="2">
                  <c:v>0.63260000000000005</c:v>
                </c:pt>
                <c:pt idx="3">
                  <c:v>2.8601000000000001</c:v>
                </c:pt>
                <c:pt idx="4">
                  <c:v>-0.4556</c:v>
                </c:pt>
                <c:pt idx="5">
                  <c:v>0.67759999999999998</c:v>
                </c:pt>
                <c:pt idx="6">
                  <c:v>-0.25109999999999999</c:v>
                </c:pt>
                <c:pt idx="7">
                  <c:v>-2.9679000000000002</c:v>
                </c:pt>
                <c:pt idx="8">
                  <c:v>0.628</c:v>
                </c:pt>
              </c:numCache>
            </c:numRef>
          </c:val>
          <c:smooth val="0"/>
        </c:ser>
        <c:dLbls>
          <c:showLegendKey val="0"/>
          <c:showVal val="0"/>
          <c:showCatName val="0"/>
          <c:showSerName val="0"/>
          <c:showPercent val="0"/>
          <c:showBubbleSize val="0"/>
        </c:dLbls>
        <c:marker val="1"/>
        <c:smooth val="0"/>
        <c:axId val="258217472"/>
        <c:axId val="212393344"/>
      </c:lineChart>
      <c:dateAx>
        <c:axId val="79440512"/>
        <c:scaling>
          <c:orientation val="minMax"/>
        </c:scaling>
        <c:delete val="0"/>
        <c:axPos val="b"/>
        <c:numFmt formatCode="yyyy\-mm;@" sourceLinked="1"/>
        <c:majorTickMark val="out"/>
        <c:minorTickMark val="none"/>
        <c:tickLblPos val="nextTo"/>
        <c:crossAx val="141933952"/>
        <c:crosses val="autoZero"/>
        <c:auto val="1"/>
        <c:lblOffset val="100"/>
        <c:baseTimeUnit val="months"/>
      </c:dateAx>
      <c:valAx>
        <c:axId val="141933952"/>
        <c:scaling>
          <c:orientation val="minMax"/>
        </c:scaling>
        <c:delete val="0"/>
        <c:axPos val="l"/>
        <c:majorGridlines/>
        <c:numFmt formatCode="###,###,###,###,##0.00_ " sourceLinked="1"/>
        <c:majorTickMark val="out"/>
        <c:minorTickMark val="none"/>
        <c:tickLblPos val="nextTo"/>
        <c:crossAx val="79440512"/>
        <c:crosses val="autoZero"/>
        <c:crossBetween val="between"/>
      </c:valAx>
      <c:valAx>
        <c:axId val="212393344"/>
        <c:scaling>
          <c:orientation val="minMax"/>
        </c:scaling>
        <c:delete val="0"/>
        <c:axPos val="r"/>
        <c:numFmt formatCode="###,###,###,###,##0.00_ " sourceLinked="1"/>
        <c:majorTickMark val="out"/>
        <c:minorTickMark val="none"/>
        <c:tickLblPos val="nextTo"/>
        <c:crossAx val="258217472"/>
        <c:crosses val="max"/>
        <c:crossBetween val="between"/>
      </c:valAx>
      <c:dateAx>
        <c:axId val="258217472"/>
        <c:scaling>
          <c:orientation val="minMax"/>
        </c:scaling>
        <c:delete val="1"/>
        <c:axPos val="b"/>
        <c:numFmt formatCode="yyyy\-mm;@" sourceLinked="1"/>
        <c:majorTickMark val="out"/>
        <c:minorTickMark val="none"/>
        <c:tickLblPos val="nextTo"/>
        <c:crossAx val="212393344"/>
        <c:crosses val="autoZero"/>
        <c:auto val="1"/>
        <c:lblOffset val="100"/>
        <c:baseTimeUnit val="months"/>
      </c:date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铁矿石:港口合计（万吨）</c:v>
                </c:pt>
              </c:strCache>
            </c:strRef>
          </c:tx>
          <c:invertIfNegative val="0"/>
          <c:cat>
            <c:numRef>
              <c:f>Sheet1!$A$2:$A$52</c:f>
              <c:numCache>
                <c:formatCode>yyyy\-mm\-dd;@</c:formatCode>
                <c:ptCount val="51"/>
                <c:pt idx="0">
                  <c:v>41642</c:v>
                </c:pt>
                <c:pt idx="1">
                  <c:v>41649</c:v>
                </c:pt>
                <c:pt idx="2">
                  <c:v>41656</c:v>
                </c:pt>
                <c:pt idx="3">
                  <c:v>41663</c:v>
                </c:pt>
                <c:pt idx="4">
                  <c:v>41677</c:v>
                </c:pt>
                <c:pt idx="5">
                  <c:v>41684</c:v>
                </c:pt>
                <c:pt idx="6">
                  <c:v>41691</c:v>
                </c:pt>
                <c:pt idx="7">
                  <c:v>41698</c:v>
                </c:pt>
                <c:pt idx="8">
                  <c:v>41705</c:v>
                </c:pt>
                <c:pt idx="9">
                  <c:v>41712</c:v>
                </c:pt>
                <c:pt idx="10">
                  <c:v>41719</c:v>
                </c:pt>
                <c:pt idx="11">
                  <c:v>41726</c:v>
                </c:pt>
                <c:pt idx="12">
                  <c:v>41733</c:v>
                </c:pt>
                <c:pt idx="13">
                  <c:v>41740</c:v>
                </c:pt>
                <c:pt idx="14">
                  <c:v>41747</c:v>
                </c:pt>
                <c:pt idx="15">
                  <c:v>41754</c:v>
                </c:pt>
                <c:pt idx="16">
                  <c:v>41761</c:v>
                </c:pt>
                <c:pt idx="17">
                  <c:v>41768</c:v>
                </c:pt>
                <c:pt idx="18">
                  <c:v>41775</c:v>
                </c:pt>
                <c:pt idx="19">
                  <c:v>41782</c:v>
                </c:pt>
                <c:pt idx="20">
                  <c:v>41789</c:v>
                </c:pt>
                <c:pt idx="21">
                  <c:v>41796</c:v>
                </c:pt>
                <c:pt idx="22">
                  <c:v>41803</c:v>
                </c:pt>
                <c:pt idx="23">
                  <c:v>41810</c:v>
                </c:pt>
                <c:pt idx="24">
                  <c:v>41817</c:v>
                </c:pt>
                <c:pt idx="25">
                  <c:v>41824</c:v>
                </c:pt>
                <c:pt idx="26">
                  <c:v>41831</c:v>
                </c:pt>
                <c:pt idx="27">
                  <c:v>41838</c:v>
                </c:pt>
                <c:pt idx="28">
                  <c:v>41845</c:v>
                </c:pt>
                <c:pt idx="29">
                  <c:v>41852</c:v>
                </c:pt>
                <c:pt idx="30">
                  <c:v>41859</c:v>
                </c:pt>
                <c:pt idx="31">
                  <c:v>41866</c:v>
                </c:pt>
                <c:pt idx="32">
                  <c:v>41873</c:v>
                </c:pt>
                <c:pt idx="33">
                  <c:v>41880</c:v>
                </c:pt>
                <c:pt idx="34">
                  <c:v>41887</c:v>
                </c:pt>
                <c:pt idx="35">
                  <c:v>41894</c:v>
                </c:pt>
                <c:pt idx="36">
                  <c:v>41901</c:v>
                </c:pt>
                <c:pt idx="37">
                  <c:v>41908</c:v>
                </c:pt>
                <c:pt idx="38">
                  <c:v>41922</c:v>
                </c:pt>
                <c:pt idx="39">
                  <c:v>41929</c:v>
                </c:pt>
                <c:pt idx="40">
                  <c:v>41936</c:v>
                </c:pt>
                <c:pt idx="41">
                  <c:v>41943</c:v>
                </c:pt>
                <c:pt idx="42">
                  <c:v>41950</c:v>
                </c:pt>
                <c:pt idx="43">
                  <c:v>41957</c:v>
                </c:pt>
                <c:pt idx="44">
                  <c:v>41964</c:v>
                </c:pt>
                <c:pt idx="45">
                  <c:v>41971</c:v>
                </c:pt>
                <c:pt idx="46">
                  <c:v>41978</c:v>
                </c:pt>
                <c:pt idx="47">
                  <c:v>41985</c:v>
                </c:pt>
              </c:numCache>
            </c:numRef>
          </c:cat>
          <c:val>
            <c:numRef>
              <c:f>Sheet1!$B$2:$B$52</c:f>
              <c:numCache>
                <c:formatCode>###,###,###,###,##0.00_ </c:formatCode>
                <c:ptCount val="51"/>
                <c:pt idx="0">
                  <c:v>8930</c:v>
                </c:pt>
                <c:pt idx="1">
                  <c:v>9144</c:v>
                </c:pt>
                <c:pt idx="2">
                  <c:v>9609</c:v>
                </c:pt>
                <c:pt idx="3">
                  <c:v>9812</c:v>
                </c:pt>
                <c:pt idx="4">
                  <c:v>10286</c:v>
                </c:pt>
                <c:pt idx="5">
                  <c:v>10612</c:v>
                </c:pt>
                <c:pt idx="6">
                  <c:v>10720</c:v>
                </c:pt>
                <c:pt idx="7">
                  <c:v>10601</c:v>
                </c:pt>
                <c:pt idx="8">
                  <c:v>10857</c:v>
                </c:pt>
                <c:pt idx="9">
                  <c:v>11065</c:v>
                </c:pt>
                <c:pt idx="10">
                  <c:v>11193</c:v>
                </c:pt>
                <c:pt idx="11">
                  <c:v>11158</c:v>
                </c:pt>
                <c:pt idx="12">
                  <c:v>11102</c:v>
                </c:pt>
                <c:pt idx="13">
                  <c:v>11165</c:v>
                </c:pt>
                <c:pt idx="14">
                  <c:v>11058</c:v>
                </c:pt>
                <c:pt idx="15">
                  <c:v>11263</c:v>
                </c:pt>
                <c:pt idx="16">
                  <c:v>11306</c:v>
                </c:pt>
                <c:pt idx="17">
                  <c:v>11260</c:v>
                </c:pt>
                <c:pt idx="18">
                  <c:v>11475</c:v>
                </c:pt>
                <c:pt idx="19">
                  <c:v>11535</c:v>
                </c:pt>
                <c:pt idx="20">
                  <c:v>11588</c:v>
                </c:pt>
                <c:pt idx="21">
                  <c:v>11576</c:v>
                </c:pt>
                <c:pt idx="22">
                  <c:v>11570</c:v>
                </c:pt>
                <c:pt idx="23">
                  <c:v>11621</c:v>
                </c:pt>
                <c:pt idx="24">
                  <c:v>11481</c:v>
                </c:pt>
                <c:pt idx="25">
                  <c:v>11618</c:v>
                </c:pt>
                <c:pt idx="26">
                  <c:v>11616</c:v>
                </c:pt>
                <c:pt idx="27">
                  <c:v>11546</c:v>
                </c:pt>
                <c:pt idx="28">
                  <c:v>11345</c:v>
                </c:pt>
                <c:pt idx="29">
                  <c:v>11333</c:v>
                </c:pt>
                <c:pt idx="30">
                  <c:v>11189</c:v>
                </c:pt>
                <c:pt idx="31">
                  <c:v>11067</c:v>
                </c:pt>
                <c:pt idx="32">
                  <c:v>11080</c:v>
                </c:pt>
                <c:pt idx="33">
                  <c:v>11237</c:v>
                </c:pt>
                <c:pt idx="34">
                  <c:v>11269</c:v>
                </c:pt>
                <c:pt idx="35">
                  <c:v>11341</c:v>
                </c:pt>
                <c:pt idx="36">
                  <c:v>11370</c:v>
                </c:pt>
                <c:pt idx="37">
                  <c:v>11069</c:v>
                </c:pt>
                <c:pt idx="38">
                  <c:v>10851</c:v>
                </c:pt>
                <c:pt idx="39">
                  <c:v>10658</c:v>
                </c:pt>
                <c:pt idx="40">
                  <c:v>10581</c:v>
                </c:pt>
                <c:pt idx="41">
                  <c:v>10718</c:v>
                </c:pt>
                <c:pt idx="42">
                  <c:v>10624</c:v>
                </c:pt>
                <c:pt idx="43">
                  <c:v>10743</c:v>
                </c:pt>
                <c:pt idx="44">
                  <c:v>10805</c:v>
                </c:pt>
                <c:pt idx="45">
                  <c:v>10689</c:v>
                </c:pt>
                <c:pt idx="46">
                  <c:v>10503</c:v>
                </c:pt>
                <c:pt idx="47">
                  <c:v>10489</c:v>
                </c:pt>
              </c:numCache>
            </c:numRef>
          </c:val>
        </c:ser>
        <c:dLbls>
          <c:showLegendKey val="0"/>
          <c:showVal val="0"/>
          <c:showCatName val="0"/>
          <c:showSerName val="0"/>
          <c:showPercent val="0"/>
          <c:showBubbleSize val="0"/>
        </c:dLbls>
        <c:gapWidth val="150"/>
        <c:axId val="298251008"/>
        <c:axId val="298252544"/>
      </c:barChart>
      <c:lineChart>
        <c:grouping val="standard"/>
        <c:varyColors val="0"/>
        <c:ser>
          <c:idx val="1"/>
          <c:order val="1"/>
          <c:tx>
            <c:strRef>
              <c:f>Sheet1!$C$1</c:f>
              <c:strCache>
                <c:ptCount val="1"/>
                <c:pt idx="0">
                  <c:v>国内钢厂进口矿可用天数</c:v>
                </c:pt>
              </c:strCache>
            </c:strRef>
          </c:tx>
          <c:marker>
            <c:symbol val="none"/>
          </c:marker>
          <c:cat>
            <c:numRef>
              <c:f>Sheet1!$A$2:$A$52</c:f>
              <c:numCache>
                <c:formatCode>yyyy\-mm\-dd;@</c:formatCode>
                <c:ptCount val="51"/>
                <c:pt idx="0">
                  <c:v>41642</c:v>
                </c:pt>
                <c:pt idx="1">
                  <c:v>41649</c:v>
                </c:pt>
                <c:pt idx="2">
                  <c:v>41656</c:v>
                </c:pt>
                <c:pt idx="3">
                  <c:v>41663</c:v>
                </c:pt>
                <c:pt idx="4">
                  <c:v>41677</c:v>
                </c:pt>
                <c:pt idx="5">
                  <c:v>41684</c:v>
                </c:pt>
                <c:pt idx="6">
                  <c:v>41691</c:v>
                </c:pt>
                <c:pt idx="7">
                  <c:v>41698</c:v>
                </c:pt>
                <c:pt idx="8">
                  <c:v>41705</c:v>
                </c:pt>
                <c:pt idx="9">
                  <c:v>41712</c:v>
                </c:pt>
                <c:pt idx="10">
                  <c:v>41719</c:v>
                </c:pt>
                <c:pt idx="11">
                  <c:v>41726</c:v>
                </c:pt>
                <c:pt idx="12">
                  <c:v>41733</c:v>
                </c:pt>
                <c:pt idx="13">
                  <c:v>41740</c:v>
                </c:pt>
                <c:pt idx="14">
                  <c:v>41747</c:v>
                </c:pt>
                <c:pt idx="15">
                  <c:v>41754</c:v>
                </c:pt>
                <c:pt idx="16">
                  <c:v>41761</c:v>
                </c:pt>
                <c:pt idx="17">
                  <c:v>41768</c:v>
                </c:pt>
                <c:pt idx="18">
                  <c:v>41775</c:v>
                </c:pt>
                <c:pt idx="19">
                  <c:v>41782</c:v>
                </c:pt>
                <c:pt idx="20">
                  <c:v>41789</c:v>
                </c:pt>
                <c:pt idx="21">
                  <c:v>41796</c:v>
                </c:pt>
                <c:pt idx="22">
                  <c:v>41803</c:v>
                </c:pt>
                <c:pt idx="23">
                  <c:v>41810</c:v>
                </c:pt>
                <c:pt idx="24">
                  <c:v>41817</c:v>
                </c:pt>
                <c:pt idx="25">
                  <c:v>41824</c:v>
                </c:pt>
                <c:pt idx="26">
                  <c:v>41831</c:v>
                </c:pt>
                <c:pt idx="27">
                  <c:v>41838</c:v>
                </c:pt>
                <c:pt idx="28">
                  <c:v>41845</c:v>
                </c:pt>
                <c:pt idx="29">
                  <c:v>41852</c:v>
                </c:pt>
                <c:pt idx="30">
                  <c:v>41859</c:v>
                </c:pt>
                <c:pt idx="31">
                  <c:v>41866</c:v>
                </c:pt>
                <c:pt idx="32">
                  <c:v>41873</c:v>
                </c:pt>
                <c:pt idx="33">
                  <c:v>41880</c:v>
                </c:pt>
                <c:pt idx="34">
                  <c:v>41887</c:v>
                </c:pt>
                <c:pt idx="35">
                  <c:v>41894</c:v>
                </c:pt>
                <c:pt idx="36">
                  <c:v>41901</c:v>
                </c:pt>
                <c:pt idx="37">
                  <c:v>41908</c:v>
                </c:pt>
                <c:pt idx="38">
                  <c:v>41922</c:v>
                </c:pt>
                <c:pt idx="39">
                  <c:v>41929</c:v>
                </c:pt>
                <c:pt idx="40">
                  <c:v>41936</c:v>
                </c:pt>
                <c:pt idx="41">
                  <c:v>41943</c:v>
                </c:pt>
                <c:pt idx="42">
                  <c:v>41950</c:v>
                </c:pt>
                <c:pt idx="43">
                  <c:v>41957</c:v>
                </c:pt>
                <c:pt idx="44">
                  <c:v>41964</c:v>
                </c:pt>
                <c:pt idx="45">
                  <c:v>41971</c:v>
                </c:pt>
                <c:pt idx="46">
                  <c:v>41978</c:v>
                </c:pt>
                <c:pt idx="47">
                  <c:v>41985</c:v>
                </c:pt>
              </c:numCache>
            </c:numRef>
          </c:cat>
          <c:val>
            <c:numRef>
              <c:f>Sheet1!$C$2:$C$52</c:f>
              <c:numCache>
                <c:formatCode>###,###,###,###,##0.00_ </c:formatCode>
                <c:ptCount val="51"/>
                <c:pt idx="0">
                  <c:v>33</c:v>
                </c:pt>
                <c:pt idx="1">
                  <c:v>32</c:v>
                </c:pt>
                <c:pt idx="2">
                  <c:v>31</c:v>
                </c:pt>
                <c:pt idx="3">
                  <c:v>35</c:v>
                </c:pt>
                <c:pt idx="4">
                  <c:v>30</c:v>
                </c:pt>
                <c:pt idx="5">
                  <c:v>29</c:v>
                </c:pt>
                <c:pt idx="6">
                  <c:v>30</c:v>
                </c:pt>
                <c:pt idx="7">
                  <c:v>32</c:v>
                </c:pt>
                <c:pt idx="8">
                  <c:v>34</c:v>
                </c:pt>
                <c:pt idx="9">
                  <c:v>33</c:v>
                </c:pt>
                <c:pt idx="10">
                  <c:v>34</c:v>
                </c:pt>
                <c:pt idx="11">
                  <c:v>35</c:v>
                </c:pt>
                <c:pt idx="12">
                  <c:v>34</c:v>
                </c:pt>
                <c:pt idx="13">
                  <c:v>34</c:v>
                </c:pt>
                <c:pt idx="14">
                  <c:v>35</c:v>
                </c:pt>
                <c:pt idx="15">
                  <c:v>36</c:v>
                </c:pt>
                <c:pt idx="16">
                  <c:v>34</c:v>
                </c:pt>
                <c:pt idx="17">
                  <c:v>32</c:v>
                </c:pt>
                <c:pt idx="18">
                  <c:v>31</c:v>
                </c:pt>
                <c:pt idx="19">
                  <c:v>32</c:v>
                </c:pt>
                <c:pt idx="20">
                  <c:v>33</c:v>
                </c:pt>
                <c:pt idx="21">
                  <c:v>32</c:v>
                </c:pt>
                <c:pt idx="22">
                  <c:v>30</c:v>
                </c:pt>
                <c:pt idx="23">
                  <c:v>31</c:v>
                </c:pt>
                <c:pt idx="24">
                  <c:v>32</c:v>
                </c:pt>
                <c:pt idx="25">
                  <c:v>33</c:v>
                </c:pt>
                <c:pt idx="26">
                  <c:v>32</c:v>
                </c:pt>
                <c:pt idx="27">
                  <c:v>32</c:v>
                </c:pt>
                <c:pt idx="28">
                  <c:v>31</c:v>
                </c:pt>
                <c:pt idx="29">
                  <c:v>31</c:v>
                </c:pt>
                <c:pt idx="30">
                  <c:v>31</c:v>
                </c:pt>
                <c:pt idx="31">
                  <c:v>30</c:v>
                </c:pt>
                <c:pt idx="32">
                  <c:v>28</c:v>
                </c:pt>
                <c:pt idx="33">
                  <c:v>27</c:v>
                </c:pt>
                <c:pt idx="34">
                  <c:v>28</c:v>
                </c:pt>
                <c:pt idx="35">
                  <c:v>28</c:v>
                </c:pt>
                <c:pt idx="36">
                  <c:v>30</c:v>
                </c:pt>
                <c:pt idx="37">
                  <c:v>31</c:v>
                </c:pt>
                <c:pt idx="38">
                  <c:v>31</c:v>
                </c:pt>
                <c:pt idx="39">
                  <c:v>31</c:v>
                </c:pt>
                <c:pt idx="40">
                  <c:v>30</c:v>
                </c:pt>
                <c:pt idx="41">
                  <c:v>31</c:v>
                </c:pt>
                <c:pt idx="42">
                  <c:v>30</c:v>
                </c:pt>
                <c:pt idx="43">
                  <c:v>32</c:v>
                </c:pt>
                <c:pt idx="44">
                  <c:v>30</c:v>
                </c:pt>
                <c:pt idx="45" formatCode="General">
                  <c:v>30</c:v>
                </c:pt>
                <c:pt idx="46" formatCode="General">
                  <c:v>30</c:v>
                </c:pt>
                <c:pt idx="47">
                  <c:v>28</c:v>
                </c:pt>
              </c:numCache>
            </c:numRef>
          </c:val>
          <c:smooth val="0"/>
        </c:ser>
        <c:dLbls>
          <c:showLegendKey val="0"/>
          <c:showVal val="0"/>
          <c:showCatName val="0"/>
          <c:showSerName val="0"/>
          <c:showPercent val="0"/>
          <c:showBubbleSize val="0"/>
        </c:dLbls>
        <c:marker val="1"/>
        <c:smooth val="0"/>
        <c:axId val="327481600"/>
        <c:axId val="327479680"/>
      </c:lineChart>
      <c:dateAx>
        <c:axId val="298251008"/>
        <c:scaling>
          <c:orientation val="minMax"/>
        </c:scaling>
        <c:delete val="0"/>
        <c:axPos val="b"/>
        <c:numFmt formatCode="yyyy\-mm\-dd;@" sourceLinked="1"/>
        <c:majorTickMark val="out"/>
        <c:minorTickMark val="none"/>
        <c:tickLblPos val="nextTo"/>
        <c:crossAx val="298252544"/>
        <c:crosses val="autoZero"/>
        <c:auto val="1"/>
        <c:lblOffset val="100"/>
        <c:baseTimeUnit val="days"/>
      </c:dateAx>
      <c:valAx>
        <c:axId val="298252544"/>
        <c:scaling>
          <c:orientation val="minMax"/>
          <c:min val="7000"/>
        </c:scaling>
        <c:delete val="0"/>
        <c:axPos val="l"/>
        <c:majorGridlines/>
        <c:numFmt formatCode="###,###,###,###,##0.00_ " sourceLinked="1"/>
        <c:majorTickMark val="out"/>
        <c:minorTickMark val="none"/>
        <c:tickLblPos val="nextTo"/>
        <c:crossAx val="298251008"/>
        <c:crosses val="autoZero"/>
        <c:crossBetween val="between"/>
      </c:valAx>
      <c:valAx>
        <c:axId val="327479680"/>
        <c:scaling>
          <c:orientation val="minMax"/>
          <c:min val="20"/>
        </c:scaling>
        <c:delete val="0"/>
        <c:axPos val="r"/>
        <c:numFmt formatCode="###,###,###,###,##0.00_ " sourceLinked="1"/>
        <c:majorTickMark val="out"/>
        <c:minorTickMark val="none"/>
        <c:tickLblPos val="nextTo"/>
        <c:crossAx val="327481600"/>
        <c:crosses val="max"/>
        <c:crossBetween val="between"/>
      </c:valAx>
      <c:dateAx>
        <c:axId val="327481600"/>
        <c:scaling>
          <c:orientation val="minMax"/>
        </c:scaling>
        <c:delete val="1"/>
        <c:axPos val="b"/>
        <c:numFmt formatCode="yyyy\-mm\-dd;@" sourceLinked="1"/>
        <c:majorTickMark val="out"/>
        <c:minorTickMark val="none"/>
        <c:tickLblPos val="nextTo"/>
        <c:crossAx val="327479680"/>
        <c:crosses val="autoZero"/>
        <c:auto val="1"/>
        <c:lblOffset val="100"/>
        <c:baseTimeUnit val="days"/>
      </c:date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广州市海珠区琶洲保利世贸大厦1000号</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488B33-E54B-49EA-8E92-E63B5143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6</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xsqh</dc:creator>
  <cp:keywords/>
  <dc:description/>
  <cp:lastModifiedBy>xsqh</cp:lastModifiedBy>
  <cp:revision>49</cp:revision>
  <dcterms:created xsi:type="dcterms:W3CDTF">2014-12-15T07:50:00Z</dcterms:created>
  <dcterms:modified xsi:type="dcterms:W3CDTF">2014-12-17T08:12:00Z</dcterms:modified>
</cp:coreProperties>
</file>